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46A5" w14:textId="37791F6C" w:rsidR="001E397C" w:rsidRDefault="001E397C"/>
    <w:p w14:paraId="5E9C5A4C" w14:textId="77777777" w:rsidR="00950C19" w:rsidRPr="00950C19" w:rsidRDefault="00950C19" w:rsidP="00950C19"/>
    <w:p w14:paraId="69FDD723" w14:textId="77777777" w:rsidR="00950C19" w:rsidRPr="00950C19" w:rsidRDefault="00950C19" w:rsidP="00950C19"/>
    <w:p w14:paraId="2AC34F72" w14:textId="77777777" w:rsidR="00950C19" w:rsidRDefault="00950C19" w:rsidP="00950C19"/>
    <w:p w14:paraId="1C3EE7BC" w14:textId="77777777" w:rsidR="00950C19" w:rsidRPr="00950C19" w:rsidRDefault="00950C19" w:rsidP="00950C19">
      <w:pPr>
        <w:jc w:val="center"/>
      </w:pPr>
    </w:p>
    <w:p/>
    <w:p/>
    <w:p/>
    <w:p>
      <w:pPr>
        <w:spacing w:after="120"/>
        <w:jc w:val="left"/>
      </w:pPr>
      <w:r>
        <w:rPr>
          <w:rFonts w:ascii="Arial" w:hAnsi="Arial"/>
          <w:b/>
          <w:color w:val="004B8C"/>
          <w:sz w:val="40"/>
        </w:rPr>
        <w:t>Caso de Teste CAOS Agent</w:t>
      </w:r>
    </w:p>
    <w:p>
      <w:pPr>
        <w:spacing w:after="480"/>
        <w:jc w:val="left"/>
      </w:pPr>
      <w:r>
        <w:rPr>
          <w:rFonts w:ascii="Arial" w:hAnsi="Arial"/>
          <w:b/>
          <w:color w:val="004B8C"/>
          <w:sz w:val="44"/>
        </w:rPr>
        <w:t>25</w:t>
      </w:r>
    </w:p>
    <w:p>
      <w:pPr>
        <w:spacing w:after="240" w:line="276" w:lineRule="auto"/>
        <w:jc w:val="both"/>
      </w:pPr>
      <w:r>
        <w:rPr>
          <w:rFonts w:ascii="Arial" w:hAnsi="Arial"/>
          <w:b/>
          <w:color w:val="000000"/>
          <w:sz w:val="22"/>
        </w:rPr>
        <w:t xml:space="preserve">Objetivo 1: </w:t>
      </w:r>
      <w:r>
        <w:rPr>
          <w:rFonts w:ascii="Arial" w:hAnsi="Arial"/>
          <w:color w:val="000000"/>
          <w:sz w:val="22"/>
        </w:rPr>
        <w:t>Validar a capacidade de tomada de decisão contextual do Agente CAOS para a ação OBSERVE (Aguardar e Reavaliar). O teste visa confirmar que, ao detectar métricas de temperatura em nível de alerta primário (ex: -5°C ou +2°C), porém com parâmetros mecânicos íntegros (ex: compressor operando e sonda de produto estabilizada) e evidências de sobrecarga operacional (alta frequência de aberturas de porta e pico de temperatura climática local), o agente interpretará a anomalia atípica. A validação comprova que o fluxo escalará o nível de risco (HIGH), contudo irá obstar a emissão errônea de chamados técnicos diretos (MAINTENANCE), sugerindo uma observação ativa de 30 minutos em background. Adicionalmente, verifica-se o recuo da trava impeditiva de aprovação humana por se tratar de ação mitigatória contida no grupo seguro ALWAYS_LOW_ACTIONS.</w:t>
      </w:r>
    </w:p>
    <w:p>
      <w:pPr>
        <w:spacing w:after="240" w:line="276" w:lineRule="auto"/>
        <w:jc w:val="both"/>
      </w:pPr>
      <w:r>
        <w:rPr>
          <w:rFonts w:ascii="Arial" w:hAnsi="Arial"/>
          <w:b/>
          <w:color w:val="000000"/>
          <w:sz w:val="22"/>
        </w:rPr>
        <w:t xml:space="preserve">Análise: </w:t>
      </w:r>
      <w:r>
        <w:rPr>
          <w:rFonts w:ascii="Arial" w:hAnsi="Arial"/>
          <w:color w:val="000000"/>
          <w:sz w:val="22"/>
        </w:rPr>
        <w:t>A execução de validação no fluxo híbrido Cortex atestou a plenitude do comportamento desejado. Durante as baterias sistêmicas baseadas nos cenários demo_freezer_caos_test e demo_freezer_nightoff_test, o assistente notou a discrepância proposital entre os sensores do freezer e suas lógicas associativas de aberturas na porta/clima do dia. Conforme atestado analíticamente em laboratório, a diretiva contornou o reflexo precipitado de interceptação de segurança (Guardrails) que usualmente fixaria requires_human_approval = True em alertas gravosos. O estado dinâmico consolidou a variável para estado dispensável em ações do tipo ObserveWorkflow, preservando o fluxo operacional contínuo das equipes gerenciais.</w:t>
      </w:r>
    </w:p>
    <w:p>
      <w:pPr>
        <w:spacing w:after="240"/>
        <w:jc w:val="left"/>
      </w:pPr>
      <w:r>
        <w:rPr>
          <w:rFonts w:ascii="Arial" w:hAnsi="Arial"/>
          <w:color w:val="000000"/>
          <w:sz w:val="22"/>
        </w:rPr>
        <w:t>Data: 26/02/2026</w:t>
      </w:r>
    </w:p>
    <w:p>
      <w:pPr>
        <w:spacing w:after="240" w:before="480"/>
        <w:jc w:val="left"/>
      </w:pPr>
      <w:r>
        <w:rPr>
          <w:rFonts w:ascii="Arial" w:hAnsi="Arial"/>
          <w:b/>
          <w:color w:val="004B8C"/>
          <w:sz w:val="28"/>
        </w:rPr>
        <w:t>Evidências de Execução (Reasoning Store)</w:t>
      </w:r>
    </w:p>
    <w:p>
      <w:pPr>
        <w:spacing w:after="240"/>
        <w:jc w:val="center"/>
      </w:pPr>
      <w:r>
        <w:rPr>
          <w:rFonts w:ascii="Arial" w:hAnsi="Arial"/>
          <w:color w:val="787878"/>
          <w:sz w:val="22"/>
        </w:rPr>
        <w:t>[AQUI: Colar imagem do terminal demonstrando o passe de 6/6 testes]</w:t>
      </w:r>
    </w:p>
    <w:p>
      <w:pPr>
        <w:spacing w:after="240"/>
        <w:jc w:val="center"/>
      </w:pPr>
      <w:r>
        <w:rPr>
          <w:rFonts w:ascii="Arial" w:hAnsi="Arial"/>
          <w:color w:val="787878"/>
          <w:sz w:val="22"/>
        </w:rPr>
        <w:t>[AQUI: Colar imagem do Dashboard CAOS Frontend comprovando Action = OBSERVE, Approval = Não]</w:t>
      </w:r>
    </w:p>
    <w:p>
      <w:pPr>
        <w:spacing w:before="480"/>
      </w:pPr>
      <w:r>
        <w:rPr>
          <w:rFonts w:ascii="Arial" w:hAnsi="Arial"/>
          <w:b/>
          <w:color w:val="000000"/>
          <w:sz w:val="22"/>
        </w:rPr>
        <w:t xml:space="preserve">Resultado: </w:t>
      </w:r>
      <w:r>
        <w:rPr>
          <w:rFonts w:ascii="Arial" w:hAnsi="Arial"/>
          <w:color w:val="000000"/>
          <w:sz w:val="22"/>
        </w:rPr>
        <w:t>APROVADO.</w:t>
      </w:r>
    </w:p>
    <w:p>
      <w:r>
        <w:rPr>
          <w:rFonts w:ascii="Arial" w:hAnsi="Arial"/>
          <w:b/>
          <w:color w:val="000000"/>
          <w:sz w:val="22"/>
        </w:rPr>
        <w:t xml:space="preserve">Situação: </w:t>
      </w:r>
      <w:r>
        <w:rPr>
          <w:rFonts w:ascii="Arial" w:hAnsi="Arial"/>
          <w:color w:val="000000"/>
          <w:sz w:val="22"/>
        </w:rPr>
        <w:t>Minor / Expected</w:t>
      </w:r>
    </w:p>
    <w:sectPr w:rsidR="00950C19" w:rsidRPr="00950C19" w:rsidSect="00950C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134" w:left="1701" w:header="0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1DDC7" w14:textId="77777777" w:rsidR="00393D64" w:rsidRDefault="00393D64">
      <w:pPr>
        <w:spacing w:after="0" w:line="240" w:lineRule="auto"/>
      </w:pPr>
      <w:r>
        <w:separator/>
      </w:r>
    </w:p>
  </w:endnote>
  <w:endnote w:type="continuationSeparator" w:id="0">
    <w:p w14:paraId="177F2F57" w14:textId="77777777" w:rsidR="00393D64" w:rsidRDefault="00393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3BD2B95-03C3-400C-97A7-92672C79167F}"/>
    <w:embedBold r:id="rId2" w:fontKey="{9F647737-85B1-494F-BC59-460B78F575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C369CBC-FA56-4377-B54A-976A05F5EA58}"/>
  </w:font>
  <w:font w:name="Inter">
    <w:charset w:val="00"/>
    <w:family w:val="auto"/>
    <w:pitch w:val="default"/>
    <w:embedRegular r:id="rId4" w:fontKey="{53A0E4B3-D045-48F9-B800-DAD0CE5032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6848D7-71ED-476E-91F4-3ADFC4F27F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DE0CEC6-D4A1-4198-AD8B-865AC6565A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79D9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DC04" w14:textId="77777777" w:rsidR="001E397C" w:rsidRDefault="001E397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E397C" w14:paraId="23CD2F1C" w14:textId="77777777">
      <w:trPr>
        <w:trHeight w:val="445"/>
      </w:trPr>
      <w:tc>
        <w:tcPr>
          <w:tcW w:w="3005" w:type="dxa"/>
        </w:tcPr>
        <w:p w14:paraId="23DB48ED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E897185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69D4CD19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194FA13" w14:textId="565D9DCD" w:rsidR="001E397C" w:rsidRDefault="00950C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6192" behindDoc="1" locked="0" layoutInCell="1" hidden="0" allowOverlap="1" wp14:anchorId="7079D4DC" wp14:editId="3F66502E">
          <wp:simplePos x="0" y="0"/>
          <wp:positionH relativeFrom="page">
            <wp:align>left</wp:align>
          </wp:positionH>
          <wp:positionV relativeFrom="page">
            <wp:posOffset>10086975</wp:posOffset>
          </wp:positionV>
          <wp:extent cx="8018780" cy="1025525"/>
          <wp:effectExtent l="0" t="0" r="1270" b="3175"/>
          <wp:wrapNone/>
          <wp:docPr id="21409105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7405" t="32490" r="25685" b="34135"/>
                  <a:stretch>
                    <a:fillRect/>
                  </a:stretch>
                </pic:blipFill>
                <pic:spPr>
                  <a:xfrm>
                    <a:off x="0" y="0"/>
                    <a:ext cx="8018780" cy="1025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4A6786" w14:textId="0B4E4FF2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0723123" w14:textId="4FEB4D3D" w:rsidR="001E397C" w:rsidRDefault="00950C19" w:rsidP="00950C19">
    <w:pPr>
      <w:pBdr>
        <w:top w:val="nil"/>
        <w:left w:val="nil"/>
        <w:bottom w:val="nil"/>
        <w:right w:val="nil"/>
        <w:between w:val="nil"/>
      </w:pBdr>
      <w:tabs>
        <w:tab w:val="left" w:pos="163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7365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3EB7" w14:textId="77777777" w:rsidR="00393D64" w:rsidRDefault="00393D64">
      <w:pPr>
        <w:spacing w:after="0" w:line="240" w:lineRule="auto"/>
      </w:pPr>
      <w:r>
        <w:separator/>
      </w:r>
    </w:p>
  </w:footnote>
  <w:footnote w:type="continuationSeparator" w:id="0">
    <w:p w14:paraId="010E800F" w14:textId="77777777" w:rsidR="00393D64" w:rsidRDefault="00393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8AE9" w14:textId="77777777" w:rsidR="001E3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02707A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95.3pt;height:588.65pt;z-index:-25165721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7F87" w14:textId="71664D9F" w:rsidR="001E397C" w:rsidRDefault="007662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  <w:r>
      <w:rPr>
        <w:color w:val="000000"/>
      </w:rPr>
      <w:ptab w:relativeTo="indent" w:alignment="left" w:leader="none"/>
    </w:r>
    <w:r>
      <w:rPr>
        <w:color w:val="000000"/>
      </w:rPr>
      <w:ptab w:relativeTo="indent" w:alignment="center" w:leader="none"/>
    </w:r>
    <w:r w:rsidR="00000000">
      <w:pict w14:anchorId="302274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595.3pt;height:588.65pt;z-index:-25165926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tbl>
    <w:tblPr>
      <w:tblStyle w:val="a"/>
      <w:tblW w:w="10124" w:type="dxa"/>
      <w:tblInd w:w="0" w:type="dxa"/>
      <w:tblLayout w:type="fixed"/>
      <w:tblLook w:val="0600" w:firstRow="0" w:lastRow="0" w:firstColumn="0" w:lastColumn="0" w:noHBand="1" w:noVBand="1"/>
    </w:tblPr>
    <w:tblGrid>
      <w:gridCol w:w="4114"/>
      <w:gridCol w:w="3005"/>
      <w:gridCol w:w="3005"/>
    </w:tblGrid>
    <w:tr w:rsidR="001E397C" w14:paraId="0848C409" w14:textId="77777777">
      <w:trPr>
        <w:trHeight w:val="1841"/>
      </w:trPr>
      <w:tc>
        <w:tcPr>
          <w:tcW w:w="4114" w:type="dxa"/>
        </w:tcPr>
        <w:p w14:paraId="2EFE266D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  <w:p w14:paraId="6714E8E7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  <w:p w14:paraId="2837E6CC" w14:textId="77777777" w:rsidR="001E397C" w:rsidRDefault="00000000" w:rsidP="0095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34CA7E60" wp14:editId="575EF214">
                <wp:extent cx="1755521" cy="782445"/>
                <wp:effectExtent l="0" t="0" r="0" b="0"/>
                <wp:docPr id="32305786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t="28022" b="269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7824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039DE3C6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5B37D73A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A953953" w14:textId="687AF3E3" w:rsidR="001E397C" w:rsidRDefault="00000000" w:rsidP="00950C19">
    <w:pPr>
      <w:spacing w:after="0"/>
      <w:ind w:right="5669"/>
      <w:jc w:val="center"/>
      <w:rPr>
        <w:rFonts w:ascii="Inter" w:eastAsia="Inter" w:hAnsi="Inter" w:cs="Inter"/>
        <w:color w:val="1C2120"/>
        <w:sz w:val="19"/>
        <w:szCs w:val="19"/>
      </w:rPr>
    </w:pPr>
    <w:r>
      <w:rPr>
        <w:rFonts w:ascii="Inter" w:eastAsia="Inter" w:hAnsi="Inter" w:cs="Inter"/>
        <w:color w:val="1C2120"/>
        <w:sz w:val="19"/>
        <w:szCs w:val="19"/>
      </w:rPr>
      <w:t>Inteligência para o mundo físico.</w:t>
    </w:r>
  </w:p>
  <w:p w14:paraId="79C51DDC" w14:textId="77777777" w:rsidR="001E397C" w:rsidRDefault="00000000" w:rsidP="00950C19">
    <w:pPr>
      <w:spacing w:after="0"/>
      <w:ind w:right="5669"/>
      <w:jc w:val="center"/>
      <w:rPr>
        <w:rFonts w:ascii="Inter" w:eastAsia="Inter" w:hAnsi="Inter" w:cs="Inter"/>
        <w:color w:val="1C2120"/>
        <w:sz w:val="19"/>
        <w:szCs w:val="19"/>
      </w:rPr>
    </w:pPr>
    <w:r>
      <w:rPr>
        <w:rFonts w:ascii="Inter" w:eastAsia="Inter" w:hAnsi="Inter" w:cs="Inter"/>
        <w:color w:val="1C2120"/>
        <w:sz w:val="19"/>
        <w:szCs w:val="19"/>
      </w:rPr>
      <w:t>Autonomia para o futuro.</w:t>
    </w:r>
  </w:p>
  <w:p w14:paraId="1A1772AA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20" w:after="0" w:line="240" w:lineRule="auto"/>
      <w:ind w:left="5669"/>
      <w:rPr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143B" w14:textId="77777777" w:rsidR="001E3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39CEB4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.3pt;height:588.65pt;z-index:-25165824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97C"/>
    <w:rsid w:val="001E397C"/>
    <w:rsid w:val="00393D64"/>
    <w:rsid w:val="00766232"/>
    <w:rsid w:val="00950C19"/>
    <w:rsid w:val="00AD4631"/>
    <w:rsid w:val="00CA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4A4115"/>
  <w15:docId w15:val="{5EEBE26D-CE81-425A-93C4-4C11D9BC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E7C02-22AD-4974-A38D-30092DFFC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Rosangela Fricke</dc:creator>
  <cp:lastModifiedBy>Rosangela Fricke</cp:lastModifiedBy>
  <cp:revision>2</cp:revision>
  <dcterms:created xsi:type="dcterms:W3CDTF">2026-01-19T14:23:00Z</dcterms:created>
  <dcterms:modified xsi:type="dcterms:W3CDTF">2026-01-19T14:23:00Z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fc0e9c1b-85cc-4a21-81bf-e40e8bf51d29</vt:lpwstr>
  </property>
</Properties>
</file>