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MANUAL DE POLÍTICAS 2026</w:t>
      </w:r>
    </w:p>
    <w:p>
      <w:pPr>
        <w:jc w:val="center"/>
      </w:pPr>
      <w:r>
        <w:rPr>
          <w:b/>
          <w:sz w:val="32"/>
        </w:rPr>
        <w:t>NovaMarket E-commerce</w:t>
      </w:r>
    </w:p>
    <w:p>
      <w:pPr>
        <w:jc w:val="center"/>
      </w:pPr>
      <w:r>
        <w:rPr>
          <w:i/>
        </w:rPr>
        <w:t>Documento maestro institucional para base de conocimiento RAG</w:t>
      </w:r>
    </w:p>
    <w:p>
      <w:pPr>
        <w:jc w:val="center"/>
      </w:pPr>
      <w:r>
        <w:t>Versión 1.0 | Septiembre 2026</w:t>
      </w:r>
    </w:p>
    <w:p>
      <w:r>
        <w:br w:type="page"/>
      </w:r>
    </w:p>
    <w:p>
      <w:pPr>
        <w:pStyle w:val="Heading1"/>
      </w:pPr>
      <w:r>
        <w:t>1. Objetivo y alcance</w:t>
      </w:r>
    </w:p>
    <w:p>
      <w:r>
        <w:t>Este manual establece las políticas oficiales de atención comercial, pagos, envíos, cambios, devoluciones, garantías y escalamiento de NovaMarket. Debe utilizarse como fuente institucional de verdad para responder consultas de clientes. Si una política no figura expresamente en este documento, no debe inferirse ni completarse con conocimiento general.</w:t>
      </w:r>
    </w:p>
    <w:p>
      <w:pPr>
        <w:pStyle w:val="Heading2"/>
      </w:pPr>
      <w:r>
        <w:t>1.1 Regla de contingencia</w:t>
      </w:r>
    </w:p>
    <w:p>
      <w:r>
        <w:t>Cuando la documentación disponible no contenga la respuesta solicitada, la respuesta segura es: "No sé". Si el caso requiere una decisión operativa, debe derivarse a revisión humana.</w:t>
      </w:r>
    </w:p>
    <w:p>
      <w:pPr>
        <w:pStyle w:val="Heading1"/>
      </w:pPr>
      <w:r>
        <w:t>2. Cambios y devoluciones</w:t>
      </w:r>
    </w:p>
    <w:p>
      <w:pPr>
        <w:pStyle w:val="Heading2"/>
      </w:pPr>
      <w:r>
        <w:t>2.1 Plazo general y promociones</w:t>
      </w:r>
    </w:p>
    <w:p>
      <w:r>
        <w:t>Se acepta el cambio o devolución de productos dentro de los 30 días corridos desde la recepción, siempre que el producto se encuentre sin uso, completo y con su empaque original. Los productos adquiridos en promoción u oferta no tienen devolución por preferencia, cualquiera sea el plazo transcurrido, salvo que presenten una falla de fábrica.</w:t>
      </w:r>
    </w:p>
    <w:p>
      <w:pPr>
        <w:pStyle w:val="Heading2"/>
      </w:pPr>
      <w:r>
        <w:t>2.2 Productos con falla de fábrica</w:t>
      </w:r>
    </w:p>
    <w:p>
      <w:r>
        <w:t>Los productos que presenten una falla de fábrica comprobable tienen reemplazo o reembolso total dentro de los 30 días corridos desde la recepción. En estos casos la devolución no tiene costo para el cliente y no se exige conservar el empaque original. Una vez aprobada la devolución, el reintegro se acredita por el mismo medio de pago dentro de 5 a 10 días hábiles.</w:t>
      </w:r>
    </w:p>
    <w:p>
      <w:pPr>
        <w:pStyle w:val="Heading2"/>
      </w:pPr>
      <w:r>
        <w:t>2.3 Derecho de arrepentimiento</w:t>
      </w:r>
    </w:p>
    <w:p>
      <w:r>
        <w:t>En compras realizadas a distancia, el cliente puede ejercer el derecho de arrepentimiento dentro de los 10 días corridos desde la recepción, sin necesidad de expresar causa. El trámite debe iniciarse por los canales oficiales de atención y los gastos de devolución son asumidos por NovaMarket.</w:t>
      </w:r>
    </w:p>
    <w:p>
      <w:pPr>
        <w:pStyle w:val="Heading1"/>
      </w:pPr>
      <w:r>
        <w:t>3. Envíos y plazos de entrega</w:t>
      </w:r>
    </w:p>
    <w:p>
      <w:r>
        <w:t>Los plazos se contabilizan desde el despacho del pedido. La preparación demora hasta 1 día hábil luego de la aprobación del pago.</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DEBF7"/>
            <w:vAlign w:val="center"/>
          </w:tcPr>
          <w:p>
            <w:r>
              <w:rPr>
                <w:b/>
              </w:rPr>
              <w:t>Zona</w:t>
            </w:r>
          </w:p>
        </w:tc>
        <w:tc>
          <w:tcPr>
            <w:tcW w:type="dxa" w:w="2493"/>
            <w:shd w:fill="DDEBF7"/>
            <w:vAlign w:val="center"/>
          </w:tcPr>
          <w:p>
            <w:r>
              <w:rPr>
                <w:b/>
              </w:rPr>
              <w:t>Plazo estimado</w:t>
            </w:r>
          </w:p>
        </w:tc>
        <w:tc>
          <w:tcPr>
            <w:tcW w:type="dxa" w:w="2493"/>
            <w:shd w:fill="DDEBF7"/>
            <w:vAlign w:val="center"/>
          </w:tcPr>
          <w:p>
            <w:r>
              <w:rPr>
                <w:b/>
              </w:rPr>
              <w:t>Costo</w:t>
            </w:r>
          </w:p>
        </w:tc>
        <w:tc>
          <w:tcPr>
            <w:tcW w:type="dxa" w:w="2493"/>
            <w:shd w:fill="DDEBF7"/>
            <w:vAlign w:val="center"/>
          </w:tcPr>
          <w:p>
            <w:r>
              <w:rPr>
                <w:b/>
              </w:rPr>
              <w:t>Envío gratis desde</w:t>
            </w:r>
          </w:p>
        </w:tc>
      </w:tr>
      <w:tr>
        <w:tc>
          <w:tcPr>
            <w:tcW w:type="dxa" w:w="2493"/>
          </w:tcPr>
          <w:p>
            <w:r>
              <w:t>CABA</w:t>
            </w:r>
          </w:p>
        </w:tc>
        <w:tc>
          <w:tcPr>
            <w:tcW w:type="dxa" w:w="2493"/>
          </w:tcPr>
          <w:p>
            <w:r>
              <w:t>24 a 48 h hábiles</w:t>
            </w:r>
          </w:p>
        </w:tc>
        <w:tc>
          <w:tcPr>
            <w:tcW w:type="dxa" w:w="2493"/>
          </w:tcPr>
          <w:p>
            <w:r>
              <w:t>$ 3.500</w:t>
            </w:r>
          </w:p>
        </w:tc>
        <w:tc>
          <w:tcPr>
            <w:tcW w:type="dxa" w:w="2493"/>
          </w:tcPr>
          <w:p>
            <w:r>
              <w:t>$ 60.000</w:t>
            </w:r>
          </w:p>
        </w:tc>
      </w:tr>
      <w:tr>
        <w:tc>
          <w:tcPr>
            <w:tcW w:type="dxa" w:w="2493"/>
          </w:tcPr>
          <w:p>
            <w:r>
              <w:t>GBA</w:t>
            </w:r>
          </w:p>
        </w:tc>
        <w:tc>
          <w:tcPr>
            <w:tcW w:type="dxa" w:w="2493"/>
          </w:tcPr>
          <w:p>
            <w:r>
              <w:t>48 a 72 h hábiles</w:t>
            </w:r>
          </w:p>
        </w:tc>
        <w:tc>
          <w:tcPr>
            <w:tcW w:type="dxa" w:w="2493"/>
          </w:tcPr>
          <w:p>
            <w:r>
              <w:t>$ 4.200</w:t>
            </w:r>
          </w:p>
        </w:tc>
        <w:tc>
          <w:tcPr>
            <w:tcW w:type="dxa" w:w="2493"/>
          </w:tcPr>
          <w:p>
            <w:r>
              <w:t>$ 60.000</w:t>
            </w:r>
          </w:p>
        </w:tc>
      </w:tr>
      <w:tr>
        <w:tc>
          <w:tcPr>
            <w:tcW w:type="dxa" w:w="2493"/>
          </w:tcPr>
          <w:p>
            <w:r>
              <w:t>Interior del país</w:t>
            </w:r>
          </w:p>
        </w:tc>
        <w:tc>
          <w:tcPr>
            <w:tcW w:type="dxa" w:w="2493"/>
          </w:tcPr>
          <w:p>
            <w:r>
              <w:t>48 a 72 h hábiles</w:t>
            </w:r>
          </w:p>
        </w:tc>
        <w:tc>
          <w:tcPr>
            <w:tcW w:type="dxa" w:w="2493"/>
          </w:tcPr>
          <w:p>
            <w:r>
              <w:t>$ 6.800</w:t>
            </w:r>
          </w:p>
        </w:tc>
        <w:tc>
          <w:tcPr>
            <w:tcW w:type="dxa" w:w="2493"/>
          </w:tcPr>
          <w:p>
            <w:r>
              <w:t>$ 90.000</w:t>
            </w:r>
          </w:p>
        </w:tc>
      </w:tr>
      <w:tr>
        <w:tc>
          <w:tcPr>
            <w:tcW w:type="dxa" w:w="2493"/>
          </w:tcPr>
          <w:p>
            <w:r>
              <w:t>Patagonia</w:t>
            </w:r>
          </w:p>
        </w:tc>
        <w:tc>
          <w:tcPr>
            <w:tcW w:type="dxa" w:w="2493"/>
          </w:tcPr>
          <w:p>
            <w:r>
              <w:t>5 a 7 días hábiles</w:t>
            </w:r>
          </w:p>
        </w:tc>
        <w:tc>
          <w:tcPr>
            <w:tcW w:type="dxa" w:w="2493"/>
          </w:tcPr>
          <w:p>
            <w:r>
              <w:t>$ 9.500</w:t>
            </w:r>
          </w:p>
        </w:tc>
        <w:tc>
          <w:tcPr>
            <w:tcW w:type="dxa" w:w="2493"/>
          </w:tcPr>
          <w:p>
            <w:r>
              <w:t>$ 120.000</w:t>
            </w:r>
          </w:p>
        </w:tc>
      </w:tr>
    </w:tbl>
    <w:p>
      <w:pPr>
        <w:pStyle w:val="Heading2"/>
      </w:pPr>
      <w:r>
        <w:t>3.1 Clasificación territorial</w:t>
      </w:r>
    </w:p>
    <w:p>
      <w:r>
        <w:t>A los fines logísticos, Córdoba, Santa Fe, Entre Ríos, Mendoza, San Juan, San Luis, Tucumán, Salta, Jujuy, Catamarca, La Rioja, Santiago del Estero, Chaco, Formosa, Corrientes y Misiones se consideran Interior del país. Las provincias patagónicas se rigen por la fila Patagonia de la tabla.</w:t>
      </w:r>
    </w:p>
    <w:p>
      <w:pPr>
        <w:pStyle w:val="Heading2"/>
      </w:pPr>
      <w:r>
        <w:t>3.2 Demoras y seguimiento</w:t>
      </w:r>
    </w:p>
    <w:p>
      <w:r>
        <w:t>Cuando el plazo estimado se supera por más de 2 días hábiles, el caso debe escalarse a logística. El seguimiento se realiza con el código informado al momento del despacho.</w:t>
      </w:r>
    </w:p>
    <w:p>
      <w:pPr>
        <w:pStyle w:val="Heading1"/>
      </w:pPr>
      <w:r>
        <w:t>4. Medios de pago y financiación</w:t>
      </w:r>
    </w:p>
    <w:p>
      <w:r>
        <w:t>NovaMarket acepta tarjetas de crédito y débito habilitadas por la pasarela de pago, transferencia bancaria y billeteras digitales disponibles en el checkout.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DEBF7"/>
            <w:vAlign w:val="center"/>
          </w:tcPr>
          <w:p>
            <w:r>
              <w:rPr>
                <w:b/>
              </w:rPr>
              <w:t>Medio</w:t>
            </w:r>
          </w:p>
        </w:tc>
        <w:tc>
          <w:tcPr>
            <w:tcW w:type="dxa" w:w="2493"/>
            <w:shd w:fill="DDEBF7"/>
            <w:vAlign w:val="center"/>
          </w:tcPr>
          <w:p>
            <w:r>
              <w:rPr>
                <w:b/>
              </w:rPr>
              <w:t>Condición</w:t>
            </w:r>
          </w:p>
        </w:tc>
        <w:tc>
          <w:tcPr>
            <w:tcW w:type="dxa" w:w="2493"/>
            <w:shd w:fill="DDEBF7"/>
            <w:vAlign w:val="center"/>
          </w:tcPr>
          <w:p>
            <w:r>
              <w:rPr>
                <w:b/>
              </w:rPr>
              <w:t>Cuotas</w:t>
            </w:r>
          </w:p>
        </w:tc>
        <w:tc>
          <w:tcPr>
            <w:tcW w:type="dxa" w:w="2493"/>
            <w:shd w:fill="DDEBF7"/>
            <w:vAlign w:val="center"/>
          </w:tcPr>
          <w:p>
            <w:r>
              <w:rPr>
                <w:b/>
              </w:rPr>
              <w:t>Observaciones</w:t>
            </w:r>
          </w:p>
        </w:tc>
      </w:tr>
      <w:tr>
        <w:tc>
          <w:tcPr>
            <w:tcW w:type="dxa" w:w="2493"/>
          </w:tcPr>
          <w:p>
            <w:r>
              <w:t>Tarjeta de crédito</w:t>
            </w:r>
          </w:p>
        </w:tc>
        <w:tc>
          <w:tcPr>
            <w:tcW w:type="dxa" w:w="2493"/>
          </w:tcPr>
          <w:p>
            <w:r>
              <w:t>Bancos adheridos</w:t>
            </w:r>
          </w:p>
        </w:tc>
        <w:tc>
          <w:tcPr>
            <w:tcW w:type="dxa" w:w="2493"/>
          </w:tcPr>
          <w:p>
            <w:r>
              <w:t>Hasta 12 cuotas sin interés</w:t>
            </w:r>
          </w:p>
        </w:tc>
        <w:tc>
          <w:tcPr>
            <w:tcW w:type="dxa" w:w="2493"/>
          </w:tcPr>
          <w:p>
            <w:r>
              <w:t>Monto mínimo de compra: $ 80.000</w:t>
            </w:r>
          </w:p>
        </w:tc>
      </w:tr>
      <w:tr>
        <w:tc>
          <w:tcPr>
            <w:tcW w:type="dxa" w:w="2493"/>
          </w:tcPr>
          <w:p>
            <w:r>
              <w:t>Tarjeta de débito</w:t>
            </w:r>
          </w:p>
        </w:tc>
        <w:tc>
          <w:tcPr>
            <w:tcW w:type="dxa" w:w="2493"/>
          </w:tcPr>
          <w:p>
            <w:r>
              <w:t>Emisor habilitado</w:t>
            </w:r>
          </w:p>
        </w:tc>
        <w:tc>
          <w:tcPr>
            <w:tcW w:type="dxa" w:w="2493"/>
          </w:tcPr>
          <w:p>
            <w:r>
              <w:t>1 pago</w:t>
            </w:r>
          </w:p>
        </w:tc>
        <w:tc>
          <w:tcPr>
            <w:tcW w:type="dxa" w:w="2493"/>
          </w:tcPr>
          <w:p>
            <w:r>
              <w:t>Sujeto a autorización</w:t>
            </w:r>
          </w:p>
        </w:tc>
      </w:tr>
      <w:tr>
        <w:tc>
          <w:tcPr>
            <w:tcW w:type="dxa" w:w="2493"/>
          </w:tcPr>
          <w:p>
            <w:r>
              <w:t>Transferencia bancaria</w:t>
            </w:r>
          </w:p>
        </w:tc>
        <w:tc>
          <w:tcPr>
            <w:tcW w:type="dxa" w:w="2493"/>
          </w:tcPr>
          <w:p>
            <w:r>
              <w:t>Acreditación confirmada</w:t>
            </w:r>
          </w:p>
        </w:tc>
        <w:tc>
          <w:tcPr>
            <w:tcW w:type="dxa" w:w="2493"/>
          </w:tcPr>
          <w:p>
            <w:r>
              <w:t>1 pago</w:t>
            </w:r>
          </w:p>
        </w:tc>
        <w:tc>
          <w:tcPr>
            <w:tcW w:type="dxa" w:w="2493"/>
          </w:tcPr>
          <w:p>
            <w:r>
              <w:t>El pedido se prepara luego de acreditar</w:t>
            </w:r>
          </w:p>
        </w:tc>
      </w:tr>
      <w:tr>
        <w:tc>
          <w:tcPr>
            <w:tcW w:type="dxa" w:w="2493"/>
          </w:tcPr>
          <w:p>
            <w:r>
              <w:t>Billetera digital</w:t>
            </w:r>
          </w:p>
        </w:tc>
        <w:tc>
          <w:tcPr>
            <w:tcW w:type="dxa" w:w="2493"/>
          </w:tcPr>
          <w:p>
            <w:r>
              <w:t>Disponible en checkout</w:t>
            </w:r>
          </w:p>
        </w:tc>
        <w:tc>
          <w:tcPr>
            <w:tcW w:type="dxa" w:w="2493"/>
          </w:tcPr>
          <w:p>
            <w:r>
              <w:t>Según proveedor</w:t>
            </w:r>
          </w:p>
        </w:tc>
        <w:tc>
          <w:tcPr>
            <w:tcW w:type="dxa" w:w="2493"/>
          </w:tcPr>
          <w:p>
            <w:r>
              <w:t>Condiciones informadas antes de pagar</w:t>
            </w:r>
          </w:p>
        </w:tc>
      </w:tr>
    </w:tbl>
    <w:p>
      <w:pPr>
        <w:pStyle w:val="Heading2"/>
      </w:pPr>
      <w:r>
        <w:t>4.1 Regla de cuotas</w:t>
      </w:r>
    </w:p>
    <w:p>
      <w:r>
        <w:t>El plan de hasta 12 cuotas sin interés aplica únicamente a tarjetas de bancos adheridos y para compras iguales o superiores a $ 80.000. Una compra de monto inferior no accede a ese plan aunque la tarjeta pertenezca a un banco adherido.</w:t>
      </w:r>
    </w:p>
    <w:p>
      <w:pPr>
        <w:pStyle w:val="Heading1"/>
      </w:pPr>
      <w:r>
        <w:t>5. Garantías</w:t>
      </w:r>
    </w:p>
    <w:p>
      <w:pPr>
        <w:pStyle w:val="Heading2"/>
      </w:pPr>
      <w:r>
        <w:t>5.1 Electrónica y pequeños electrodomésticos</w:t>
      </w:r>
    </w:p>
    <w:p>
      <w:r>
        <w:t>Los productos electrónicos y pequeños electrodomésticos cuentan con 6 meses de garantía por defectos de fabricación, salvo que la ficha del producto indique un plazo mayor.</w:t>
      </w:r>
    </w:p>
    <w:p>
      <w:pPr>
        <w:pStyle w:val="Heading2"/>
      </w:pPr>
      <w:r>
        <w:t>5.2 Línea blanca</w:t>
      </w:r>
    </w:p>
    <w:p>
      <w:r>
        <w:t>Los productos de línea blanca, incluidos heladeras, lavarropas, cocinas y lavavajillas, cuentan con 24 meses de garantía por defectos de fabricación. La atención se canaliza mediante servicio técnico oficial cuando el caso excede los 30 días iniciales de política de devolución.</w:t>
      </w:r>
    </w:p>
    <w:p>
      <w:pPr>
        <w:pStyle w:val="Heading2"/>
      </w:pPr>
      <w:r>
        <w:t>5.3 Exclusiones de garantía</w:t>
      </w:r>
    </w:p>
    <w:p>
      <w:r>
        <w:t>La garantía no cubre golpes, humedad, daños por líquidos, desgaste normal, intervenciones no autorizadas ni uso contrario a las instrucciones del fabricante.</w:t>
      </w:r>
    </w:p>
    <w:p>
      <w:pPr>
        <w:pStyle w:val="Heading1"/>
      </w:pPr>
      <w:r>
        <w:t>6. Cancelaciones y facturación</w:t>
      </w:r>
    </w:p>
    <w:p>
      <w:pPr>
        <w:pStyle w:val="Heading2"/>
      </w:pPr>
      <w:r>
        <w:t>6.1 Cancelaciones</w:t>
      </w:r>
    </w:p>
    <w:p>
      <w:r>
        <w:t>Un pedido puede cancelarse sin costo mientras no haya sido despachado. Si ya fue despachado, la gestión se procesa como devolución o arrepentimiento, según corresponda.</w:t>
      </w:r>
    </w:p>
    <w:p>
      <w:pPr>
        <w:pStyle w:val="Heading2"/>
      </w:pPr>
      <w:r>
        <w:t>6.2 Facturación</w:t>
      </w:r>
    </w:p>
    <w:p>
      <w:r>
        <w:t>La factura se emite con los datos ingresados al momento de la compra. Las modificaciones fiscales posteriores a la emisión requieren revisión humana.</w:t>
      </w:r>
    </w:p>
    <w:p>
      <w:pPr>
        <w:pStyle w:val="Heading1"/>
      </w:pPr>
      <w:r>
        <w:t>7. Escalamiento y revisión humana</w:t>
      </w:r>
    </w:p>
    <w:p>
      <w:r>
        <w:t>Los siguientes casos deben ser derivados a una persona del equipo de operaciones y no resolverse automáticamente:</w:t>
      </w:r>
    </w:p>
    <w:p>
      <w:pPr>
        <w:pStyle w:val="ListBullet"/>
      </w:pPr>
      <w:r>
        <w:t>Amenazas legales o reclamos judiciales.</w:t>
      </w:r>
    </w:p>
    <w:p>
      <w:pPr>
        <w:pStyle w:val="ListBullet"/>
      </w:pPr>
      <w:r>
        <w:t>Solicitudes de excepción a políticas documentadas.</w:t>
      </w:r>
    </w:p>
    <w:p>
      <w:pPr>
        <w:pStyle w:val="ListBullet"/>
      </w:pPr>
      <w:r>
        <w:t>Correcciones fiscales posteriores a la emisión.</w:t>
      </w:r>
    </w:p>
    <w:p>
      <w:pPr>
        <w:pStyle w:val="ListBullet"/>
      </w:pPr>
      <w:r>
        <w:t>Sospecha de fraude.</w:t>
      </w:r>
    </w:p>
    <w:p>
      <w:pPr>
        <w:pStyle w:val="ListBullet"/>
      </w:pPr>
      <w:r>
        <w:t>Compensaciones económicas extraordinarias.</w:t>
      </w:r>
    </w:p>
    <w:p>
      <w:pPr>
        <w:pStyle w:val="ListBullet"/>
      </w:pPr>
      <w:r>
        <w:t>Información contradictoria entre sistemas.</w:t>
      </w:r>
    </w:p>
    <w:p>
      <w:pPr>
        <w:pStyle w:val="ListBullet"/>
      </w:pPr>
      <w:r>
        <w:t>Consultas sobre políticas no documentadas.</w:t>
      </w:r>
    </w:p>
    <w:p>
      <w:pPr>
        <w:pStyle w:val="Heading1"/>
      </w:pPr>
      <w:r>
        <w:t>8. Preguntas frecuentes</w:t>
      </w:r>
    </w:p>
    <w:p>
      <w:r>
        <w:rPr>
          <w:b/>
        </w:rPr>
        <w:t>¿Puedo devolver algo que compré en oferta?</w:t>
      </w:r>
    </w:p>
    <w:p>
      <w:r>
        <w:t>No por preferencia. Los productos en promoción u oferta no tienen devolución por preferencia. Si presentan una falla de fábrica, sí aplica reemplazo o reembolso.</w:t>
      </w:r>
    </w:p>
    <w:p>
      <w:r>
        <w:rPr>
          <w:b/>
        </w:rPr>
        <w:t>¿Cuánto tarda un envío a Córdoba?</w:t>
      </w:r>
    </w:p>
    <w:p>
      <w:r>
        <w:t>Córdoba se considera Interior del país: el plazo estimado es de 48 a 72 horas hábiles desde el despacho.</w:t>
      </w:r>
    </w:p>
    <w:p>
      <w:r>
        <w:rPr>
          <w:b/>
        </w:rPr>
        <w:t>¿Cuánto cuesta el envío a Córdoba?</w:t>
      </w:r>
    </w:p>
    <w:p>
      <w:r>
        <w:t>Para Interior del país el costo es de $ 6.800 y el envío es gratis desde $ 90.000.</w:t>
      </w:r>
    </w:p>
    <w:p>
      <w:r>
        <w:rPr>
          <w:b/>
        </w:rPr>
        <w:t>¿Puedo pagar una compra de $ 50.000 en 12 cuotas sin interés?</w:t>
      </w:r>
    </w:p>
    <w:p>
      <w:r>
        <w:t>No. El plan de hasta 12 cuotas sin interés requiere bancos adheridos y una compra mínima de $ 80.000.</w:t>
      </w:r>
    </w:p>
    <w:p>
      <w:r>
        <w:rPr>
          <w:b/>
        </w:rPr>
        <w:t>¿Qué pasa si una heladera llega con una falla?</w:t>
      </w:r>
    </w:p>
    <w:p>
      <w:r>
        <w:t>Dentro de los primeros 30 días puede solicitarse reemplazo o reembolso total por falla de fábrica. La línea blanca además cuenta con 24 meses de garantía.</w:t>
      </w:r>
    </w:p>
    <w:p>
      <w:pPr>
        <w:pStyle w:val="Heading1"/>
      </w:pPr>
      <w:r>
        <w:t>9. Gobernanza documental</w:t>
      </w:r>
    </w:p>
    <w:p>
      <w:r>
        <w:t>Este manual debe revisarse mensualmente y cada vez que cambien políticas de envío, devolución, pagos, garantías o condiciones comerciales. El responsable funcional es Customer Experience / Operations y el responsable técnico es el administrador de la base de conocimiento RAG.</w:t>
      </w:r>
    </w:p>
    <w:p>
      <w:pPr>
        <w:pStyle w:val="Heading2"/>
      </w:pPr>
      <w:r>
        <w:t>9.1 Criterio de reemplazo</w:t>
      </w:r>
    </w:p>
    <w:p>
      <w:r>
        <w:t>Cuando una política cambie, la nueva versión debe reemplazar a la anterior antes de ser indexada. No deben coexistir en el mismo índice versiones contradictorias del mismo procedimiento.</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Manual_Politicas_2026 | NovaMarket | Fuente institucional RAG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