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sz w:val="24"/>
          <w:szCs w:val="24"/>
          <w:rtl w:val="0"/>
        </w:rPr>
        <w:t xml:space="preserve">2. Revisão de Literatura</w:t>
      </w:r>
      <w:r w:rsidDel="00000000" w:rsidR="00000000" w:rsidRPr="00000000">
        <w:rPr>
          <w:rtl w:val="0"/>
        </w:rPr>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Não existe uma definição única e universal de governo digital, também denominado governo eletrônico ou e-government. Ao longo das últimas décadas, o conceito evoluiu de uma abordagem centrada no uso de tecnologias da informação e comunicação (TICs) para a oferta de serviços públicos para uma compreensão mais ampla, que incorpora transformação organizacional, coordenação institucional e geração de valor público (Grönlund; Horan 2005, p. 718; Skargren, 2020, p. 68). Enquanto definições iniciais, como a da Organização das Nações Unidas (ONU), enfatizavam o uso da internet para prestação de serviços (ONU, 2002, p. 1), abordagens mais recentes, como a da Organização para a Cooperação e Desenvolvimento Econômico (OCDE), passam a compreender o governo digital como instrumento para a melhoria do funcionamento do Estado (OECD, 2003, p 23).</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Essa evolução evidencia que o conceito de governo digital não é neutro, refletindo uma tensão entre abordagens centradas na tecnologia e na eficiência administrativa e aquelas voltadas à governança, à participação e à geração de valor público. Nesse sentido, a definição adotada influencia diretamente a forma como o fenômeno é mensurado. Como argumentam Grönlund e Horan (2005), diferentes definições de e-government conduzem a distintos critérios de avaliação, podendo privilegiar desde a digitalização de serviços até dimensões mais amplas, como capacidades institucionais e resultados sociais (Grönlund; Horan, 2005, p. 722). Além disso, a literatura aponta que a simples adoção de tecnologias não é suficiente para caracterizar transformação digital, sendo necessárias mudanças organizacionais e institucionais mais profundas (Bannister; Connolly, 2012, p. 212; Skargren, 2020, p. 81; Layne; Lee, 2001, p. 130).</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Diante disso, adota-se neste trabalho uma definição de governo digital como expressão da capacidade estatal no ambiente digital, mobilizada para reorganizar a administração pública, formular e implementar políticas públicas mediadas por tecnologia e gerar valor público para a sociedade. Essa definição permite articular três dimensões centrais, que orientam tanto a análise quanto a mensuração do fenômeno.</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A primeira dimensão corresponde à capacidade estatal digital, entendida como o conjunto de recursos organizacionais, técnicos e institucionais que permitem ao Estado operar no ambiente digital de forma coordenada. Essa dimensão envolve elementos como a integração de sistemas, a interoperabilidade de dados, a coordenação entre diferentes órgãos e níveis federativos e a existência de arranjos institucionais capazes de sustentar processos de transformação digital. Nesse sentido, a maturidade digital não se reduz à presença de tecnologia, mas depende da capacidade do Estado de articular esses elementos de forma consistente. Como apontam Layne e Lee (2001), a evolução do governo eletrônico pressupõe níveis crescentes de integração vertical e horizontal (Layne; Lee, 2001, p. 125). Em diálogo com essa perspectiva, a literatura sobre capacidades estatais destaca que a existência de organizações profissionalizadas e mecanismos efetivos de coordenação intra e intergovernamental constitui elemento central para a geração de resultados em políticas públicas (Pires; Gomide, 2016, p. 141). Assim, a transformação digital pode ser compreendida como um caso específico em que capacidades técnico-administrativas e arranjos de coordenação condicionam o grau de maturidade alcançado.</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No entanto, a capacidade estatal digital não se limita à incorporação de novas tecnologias, implicando uma reconfiguração mais ampla da própria administração pública. A digitalização exige a revisão de estruturas, processos e formas de atuação estatal, na medida em que altera a forma como políticas são formuladas, implementadas e entregues. Nesse contexto, a tecnologia deve ser mobilizada de acordo com a função e os objetivos da administração pública, e não como um fim em si mesma. Trata-se, portanto, de um processo que demanda alinhamento entre inovação tecnológica e as finalidades institucionais do Estado.</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Essa perspectiva implica reconhecer que a transformação digital não é apenas um processo técnico, mas também institucional e normativo. A incorporação de tecnologias digitais demanda a revisão de procedimentos administrativos, a adaptação de regras e a redefinição de competências, de modo a garantir que a atuação estatal permaneça orientada ao interesse público. Assim, a capacidade estatal digital está diretamente relacionada à habilidade do Estado de alinhar inovação tecnológica com os princípios e finalidades da administração pública (Skargren, 2020, p. 81), o que se revela particularmente desafiador em contextos marcados por fragmentação institucional e desigualdades de capacidade entre diferentes entes governamentais.</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A segunda dimensão refere-se ao uso da tecnologia na formulação e implementação de políticas públicas. Diferentemente de abordagens que restringem o governo digital à prestação de serviços, essa dimensão considera que a tecnologia atravessa todo o ciclo de políticas públicas, influenciando processos decisórios, mecanismos de coordenação e formas de implementação. A noção de “policy-driven electronic governance", proposta por Janowski (2015), reforça que a transformação digital deve estar orientada a objetivos públicos concretos, e não apenas à digitalização de rotinas administrativas (Janowski, 2015, p. 232). Assim, a tecnologia passa a ser compreendida como instrumento para ampliar a capacidade do Estado de formular e executar políticas de forma mais eficiente, integrada e responsiva.</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Nesse sentido, a utilização de tecnologias digitais deve estar diretamente relacionada à identificação e ao enfrentamento de problemas públicos reais, considerando as necessidades específicas dos cidadãos e os contextos locais nos quais as políticas são implementadas. Não se trata apenas de incorporar ferramentas tecnológicas, mas de utilizá-las de forma estratégica para responder a demandas concretas, melhorar a qualidade das políticas públicas e ampliar sua capacidade de alcance. Isso implica reconhecer que diferentes territórios, populações e áreas de política pública demandam soluções distintas, de modo que a transformação digital deve ser sensível às especificidades institucionais e sociais de cada contexto (Janowski, 2015, p. 232). </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Essa perspectiva evidencia que a efetividade do governo digital depende da sua capacidade de gerar utilidade concreta para os usuários dos serviços públicos. A tecnologia deve, portanto, ser orientada à resolução de problemas e à melhoria da experiência do cidadão, evitando abordagens centradas exclusivamente na oferta de soluções tecnológicas. Nesse sentido, o uso de TICs pelo Estado só pode ser considerado bem-sucedido quando contribui de forma efetiva para atender às demandas da sociedade e produzir resultados socialmente relevantes. Essa perspectiva desloca a análise do governo digital para seus efeitos concretos, conduzindo à terceira dimensão do conceito, relacionada à geração de valor público.</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A terceira dimensão diz respeito à geração de valor público, compreendida como os efeitos concretos da transformação digital sobre a sociedade. Nessa perspectiva, o foco deixa de recair sobre a infraestrutura tecnológica e passa a incidir sobre os resultados produzidos, como a melhoria da qualidade dos serviços públicos, o aumento da transparência, a ampliação do acesso e a redução de desigualdades. Conforme argumentam Grönlund e Horan (2005), ao dialogar com definições da OCDE, o governo digital deve ser avaliado a partir da sua capacidade de produzir um “melhor governo”, o que implica considerar não apenas eficiência administrativa, mas também inclusão, equidade e efetividade das políticas públicas (Grönlund; Horan, 2005, p. 721).</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A centralidade do valor público implica que a avaliação do governo digital deve ir além da existência de serviços digitais, incorporando o uso efetivo e os impactos percebidos pela população. Isso inclui, por exemplo, a facilidade de acesso aos serviços, a satisfação dos usuários e a capacidade das políticas digitais de alcançar grupos vulneráveis. No entanto, essa dimensão é uma das mais desafiadoras de mensurar, uma vez que envolve resultados difusos e de difícil quantificação. Indicadores como uso de serviços, tempo de resposta e satisfação do usuário podem ser utilizados como aproximações, mas ainda assim capturam apenas parcialmente os efeitos mais amplos da transformação digital.</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Em conjunto, essas três dimensões permitem compreender o governo digital como um fenômeno multidimensional, no qual tecnologia, capacidades institucionais e resultados sociais se articulam. Essa abordagem é particularmente relevante para fins de mensuração, pois orienta a identificação de variáveis que vão além da simples oferta de serviços digitais, incorporando aspectos organizacionais e resultados efetivos das políticas públicas.</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Diante da complexidade conceitual do governo digital e de seu caráter multidimensional, a literatura passou a desenvolver instrumentos de mensuração capazes de operacionalizar esse fenômeno em termos comparáveis. Nesse contexto, os benchmarks de governo digital consistem em ferramentas elaboradas, em sua maioria, por organismos internacionais, com o objetivo de traduzir dimensões abstratas, como oferta de serviços digitais, infraestrutura, capacidades institucionais e uso de dados, em indicadores mensuráveis (Skargren, 2020, p. 69). De modo geral, os modelos de benchmarking em governo digital passaram por um processo de sofisticação ao longo do tempo, saindo de abordagens mais descritivas e centradas na presença online para tentativas de incorporação de dimensões mais complexas da digitalização estatal. Parte da literatura crítica aponta, contudo, que muitos desses modelos ainda permanecem excessivamente focados na interação entre governo e cidadãos via tecnologias da informação, deixando em segundo plano aspectos relacionados à integração de sistemas e aos processos internos (back-office), que são centrais para a transformação digital (Przeybilovicz; Cunha; Ribeiro, 2023, p. 572; Skargren, 2020, p. 69).</w:t>
      </w:r>
    </w:p>
    <w:p w:rsidR="00000000" w:rsidDel="00000000" w:rsidP="00000000" w:rsidRDefault="00000000" w:rsidRPr="00000000" w14:paraId="0000000F">
      <w:pPr>
        <w:spacing w:after="240" w:before="240" w:lineRule="auto"/>
        <w:ind w:firstLine="720"/>
        <w:rPr/>
      </w:pPr>
      <w:r w:rsidDel="00000000" w:rsidR="00000000" w:rsidRPr="00000000">
        <w:rPr>
          <w:highlight w:val="yellow"/>
          <w:rtl w:val="0"/>
        </w:rPr>
        <w:t xml:space="preserve">O </w:t>
      </w:r>
      <w:r w:rsidDel="00000000" w:rsidR="00000000" w:rsidRPr="00000000">
        <w:rPr>
          <w:i w:val="1"/>
          <w:iCs w:val="1"/>
          <w:highlight w:val="yellow"/>
          <w:rtl w:val="0"/>
        </w:rPr>
        <w:t xml:space="preserve">E-Government Development Index</w:t>
      </w:r>
      <w:r w:rsidDel="00000000" w:rsidR="00000000" w:rsidRPr="00000000">
        <w:rPr>
          <w:highlight w:val="yellow"/>
          <w:rtl w:val="0"/>
        </w:rPr>
        <w:t xml:space="preserve"> (EGDI), elaborado pelas Nações Unidas, é um dos principais indicadores internacionais de governo digital, avaliando os países a partir de três dimensões principais: (i) serviços públicos online, que consideram a disponibilidade e sofisticação dos serviços digitais; (ii) infraestrutura de telecomunicações, como acesso à internet e conectividade; e (iii) capital humano, relacionado a educação e capacitação da população. O índice combina dados quantitativos e avaliações qualitativas de portais governamentais, permitindo comparações internacionais amplas. O Brasil apresenta desempenho elevado, sendo classificado entre os países com alto nível de desenvolvimento em governo eletrônico. No entanto, a literatura destaca que a ênfase na oferta de serviços limita a capacidade do índice de capturar a geração de valor público, como confiança institucional, transparência e equidade, conforme apontado anteriormente. Além disso, a padronização global das métricas pode obscurecer desigualdades estruturais e especificidades contextuais, especialmente em países com elevada heterogeneidade social e territorial (Przeybilovicz; Cunha; Ribeiro, 2023, p. 571).</w:t>
      </w:r>
      <w:r w:rsidDel="00000000" w:rsidR="00000000" w:rsidRPr="00000000">
        <w:rPr>
          <w:rtl w:val="0"/>
        </w:rPr>
      </w:r>
    </w:p>
    <w:p w:rsidR="00000000" w:rsidDel="00000000" w:rsidP="00000000" w:rsidRDefault="00000000" w:rsidRPr="00000000" w14:paraId="00000010">
      <w:pPr>
        <w:spacing w:after="240" w:before="240" w:lineRule="auto"/>
        <w:ind w:firstLine="720"/>
        <w:rPr>
          <w:highlight w:val="yellow"/>
        </w:rPr>
      </w:pPr>
      <w:r w:rsidDel="00000000" w:rsidR="00000000" w:rsidRPr="00000000">
        <w:rPr>
          <w:highlight w:val="yellow"/>
          <w:rtl w:val="0"/>
        </w:rPr>
        <w:t xml:space="preserve">O </w:t>
      </w:r>
      <w:r w:rsidDel="00000000" w:rsidR="00000000" w:rsidRPr="00000000">
        <w:rPr>
          <w:i w:val="1"/>
          <w:iCs w:val="1"/>
          <w:highlight w:val="yellow"/>
          <w:rtl w:val="0"/>
        </w:rPr>
        <w:t xml:space="preserve">GovTech Maturity Index</w:t>
      </w:r>
      <w:r w:rsidDel="00000000" w:rsidR="00000000" w:rsidRPr="00000000">
        <w:rPr>
          <w:highlight w:val="yellow"/>
          <w:rtl w:val="0"/>
        </w:rPr>
        <w:t xml:space="preserve"> (GTMI), desenvolvido pelo Banco Mundial, busca avaliar a maturidade digital dos governos a partir de quatro pilares: (i) sistemas centrais de governo, como plataformas administrativas e financeiras; (ii) prestação de serviços digitais; (iii) engajamento do cidadão; e (iv) facilitadores institucionais, como governança de dados e infraestrutura digital. O índice representa um avanço em relação a modelos anteriores ao incorporar dimensões relacionadas ao funcionamento interno do Estado. O Brasil apresenta desempenho destacado nesse indicador, especialmente na digitalização de serviços. Ainda assim, a literatura aponta limitações metodológicas nos modelos de benchmarking, incluindo dificuldades em capturar efeitos substantivos da transformação digital (Przeybilovicz; Cunha; Ribeiro, 2023, p. 572) e um foco predominante em dimensões mais visíveis da digitalização, como serviços voltados ao cidadão, o que pode não refletir adequadamente transformações estruturais mais profundas no funcionamento do Estado (Bannister; Connolly, 2012, p. 212). Além disso, a agregação dos dados em nível nacional tende a ocultar desigualdades territoriais e variações significativas de capacidade entre entes subnacionais, como evidenciado pela heterogeneidade de desempenho entre unidades federativas e regiões no Índice ABEP-TIC (Abep-Tic, 2024, p. 16)</w:t>
      </w:r>
    </w:p>
    <w:p w:rsidR="00000000" w:rsidDel="00000000" w:rsidP="00000000" w:rsidRDefault="00000000" w:rsidRPr="00000000" w14:paraId="00000011">
      <w:pPr>
        <w:spacing w:after="240" w:before="240" w:lineRule="auto"/>
        <w:ind w:firstLine="720"/>
        <w:rPr/>
      </w:pPr>
      <w:r w:rsidDel="00000000" w:rsidR="00000000" w:rsidRPr="00000000">
        <w:rPr>
          <w:highlight w:val="yellow"/>
          <w:rtl w:val="0"/>
        </w:rPr>
        <w:t xml:space="preserve">O </w:t>
      </w:r>
      <w:r w:rsidDel="00000000" w:rsidR="00000000" w:rsidRPr="00000000">
        <w:rPr>
          <w:i w:val="1"/>
          <w:iCs w:val="1"/>
          <w:highlight w:val="yellow"/>
          <w:rtl w:val="0"/>
        </w:rPr>
        <w:t xml:space="preserve">Digital Government Index</w:t>
      </w:r>
      <w:r w:rsidDel="00000000" w:rsidR="00000000" w:rsidRPr="00000000">
        <w:rPr>
          <w:highlight w:val="yellow"/>
          <w:rtl w:val="0"/>
        </w:rPr>
        <w:t xml:space="preserve"> (DGI), elaborado pela OCDE, adota uma abordagem orientada por princípios, buscando mensurar a transformação digital a partir de dimensões como governo orientado por dados, digital desde a concepção, governo como plataforma, abertura, proatividade e foco no usuário. Diferentemente dos demais índices, o DGI enfatiza aspectos de governança e capacidades institucionais, aproximando-se de uma visão mais abrangente de governo digital. O Brasil tem apresentado desempenho positivo nas avaliações disponíveis. Ainda assim, ao privilegiar dimensões associadas à existência de estratégias, marcos institucionais e diretrizes formais, esse tipo de abordagem apresenta limitações importantes, uma vez que tais elementos não garantem, por si só, a implementação efetiva das políticas. Nesse sentido, há risco de que o índice capture mais a adesão formal a princípios de governo digital do que sua efetividade no nível operacional Janowski, 2015, p. 224; Bannister; Connolly, 2012, p. 212).</w:t>
      </w:r>
      <w:r w:rsidDel="00000000" w:rsidR="00000000" w:rsidRPr="00000000">
        <w:rPr>
          <w:rtl w:val="0"/>
        </w:rPr>
      </w:r>
    </w:p>
    <w:p w:rsidR="00000000" w:rsidDel="00000000" w:rsidP="00000000" w:rsidRDefault="00000000" w:rsidRPr="00000000" w14:paraId="00000012">
      <w:pPr>
        <w:spacing w:after="240" w:before="240" w:lineRule="auto"/>
        <w:ind w:firstLine="720"/>
        <w:rPr>
          <w:highlight w:val="yellow"/>
        </w:rPr>
      </w:pPr>
      <w:r w:rsidDel="00000000" w:rsidR="00000000" w:rsidRPr="00000000">
        <w:rPr>
          <w:highlight w:val="yellow"/>
          <w:rtl w:val="0"/>
        </w:rPr>
        <w:t xml:space="preserve">No contexto brasileiro, destaca-se o Índice ABEP-TIC de Oferta de Serviços Públicos Digitais (IOSPD), desenvolvido pela Associação Brasileira de Entidades Estaduais de Tecnologia da Informação e Comunicação (ABEP-TIC), com apoio do Banco Interamericano de Desenvolvimento (BID). Diferentemente dos benchmarks internacionais, o índice tem como foco a mensuração da transformação digital no nível subnacional, avaliando a oferta de serviços digitais pelos governos estaduais e pelo Distrito Federal. Seu objetivo é verificar em que medida os principais serviços públicos estão sendo disponibilizados por meios digitais e se essa oferta incorpora boas práticas de governo digital, contribuindo para o monitoramento da evolução das unidades federativas e para o compartilhamento de experiências entre elas.</w:t>
      </w:r>
    </w:p>
    <w:p w:rsidR="00000000" w:rsidDel="00000000" w:rsidP="00000000" w:rsidRDefault="00000000" w:rsidRPr="00000000" w14:paraId="00000013">
      <w:pPr>
        <w:spacing w:after="240" w:before="240" w:lineRule="auto"/>
        <w:ind w:firstLine="720"/>
        <w:rPr>
          <w:highlight w:val="yellow"/>
        </w:rPr>
      </w:pPr>
      <w:r w:rsidDel="00000000" w:rsidR="00000000" w:rsidRPr="00000000">
        <w:rPr>
          <w:highlight w:val="yellow"/>
          <w:rtl w:val="0"/>
        </w:rPr>
        <w:t xml:space="preserve">Para realizar essa mensuração, o IOSPD é estruturado em cinco dimensões principais, que incluem as capacidades para a oferta digital, a oferta efetiva de serviços públicos, a normatização, a inclusividade e a inovação. A operacionalização do índice ocorre por meio de questionários de autoavaliação respondidos pelos governos estaduais, cujas informações são acompanhadas do envio de evidências e posteriormente analisadas por um comitê técnico responsável pela validação dos dados. Do ponto de vista crítico, a dependência de informações autodeclaradas pode introduzir vieses na avaliação das capacidades institucionais, além de evidenciar uma limitação comum a esse tipo de índice, que é a dificuldade de medir o uso efetivo e os impactos dos serviços digitais. Isso porque a simples disponibilização de serviços online não garante que eles sejam utilizados pela população ou que contribuam, de fato, para a resolução de problemas públicos. Ainda assim, o IOSPD é particularmente relevante para o contexto brasileiro, na medida em que permite evidenciar a heterogeneidade entre as unidades federativas e produzir diagnósticos mais aderentes às diferentes realidades institucionais do país.</w:t>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color w:val="000000"/>
        </w:rPr>
      </w:pPr>
      <w:bookmarkStart w:colFirst="0" w:colLast="0" w:name="_gk07b6iplabv" w:id="0"/>
      <w:bookmarkEnd w:id="0"/>
      <w:r w:rsidDel="00000000" w:rsidR="00000000" w:rsidRPr="00000000">
        <w:rPr>
          <w:color w:val="000000"/>
          <w:rtl w:val="0"/>
        </w:rPr>
        <w:t xml:space="preserve">Referências bibliográficas </w:t>
      </w:r>
    </w:p>
    <w:p w:rsidR="00000000" w:rsidDel="00000000" w:rsidP="00000000" w:rsidRDefault="00000000" w:rsidRPr="00000000" w14:paraId="00000017">
      <w:pPr>
        <w:spacing w:after="240" w:before="240" w:lineRule="auto"/>
        <w:rPr/>
      </w:pPr>
      <w:r w:rsidDel="00000000" w:rsidR="00000000" w:rsidRPr="00000000">
        <w:rPr>
          <w:rtl w:val="0"/>
        </w:rPr>
        <w:t xml:space="preserve">ASSOCIAÇÃO BRASILEIRA DE ENTIDADES ESTADUAIS DE TECNOLOGIA DA INFORMAÇÃO E COMUNICAÇÃO. Índice ABEP-TIC de oferta de serviços públicos digitais dos governos estaduais e distrital: 2024. 5. ed. Brasília: ABEP-TIC, 2024. Disponível em:</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https://abep-tic.org.br/</w:t>
        </w:r>
      </w:hyperlink>
      <w:r w:rsidDel="00000000" w:rsidR="00000000" w:rsidRPr="00000000">
        <w:rPr>
          <w:rtl w:val="0"/>
        </w:rPr>
        <w:t xml:space="preserve">. Acesso em: 11 abr. 2026.</w:t>
      </w:r>
    </w:p>
    <w:p w:rsidR="00000000" w:rsidDel="00000000" w:rsidP="00000000" w:rsidRDefault="00000000" w:rsidRPr="00000000" w14:paraId="00000018">
      <w:pPr>
        <w:spacing w:after="240" w:before="240" w:lineRule="auto"/>
        <w:rPr/>
      </w:pPr>
      <w:r w:rsidDel="00000000" w:rsidR="00000000" w:rsidRPr="00000000">
        <w:rPr>
          <w:rtl w:val="0"/>
        </w:rPr>
        <w:t xml:space="preserve">BANNISTER, Frank; CONNOLLY, Regina. Forward to the past: Lessons for the future of e-government from the story so far. Information Polity, v. 17, n. 3,4, p. 211–226, 4 dez. 2012.</w:t>
      </w:r>
    </w:p>
    <w:p w:rsidR="00000000" w:rsidDel="00000000" w:rsidP="00000000" w:rsidRDefault="00000000" w:rsidRPr="00000000" w14:paraId="00000019">
      <w:pPr>
        <w:spacing w:after="240" w:before="240" w:lineRule="auto"/>
        <w:rPr/>
      </w:pPr>
      <w:r w:rsidDel="00000000" w:rsidR="00000000" w:rsidRPr="00000000">
        <w:rPr>
          <w:rtl w:val="0"/>
        </w:rPr>
        <w:t xml:space="preserve">2023 OECD Digital Government Index: Results and key findings. : OECD Public Governance Policy Papers. [S.l.: S.n.]. Disponível em: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https://www.oecd.org/en/publications/2023-oecd-digital-government-index_1a89ed5e-en.html</w:t>
        </w:r>
      </w:hyperlink>
      <w:r w:rsidDel="00000000" w:rsidR="00000000" w:rsidRPr="00000000">
        <w:rPr>
          <w:rtl w:val="0"/>
        </w:rPr>
        <w:t xml:space="preserve">. Acesso em: 20 mar. 2026.</w:t>
      </w:r>
    </w:p>
    <w:p w:rsidR="00000000" w:rsidDel="00000000" w:rsidP="00000000" w:rsidRDefault="00000000" w:rsidRPr="00000000" w14:paraId="0000001A">
      <w:pPr>
        <w:spacing w:after="240" w:before="240" w:lineRule="auto"/>
        <w:rPr/>
      </w:pPr>
      <w:r w:rsidDel="00000000" w:rsidR="00000000" w:rsidRPr="00000000">
        <w:rPr>
          <w:rtl w:val="0"/>
        </w:rPr>
        <w:t xml:space="preserve">GovTech Maturity Index.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https://openknowledge.worldbank.org/entities/publication/10b535a7-e9d4-51bd-96ed-6b917d5eb09e</w:t>
        </w:r>
      </w:hyperlink>
      <w:r w:rsidDel="00000000" w:rsidR="00000000" w:rsidRPr="00000000">
        <w:rPr>
          <w:rtl w:val="0"/>
        </w:rPr>
        <w:t xml:space="preserve">. Acesso em: 20 mar. 2026.</w:t>
      </w:r>
    </w:p>
    <w:p w:rsidR="00000000" w:rsidDel="00000000" w:rsidP="00000000" w:rsidRDefault="00000000" w:rsidRPr="00000000" w14:paraId="0000001B">
      <w:pPr>
        <w:spacing w:after="240" w:before="240" w:lineRule="auto"/>
        <w:rPr/>
      </w:pPr>
      <w:r w:rsidDel="00000000" w:rsidR="00000000" w:rsidRPr="00000000">
        <w:rPr>
          <w:rtl w:val="0"/>
        </w:rPr>
        <w:t xml:space="preserve">GRÖNLUND, Åke; HORAN, Thomas A. Introducing e-Gov: History, Definitions, and Issues. Communications of the Association for Information Systems, v. 15, 2005.</w:t>
      </w:r>
    </w:p>
    <w:p w:rsidR="00000000" w:rsidDel="00000000" w:rsidP="00000000" w:rsidRDefault="00000000" w:rsidRPr="00000000" w14:paraId="0000001C">
      <w:pPr>
        <w:spacing w:after="240" w:before="240" w:lineRule="auto"/>
        <w:rPr/>
      </w:pPr>
      <w:r w:rsidDel="00000000" w:rsidR="00000000" w:rsidRPr="00000000">
        <w:rPr>
          <w:rtl w:val="0"/>
        </w:rPr>
        <w:t xml:space="preserve">JANOWSKI, Tomasz. Digital government evolution: From transformation to contextualization. Government Information Quarterly, v. 32, n. 3, p. 221–236, jul. 2015.</w:t>
      </w:r>
    </w:p>
    <w:p w:rsidR="00000000" w:rsidDel="00000000" w:rsidP="00000000" w:rsidRDefault="00000000" w:rsidRPr="00000000" w14:paraId="0000001D">
      <w:pPr>
        <w:spacing w:after="240" w:before="240" w:lineRule="auto"/>
        <w:rPr/>
      </w:pPr>
      <w:r w:rsidDel="00000000" w:rsidR="00000000" w:rsidRPr="00000000">
        <w:rPr>
          <w:rtl w:val="0"/>
        </w:rPr>
        <w:t xml:space="preserve">LAYNE, Karen; LEE, Jungwoo. Developing fully functional E-government: A four stage model. Government Information Quarterly, v. 18, n. 2, p. 122–136, jun. 2001.</w:t>
      </w:r>
    </w:p>
    <w:p w:rsidR="00000000" w:rsidDel="00000000" w:rsidP="00000000" w:rsidRDefault="00000000" w:rsidRPr="00000000" w14:paraId="0000001E">
      <w:pPr>
        <w:spacing w:after="240" w:before="240" w:lineRule="auto"/>
        <w:rPr/>
      </w:pPr>
      <w:r w:rsidDel="00000000" w:rsidR="00000000" w:rsidRPr="00000000">
        <w:rPr>
          <w:rtl w:val="0"/>
        </w:rPr>
        <w:t xml:space="preserve">OECD. Government at a Glance 2025. [S.l.]: OECD Publishing, 2025.</w:t>
      </w:r>
    </w:p>
    <w:p w:rsidR="00000000" w:rsidDel="00000000" w:rsidP="00000000" w:rsidRDefault="00000000" w:rsidRPr="00000000" w14:paraId="0000001F">
      <w:pPr>
        <w:spacing w:after="240" w:before="240" w:lineRule="auto"/>
        <w:rPr/>
      </w:pPr>
      <w:r w:rsidDel="00000000" w:rsidR="00000000" w:rsidRPr="00000000">
        <w:rPr>
          <w:rtl w:val="0"/>
        </w:rPr>
        <w:t xml:space="preserve">OECD. The e-Government Imperative. [S.l.]: OECD, 2003.</w:t>
      </w:r>
    </w:p>
    <w:p w:rsidR="00000000" w:rsidDel="00000000" w:rsidP="00000000" w:rsidRDefault="00000000" w:rsidRPr="00000000" w14:paraId="00000020">
      <w:pPr>
        <w:spacing w:after="240" w:before="240" w:lineRule="auto"/>
        <w:rPr/>
      </w:pPr>
      <w:r w:rsidDel="00000000" w:rsidR="00000000" w:rsidRPr="00000000">
        <w:rPr>
          <w:rtl w:val="0"/>
        </w:rPr>
        <w:t xml:space="preserve">ONU. Organização das Nações Unidas. Benchmarking E-Government: a global perspective. Nova York: United Nations, American Society for public administration, 2002.</w:t>
      </w:r>
    </w:p>
    <w:p w:rsidR="00000000" w:rsidDel="00000000" w:rsidP="00000000" w:rsidRDefault="00000000" w:rsidRPr="00000000" w14:paraId="00000021">
      <w:pPr>
        <w:spacing w:after="240" w:before="240" w:lineRule="auto"/>
        <w:rPr/>
      </w:pPr>
      <w:r w:rsidDel="00000000" w:rsidR="00000000" w:rsidRPr="00000000">
        <w:rPr>
          <w:rtl w:val="0"/>
        </w:rPr>
        <w:t xml:space="preserve">PIRES, Roberto Rocha Coelho; GOMIDE, Alexandre De Ávila. Governança e capacidades estatais: uma análise comparativa de programas federais. Revista de Sociologia e Política, v. 24, n. 58, p. 121–143, jun. 2016.</w:t>
      </w:r>
    </w:p>
    <w:p w:rsidR="00000000" w:rsidDel="00000000" w:rsidP="00000000" w:rsidRDefault="00000000" w:rsidRPr="00000000" w14:paraId="00000022">
      <w:pPr>
        <w:spacing w:after="240" w:before="240" w:lineRule="auto"/>
        <w:rPr/>
      </w:pPr>
      <w:r w:rsidDel="00000000" w:rsidR="00000000" w:rsidRPr="00000000">
        <w:rPr>
          <w:rtl w:val="0"/>
        </w:rPr>
        <w:t xml:space="preserve">PRZEYBILOVICZ, Erico; CUNHA, Maria Alexandra; RIBEIRO, Manuella Maia. Decolonizing e-government benchmarking. In: DG.O 2023: DIGITAL GOVERNMENT AND SOLIDARITY. Proceedings of the 24th Annual International Conference on Digital Government Research. Gda?sk Poland: ACM, 11 jul. 2023.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https://dl.acm.org/doi/10.1145/3598469.3598534</w:t>
        </w:r>
      </w:hyperlink>
      <w:r w:rsidDel="00000000" w:rsidR="00000000" w:rsidRPr="00000000">
        <w:rPr>
          <w:rtl w:val="0"/>
        </w:rPr>
        <w:t xml:space="preserve">. Acesso em: 20 mar. 2026</w:t>
      </w:r>
    </w:p>
    <w:p w:rsidR="00000000" w:rsidDel="00000000" w:rsidP="00000000" w:rsidRDefault="00000000" w:rsidRPr="00000000" w14:paraId="00000023">
      <w:pPr>
        <w:spacing w:after="240" w:before="240" w:lineRule="auto"/>
        <w:rPr/>
      </w:pPr>
      <w:r w:rsidDel="00000000" w:rsidR="00000000" w:rsidRPr="00000000">
        <w:rPr>
          <w:rtl w:val="0"/>
        </w:rPr>
        <w:t xml:space="preserve">SKARGREN, Fredric. What is the point of benchmarking e-government? An integrative and critical literature review on the phenomenon of benchmarking e-government. Information Polity, v. 25, n. 1, p. 67–89, mar. 2020.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366091"/>
      <w:sz w:val="24"/>
      <w:szCs w:val="24"/>
    </w:rPr>
  </w:style>
  <w:style w:type="paragraph" w:styleId="Heading2">
    <w:name w:val="heading 2"/>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4f81bd"/>
      <w:sz w:val="24"/>
      <w:szCs w:val="24"/>
    </w:rPr>
  </w:style>
  <w:style w:type="paragraph" w:styleId="Heading3">
    <w:name w:val="heading 3"/>
    <w:basedOn w:val="Normal"/>
    <w:next w:val="Normal"/>
    <w:pPr>
      <w:keepNext w:val="1"/>
      <w:keepLines w:val="1"/>
      <w:spacing w:after="60" w:before="120" w:line="360" w:lineRule="auto"/>
    </w:pPr>
    <w:rPr>
      <w:rFonts w:ascii="Times New Roman" w:cs="Times New Roman" w:eastAsia="Times New Roman" w:hAnsi="Times New Roman"/>
      <w:b w:val="1"/>
      <w:bCs w:val="1"/>
      <w:i w:val="0"/>
      <w:iCs w:val="0"/>
      <w:color w:val="4f81bd"/>
      <w:sz w:val="24"/>
      <w:szCs w:val="24"/>
    </w:rPr>
  </w:style>
  <w:style w:type="paragraph" w:styleId="Heading4">
    <w:name w:val="heading 4"/>
    <w:basedOn w:val="Normal"/>
    <w:next w:val="Normal"/>
    <w:pPr>
      <w:keepNext w:val="1"/>
      <w:keepLines w:val="1"/>
      <w:spacing w:after="60" w:before="120" w:line="360" w:lineRule="auto"/>
    </w:pPr>
    <w:rPr>
      <w:rFonts w:ascii="Times New Roman" w:cs="Times New Roman" w:eastAsia="Times New Roman" w:hAnsi="Times New Roman"/>
      <w:b w:val="0"/>
      <w:bCs w:val="0"/>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openknowledge.worldbank.org/entities/publication/10b535a7-e9d4-51bd-96ed-6b917d5eb09e" TargetMode="External"/><Relationship Id="rId10" Type="http://schemas.openxmlformats.org/officeDocument/2006/relationships/hyperlink" Target="https://openknowledge.worldbank.org/entities/publication/10b535a7-e9d4-51bd-96ed-6b917d5eb09e" TargetMode="External"/><Relationship Id="rId13" Type="http://schemas.openxmlformats.org/officeDocument/2006/relationships/hyperlink" Target="https://dl.acm.org/doi/10.1145/3598469.3598534" TargetMode="External"/><Relationship Id="rId12" Type="http://schemas.openxmlformats.org/officeDocument/2006/relationships/hyperlink" Target="https://dl.acm.org/doi/10.1145/3598469.35985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en/publications/2023-oecd-digital-government-index_1a89ed5e-en.html" TargetMode="External"/><Relationship Id="rId5" Type="http://schemas.openxmlformats.org/officeDocument/2006/relationships/styles" Target="styles.xml"/><Relationship Id="rId6" Type="http://schemas.openxmlformats.org/officeDocument/2006/relationships/hyperlink" Target="https://abep-tic.org.br/" TargetMode="External"/><Relationship Id="rId7" Type="http://schemas.openxmlformats.org/officeDocument/2006/relationships/hyperlink" Target="https://abep-tic.org.br/" TargetMode="External"/><Relationship Id="rId8" Type="http://schemas.openxmlformats.org/officeDocument/2006/relationships/hyperlink" Target="https://www.oecd.org/en/publications/2023-oecd-digital-government-index_1a89ed5e-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