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sz w:val="24"/>
          <w:szCs w:val="24"/>
          <w:rtl w:val="0"/>
        </w:rPr>
        <w:t xml:space="preserve">2. Revisão de Literatura</w:t>
      </w:r>
      <w:r w:rsidDel="00000000" w:rsidR="00000000" w:rsidRPr="00000000">
        <w:rPr>
          <w:rtl w:val="0"/>
        </w:rPr>
      </w:r>
    </w:p>
    <w:p w:rsidR="00000000" w:rsidDel="00000000" w:rsidP="00000000" w:rsidRDefault="00000000" w:rsidRPr="00000000" w14:paraId="00000002">
      <w:pPr>
        <w:spacing w:after="240" w:before="240" w:lineRule="auto"/>
        <w:ind w:firstLine="720"/>
        <w:rPr/>
      </w:pPr>
      <w:r w:rsidDel="00000000" w:rsidR="00000000" w:rsidRPr="00000000">
        <w:rPr>
          <w:rtl w:val="0"/>
        </w:rPr>
        <w:t xml:space="preserve">Não existe uma definição única e universal de governo digital, também denominado governo eletrônico ou e-government. Ao longo das últimas décadas, o conceito evoluiu de uma abordagem centrada no uso de tecnologias da informação e comunicação (TICs) para a oferta de serviços públicos para uma compreensão mais ampla, que incorpora transformação organizacional, coordenação institucional e geração de valor público (Grönlund; Horan 2005, p. 718; Skargren, 2020, p. 68). Enquanto definições iniciais, como a da Organização das Nações Unidas (ONU), enfatizavam o uso da internet para prestação de serviços (ONU, 2002, p. 1), abordagens mais recentes, como a da Organização para a Cooperação e Desenvolvimento Econômico (OCDE), passam a compreender o governo digital como instrumento para a melhoria do funcionamento do Estado (OECD, 2003, p 23).</w:t>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Essa evolução evidencia que o conceito de governo digital não é neutro, refletindo uma tensão entre abordagens centradas na tecnologia e na eficiência administrativa e aquelas voltadas à governança, à participação e à geração de valor público. Nesse sentido, a definição adotada influencia diretamente a forma como o fenômeno é mensurado. Como argumentam Grönlund e Horan (2005), diferentes definições de e-government conduzem a distintos critérios de avaliação, podendo privilegiar desde a digitalização de serviços até dimensões mais amplas, como capacidades institucionais e resultados sociais (Grönlund; Horan, 2005, p. 722). Além disso, a literatura aponta que a simples adoção de tecnologias não é suficiente para caracterizar transformação digital, sendo necessárias mudanças organizacionais e institucionais mais profundas (Bannister; Connolly, 2012, p. 212; Skargren, 2020, p. 81; Layne; Lee, 2001, p. 130).</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Diante disso, adota-se neste trabalho uma definição de governo digital como expressão da capacidade estatal no ambiente digital, mobilizada para reorganizar a administração pública, formular e implementar políticas públicas mediadas por tecnologia e gerar valor público para a sociedade. Essa definição permite articular três dimensões centrais, que orientam tanto a análise quanto a mensuração do fenômeno.</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A primeira dimensão corresponde à capacidade estatal digital, entendida como o conjunto de recursos organizacionais, técnicos e institucionais que permitem ao Estado operar no ambiente digital de forma coordenada. Essa dimensão envolve elementos como a integração de sistemas, a interoperabilidade de dados, a coordenação entre diferentes órgãos e níveis federativos e a existência de arranjos institucionais capazes de sustentar processos de transformação digital. Nesse sentido, a maturidade digital não se reduz à presença de tecnologia, mas depende da capacidade do Estado de articular esses elementos de forma consistente. Como apontam Layne e Lee (2001), a evolução do governo eletrônico pressupõe níveis crescentes de integração vertical e horizontal (Layne; Lee, 2001, p. 125). Em diálogo com essa perspectiva, a literatura sobre capacidades estatais destaca que a existência de organizações profissionalizadas e mecanismos efetivos de coordenação intra e intergovernamental constitui elemento central para a geração de resultados em políticas públicas (Pires; Gomide, 2016, p. 141). Assim, a transformação digital pode ser compreendida como um caso específico em que capacidades técnico-administrativas e arranjos de coordenação condicionam o grau de maturidade alcançado.</w:t>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No entanto, a capacidade estatal digital não se limita à incorporação de novas tecnologias, implicando uma reconfiguração mais ampla da própria administração pública. A digitalização exige a revisão de estruturas, processos e formas de atuação estatal, na medida em que altera a forma como políticas são formuladas, implementadas e entregues. Nesse contexto, a tecnologia deve ser mobilizada de acordo com a função e os objetivos da administração pública, e não como um fim em si mesma. Trata-se, portanto, de um processo que demanda alinhamento entre inovação tecnológica e as finalidades institucionais do Estado.</w:t>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Essa perspectiva implica reconhecer que a transformação digital não é apenas um processo técnico, mas também institucional e normativo. A incorporação de tecnologias digitais demanda a revisão de procedimentos administrativos, a adaptação de regras e a redefinição de competências, de modo a garantir que a atuação estatal permaneça orientada ao interesse público. Assim, a capacidade estatal digital está diretamente relacionada à habilidade do Estado de alinhar inovação tecnológica com os princípios e finalidades da administração pública (Skargren, 2020, p. 81), o que se revela particularmente desafiador em contextos marcados por fragmentação institucional e desigualdades de capacidade entre diferentes entes governamentais.</w:t>
      </w:r>
    </w:p>
    <w:p w:rsidR="00000000" w:rsidDel="00000000" w:rsidP="00000000" w:rsidRDefault="00000000" w:rsidRPr="00000000" w14:paraId="00000008">
      <w:pPr>
        <w:spacing w:after="240" w:before="240" w:lineRule="auto"/>
        <w:ind w:firstLine="720"/>
        <w:rPr/>
      </w:pPr>
      <w:r w:rsidDel="00000000" w:rsidR="00000000" w:rsidRPr="00000000">
        <w:rPr>
          <w:rtl w:val="0"/>
        </w:rPr>
        <w:t xml:space="preserve">A segunda dimensão refere-se ao uso da tecnologia na formulação e implementação de políticas públicas. Diferentemente de abordagens que restringem o governo digital à prestação de serviços, essa dimensão considera que a tecnologia atravessa todo o ciclo de políticas públicas, influenciando processos decisórios, mecanismos de coordenação e formas de implementação. A noção de “policy-driven electronic governance", proposta por Janowski (2015), reforça que a transformação digital deve estar orientada a objetivos públicos concretos, e não apenas à digitalização de rotinas administrativas (Janowski, 2015, p. 232). Assim, a tecnologia passa a ser compreendida como instrumento para ampliar a capacidade do Estado de formular e executar políticas de forma mais eficiente, integrada e responsiva.</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Nesse sentido, a utilização de tecnologias digitais deve estar diretamente relacionada à identificação e ao enfrentamento de problemas públicos reais, considerando as necessidades específicas dos cidadãos e os contextos locais nos quais as políticas são implementadas. Não se trata apenas de incorporar ferramentas tecnológicas, mas de utilizá-las de forma estratégica para responder a demandas concretas, melhorar a qualidade das políticas públicas e ampliar sua capacidade de alcance. Isso implica reconhecer que diferentes territórios, populações e áreas de política pública demandam soluções distintas, de modo que a transformação digital deve ser sensível às especificidades institucionais e sociais de cada contexto (Janowski, 2015, p. 232). </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Essa perspectiva evidencia que a efetividade do governo digital depende da sua capacidade de gerar utilidade concreta para os usuários dos serviços públicos. A tecnologia deve, portanto, ser orientada à resolução de problemas e à melhoria da experiência do cidadão, evitando abordagens centradas exclusivamente na oferta de soluções tecnológicas. Nesse sentido, o uso de TICs pelo Estado só pode ser considerado bem-sucedido quando contribui de forma efetiva para atender às demandas da sociedade e produzir resultados socialmente relevantes. Essa perspectiva desloca a análise do governo digital para seus efeitos concretos, conduzindo à terceira dimensão do conceito, relacionada à geração de valor público.</w:t>
      </w:r>
    </w:p>
    <w:p w:rsidR="00000000" w:rsidDel="00000000" w:rsidP="00000000" w:rsidRDefault="00000000" w:rsidRPr="00000000" w14:paraId="0000000B">
      <w:pPr>
        <w:spacing w:after="240" w:before="240" w:lineRule="auto"/>
        <w:ind w:firstLine="720"/>
        <w:rPr/>
      </w:pPr>
      <w:r w:rsidDel="00000000" w:rsidR="00000000" w:rsidRPr="00000000">
        <w:rPr>
          <w:rtl w:val="0"/>
        </w:rPr>
        <w:t xml:space="preserve">A terceira dimensão diz respeito à geração de valor público, compreendida como os efeitos concretos da transformação digital sobre a sociedade. Nessa perspectiva, o foco deixa de recair sobre a infraestrutura tecnológica e passa a incidir sobre os resultados produzidos, como a melhoria da qualidade dos serviços públicos, o aumento da transparência, a ampliação do acesso e a redução de desigualdades. Conforme argumentam Grönlund e Horan (2005), ao dialogar com definições da OCDE, o governo digital deve ser avaliado a partir da sua capacidade de produzir um “melhor governo”, o que implica considerar não apenas eficiência administrativa, mas também inclusão, equidade e efetividade das políticas públicas (Grönlund; Horan, 2005, p. 721).</w:t>
      </w:r>
    </w:p>
    <w:p w:rsidR="00000000" w:rsidDel="00000000" w:rsidP="00000000" w:rsidRDefault="00000000" w:rsidRPr="00000000" w14:paraId="0000000C">
      <w:pPr>
        <w:spacing w:after="240" w:before="240" w:lineRule="auto"/>
        <w:ind w:firstLine="720"/>
        <w:rPr/>
      </w:pPr>
      <w:r w:rsidDel="00000000" w:rsidR="00000000" w:rsidRPr="00000000">
        <w:rPr>
          <w:rtl w:val="0"/>
        </w:rPr>
        <w:t xml:space="preserve">A centralidade do valor público implica que a avaliação do governo digital deve ir além da existência de serviços digitais, incorporando o uso efetivo e os impactos percebidos pela população. Isso inclui, por exemplo, a facilidade de acesso aos serviços, a satisfação dos usuários e a capacidade das políticas digitais de alcançar grupos vulneráveis. No entanto, essa dimensão é uma das mais desafiadoras de mensurar, uma vez que envolve resultados difusos e de difícil quantificação. Indicadores como uso de serviços, tempo de resposta e satisfação do usuário podem ser utilizados como aproximações, mas ainda assim capturam apenas parcialmente os efeitos mais amplos da transformação digital.</w:t>
      </w:r>
    </w:p>
    <w:p w:rsidR="00000000" w:rsidDel="00000000" w:rsidP="00000000" w:rsidRDefault="00000000" w:rsidRPr="00000000" w14:paraId="0000000D">
      <w:pPr>
        <w:spacing w:after="240" w:before="240" w:lineRule="auto"/>
        <w:ind w:firstLine="720"/>
        <w:rPr/>
      </w:pPr>
      <w:r w:rsidDel="00000000" w:rsidR="00000000" w:rsidRPr="00000000">
        <w:rPr>
          <w:rtl w:val="0"/>
        </w:rPr>
        <w:t xml:space="preserve">Em conjunto, essas três dimensões permitem compreender o governo digital como um fenômeno multidimensional, no qual tecnologia, capacidades institucionais e resultados sociais se articulam. Essa abordagem é particularmente relevante para fins de mensuração, pois orienta a identificação de variáveis que vão além da simples oferta de serviços digitais, incorporando aspectos organizacionais e resultados efetivos das políticas públicas.</w:t>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Diante da complexidade conceitual do governo digital e de seu caráter multidimensional, a literatura passou a desenvolver instrumentos de mensuração capazes de operacionalizar esse fenômeno em termos comparáveis. Nesse contexto, os benchmarks de governo digital consistem em ferramentas elaboradas, em sua maioria, por organismos internacionais, com o objetivo de traduzir dimensões abstratas, como oferta de serviços digitais, infraestrutura, capacidades institucionais e uso de dados, em indicadores mensuráveis (Skargren, 2020, p. 69). De modo geral, os modelos de benchmarking em governo digital passaram por um processo de sofisticação ao longo do tempo, saindo de abordagens mais descritivas e centradas na presença online para tentativas de incorporação de dimensões mais complexas da digitalização estatal. Parte da literatura crítica aponta, contudo, que muitos desses modelos ainda permanecem excessivamente focados na interação entre governo e cidadãos via tecnologias da informação, deixando em segundo plano aspectos relacionados à integração de sistemas e aos processos internos (back-office), que são centrais para a transformação digital (Przeybilovicz; Cunha; Ribeiro, 2023, p. 572; Skargren, 2020, p. 69).</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O </w:t>
      </w:r>
      <w:r w:rsidDel="00000000" w:rsidR="00000000" w:rsidRPr="00000000">
        <w:rPr>
          <w:i w:val="1"/>
          <w:iCs w:val="1"/>
          <w:rtl w:val="0"/>
        </w:rPr>
        <w:t xml:space="preserve">E-Government Development Index</w:t>
      </w:r>
      <w:r w:rsidDel="00000000" w:rsidR="00000000" w:rsidRPr="00000000">
        <w:rPr>
          <w:rtl w:val="0"/>
        </w:rPr>
        <w:t xml:space="preserve"> (EGDI), elaborado pelas Nações Unidas, é um dos principais indicadores internacionais de governo digital, avaliando os países a partir de três dimensões principais: (i) serviços públicos online, que consideram a disponibilidade e sofisticação dos serviços digitais; (ii) infraestrutura de telecomunicações, como acesso à internet e conectividade; e (iii) capital humano, relacionado a educação e capacitação da população. O índice combina dados quantitativos e avaliações qualitativas de portais governamentais, permitindo comparações internacionais amplas. O Brasil apresenta desempenho elevado, sendo classificado entre os países com alto nível de desenvolvimento em governo eletrônico. No entanto, a literatura destaca que a ênfase na oferta de serviços limita a capacidade do índice de capturar a geração de valor público, como confiança institucional, transparência e equidade, conforme apontado anteriormente. Além disso, a padronização global das métricas pode obscurecer desigualdades estruturais e especificidades contextuais, especialmente em países com elevada heterogeneidade social e territorial (Przeybilovicz; Cunha; Ribeiro, 2023, p. 571).</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O </w:t>
      </w:r>
      <w:r w:rsidDel="00000000" w:rsidR="00000000" w:rsidRPr="00000000">
        <w:rPr>
          <w:i w:val="1"/>
          <w:iCs w:val="1"/>
          <w:rtl w:val="0"/>
        </w:rPr>
        <w:t xml:space="preserve">GovTech Maturity Index</w:t>
      </w:r>
      <w:r w:rsidDel="00000000" w:rsidR="00000000" w:rsidRPr="00000000">
        <w:rPr>
          <w:rtl w:val="0"/>
        </w:rPr>
        <w:t xml:space="preserve"> (GTMI), desenvolvido pelo Banco Mundial, busca avaliar a maturidade digital dos governos a partir de quatro pilares: (i) sistemas centrais de governo, como plataformas administrativas e financeiras; (ii) prestação de serviços digitais; (iii) engajamento do cidadão; e (iv) facilitadores institucionais, como governança de dados e infraestrutura digital. O índice representa um avanço em relação a modelos anteriores ao incorporar dimensões relacionadas ao funcionamento interno do Estado. O Brasil apresenta desempenho destacado nesse indicador, especialmente na digitalização de serviços. Ainda assim, a literatura aponta limitações metodológicas nos modelos de benchmarking, incluindo dificuldades em capturar efeitos substantivos da transformação digital (Przeybilovicz; Cunha; Ribeiro, 2023, p. 572) e um foco predominante em dimensões mais visíveis da digitalização, como serviços voltados ao cidadão, o que pode não refletir adequadamente transformações estruturais mais profundas no funcionamento do Estado (Bannister; Connolly, 2012, p. 212). Além disso, a agregação dos dados em nível nacional tende a ocultar desigualdades territoriais e variações significativas de capacidade entre entes subnacionais, como evidenciado pela heterogeneidade de desempenho entre unidades federativas e regiões no Índice ABEP-TIC (Abep-Tic, 2024, p. 16)</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O </w:t>
      </w:r>
      <w:r w:rsidDel="00000000" w:rsidR="00000000" w:rsidRPr="00000000">
        <w:rPr>
          <w:i w:val="1"/>
          <w:iCs w:val="1"/>
          <w:rtl w:val="0"/>
        </w:rPr>
        <w:t xml:space="preserve">Digital Government Index</w:t>
      </w:r>
      <w:r w:rsidDel="00000000" w:rsidR="00000000" w:rsidRPr="00000000">
        <w:rPr>
          <w:rtl w:val="0"/>
        </w:rPr>
        <w:t xml:space="preserve"> (DGI), elaborado pela OCDE, adota uma abordagem orientada por princípios, buscando mensurar a transformação digital a partir de dimensões como governo orientado por dados, digital desde a concepção, governo como plataforma, abertura, proatividade e foco no usuário. Diferentemente dos demais índices, o DGI enfatiza aspectos de governança e capacidades institucionais, aproximando-se de uma visão mais abrangente de governo digital. O Brasil tem apresentado desempenho positivo nas avaliações disponíveis. </w:t>
      </w:r>
      <w:r w:rsidDel="00000000" w:rsidR="00000000" w:rsidRPr="00000000">
        <w:rPr>
          <w:rtl w:val="0"/>
        </w:rPr>
        <w:t xml:space="preserve">Ainda assim</w:t>
      </w:r>
      <w:r w:rsidDel="00000000" w:rsidR="00000000" w:rsidRPr="00000000">
        <w:rPr>
          <w:rtl w:val="0"/>
        </w:rPr>
        <w:t xml:space="preserve">, ao privilegiar dimensões associadas à existência de estratégias, marcos institucionais e diretrizes formais, esse tipo de abordagem apresenta limitações importantes, uma vez que tais elementos não garantem, por si só, a implementação efetiva das políticas. Nesse sentido, há risco de que o índice capture mais a adesão formal a princípios de governo digital do que sua efetividade no nível operacional Janowski, 2015, p. 224; Bannister; Connolly, 2012, p. 212).</w:t>
      </w:r>
    </w:p>
    <w:p w:rsidR="00000000" w:rsidDel="00000000" w:rsidP="00000000" w:rsidRDefault="00000000" w:rsidRPr="00000000" w14:paraId="00000012">
      <w:pPr>
        <w:spacing w:after="240" w:before="240" w:lineRule="auto"/>
        <w:ind w:firstLine="720"/>
        <w:rPr/>
      </w:pPr>
      <w:r w:rsidDel="00000000" w:rsidR="00000000" w:rsidRPr="00000000">
        <w:rPr>
          <w:rtl w:val="0"/>
        </w:rPr>
        <w:t xml:space="preserve">No contexto brasileiro, destaca-se o Índice ABEP-TIC de Oferta de Serviços Públicos Digitais (IOSPD), desenvolvido pela Associação Brasileira de Entidades Estaduais de Tecnologia da Informação e Comunicação (ABEP-TIC), com apoio do Banco Interamericano de Desenvolvimento (BID). Diferentemente dos benchmarks internacionais, o índice tem como foco a mensuração da transformação digital no nível subnacional, avaliando a oferta de serviços digitais pelos governos estaduais e pelo Distrito Federal. Seu objetivo é verificar em que medida os principais serviços públicos estão sendo disponibilizados por meios digitais e se essa oferta incorpora boas práticas de governo digital, contribuindo para o monitoramento da evolução das unidades federativas e para o compartilhamento de experiências entre elas.</w:t>
      </w:r>
    </w:p>
    <w:p w:rsidR="00000000" w:rsidDel="00000000" w:rsidP="00000000" w:rsidRDefault="00000000" w:rsidRPr="00000000" w14:paraId="00000013">
      <w:pPr>
        <w:spacing w:after="240" w:before="240" w:lineRule="auto"/>
        <w:ind w:firstLine="720"/>
        <w:rPr/>
      </w:pPr>
      <w:r w:rsidDel="00000000" w:rsidR="00000000" w:rsidRPr="00000000">
        <w:rPr>
          <w:rtl w:val="0"/>
        </w:rPr>
        <w:t xml:space="preserve">Para realizar essa mensuração, o IOSPD é estruturado em cinco dimensões principais, que incluem as capacidades para a oferta digital, a oferta efetiva de serviços públicos, a normatização, a inclusividade e a inovação. A operacionalização do índice ocorre por meio de questionários de autoavaliação respondidos pelos governos estaduais, cujas informações são acompanhadas do envio de evidências e posteriormente analisadas por um comitê técnico responsável pela validação dos dados. Do ponto de vista crítico, a dependência de informações autodeclaradas pode introduzir vieses na avaliação das capacidades institucionais, além de evidenciar uma limitação comum a esse tipo de índice, que é a dificuldade de medir o uso efetivo e os impactos dos serviços digitais. Isso porque a simples disponibilização de serviços online não garante que eles sejam utilizados pela população ou que contribuam, de fato, para a resolução de problemas públicos. Ainda assim, o IOSPD é particularmente relevante para o contexto brasileiro, na medida em que permite evidenciar a heterogeneidade entre as unidades federativas e produzir diagnósticos mais aderentes às diferentes realidades institucionais do país.</w:t>
      </w:r>
    </w:p>
    <w:p w:rsidR="00000000" w:rsidDel="00000000" w:rsidP="00000000" w:rsidRDefault="00000000" w:rsidRPr="00000000" w14:paraId="00000014">
      <w:pPr>
        <w:spacing w:after="240" w:before="240" w:lineRule="auto"/>
        <w:ind w:left="0" w:firstLine="0"/>
        <w:rPr/>
      </w:pPr>
      <w:r w:rsidDel="00000000" w:rsidR="00000000" w:rsidRPr="00000000">
        <w:rPr>
          <w:rtl w:val="0"/>
        </w:rPr>
      </w:r>
    </w:p>
    <w:p w:rsidR="00000000" w:rsidDel="00000000" w:rsidP="00000000" w:rsidRDefault="00000000" w:rsidRPr="00000000" w14:paraId="00000015">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rPr>
          <w:color w:val="000000"/>
        </w:rPr>
      </w:pPr>
      <w:bookmarkStart w:colFirst="0" w:colLast="0" w:name="_heading=h.gk07b6iplabv" w:id="0"/>
      <w:bookmarkEnd w:id="0"/>
      <w:r w:rsidDel="00000000" w:rsidR="00000000" w:rsidRPr="00000000">
        <w:rPr>
          <w:color w:val="000000"/>
          <w:rtl w:val="0"/>
        </w:rPr>
        <w:t xml:space="preserve">Referências bibliográficas </w:t>
      </w:r>
    </w:p>
    <w:p w:rsidR="00000000" w:rsidDel="00000000" w:rsidP="00000000" w:rsidRDefault="00000000" w:rsidRPr="00000000" w14:paraId="00000017">
      <w:pPr>
        <w:spacing w:after="240" w:before="240" w:lineRule="auto"/>
        <w:rPr/>
      </w:pPr>
      <w:r w:rsidDel="00000000" w:rsidR="00000000" w:rsidRPr="00000000">
        <w:rPr>
          <w:rtl w:val="0"/>
        </w:rPr>
        <w:t xml:space="preserve">ASSOCIAÇÃO BRASILEIRA DE ENTIDADES ESTADUAIS DE TECNOLOGIA DA INFORMAÇÃO E COMUNICAÇÃO. Índice ABEP-TIC de oferta de serviços públicos digitais dos governos estaduais e distrital: 2024. 5. ed. Brasília: ABEP-TIC, 2024. Disponível em: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https://abep-tic.org.br/</w:t>
        </w:r>
      </w:hyperlink>
      <w:r w:rsidDel="00000000" w:rsidR="00000000" w:rsidRPr="00000000">
        <w:rPr>
          <w:rtl w:val="0"/>
        </w:rPr>
        <w:t xml:space="preserve">. Acesso em: 11 abr. 2026.</w:t>
      </w:r>
    </w:p>
    <w:p w:rsidR="00000000" w:rsidDel="00000000" w:rsidP="00000000" w:rsidRDefault="00000000" w:rsidRPr="00000000" w14:paraId="00000018">
      <w:pPr>
        <w:spacing w:after="240" w:before="240" w:lineRule="auto"/>
        <w:rPr/>
      </w:pPr>
      <w:r w:rsidDel="00000000" w:rsidR="00000000" w:rsidRPr="00000000">
        <w:rPr>
          <w:rtl w:val="0"/>
        </w:rPr>
        <w:t xml:space="preserve">BANNISTER, Frank; CONNOLLY, Regina. Forward to the past: Lessons for the future of e-government from the story so far. Information Polity, v. 17, n. 3,4, p. 211–226, 4 dez. 2012.</w:t>
      </w:r>
    </w:p>
    <w:p w:rsidR="00000000" w:rsidDel="00000000" w:rsidP="00000000" w:rsidRDefault="00000000" w:rsidRPr="00000000" w14:paraId="00000019">
      <w:pPr>
        <w:spacing w:after="240" w:before="240" w:lineRule="auto"/>
        <w:rPr/>
      </w:pPr>
      <w:r w:rsidDel="00000000" w:rsidR="00000000" w:rsidRPr="00000000">
        <w:rPr>
          <w:rtl w:val="0"/>
        </w:rPr>
        <w:t xml:space="preserve">2023 OECD Digital Government Index: Results and key findings. : OECD Public Governance Policy Papers. [S.l.: S.n.]. Disponível em: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https://www.oecd.org/en/publications/2023-oecd-digital-government-index_1a89ed5e-en.html</w:t>
        </w:r>
      </w:hyperlink>
      <w:r w:rsidDel="00000000" w:rsidR="00000000" w:rsidRPr="00000000">
        <w:rPr>
          <w:rtl w:val="0"/>
        </w:rPr>
        <w:t xml:space="preserve">. Acesso em: 20 mar. 2026.</w:t>
      </w:r>
    </w:p>
    <w:p w:rsidR="00000000" w:rsidDel="00000000" w:rsidP="00000000" w:rsidRDefault="00000000" w:rsidRPr="00000000" w14:paraId="0000001A">
      <w:pPr>
        <w:spacing w:after="240" w:before="240" w:lineRule="auto"/>
        <w:rPr/>
      </w:pPr>
      <w:r w:rsidDel="00000000" w:rsidR="00000000" w:rsidRPr="00000000">
        <w:rPr>
          <w:rtl w:val="0"/>
        </w:rPr>
        <w:t xml:space="preserve">GovTech Maturity Index. Disponível em: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https://openknowledge.worldbank.org/entities/publication/10b535a7-e9d4-51bd-96ed-6b917d5eb09e</w:t>
        </w:r>
      </w:hyperlink>
      <w:r w:rsidDel="00000000" w:rsidR="00000000" w:rsidRPr="00000000">
        <w:rPr>
          <w:rtl w:val="0"/>
        </w:rPr>
        <w:t xml:space="preserve">. Acesso em: 20 mar. 2026.</w:t>
      </w:r>
    </w:p>
    <w:p w:rsidR="00000000" w:rsidDel="00000000" w:rsidP="00000000" w:rsidRDefault="00000000" w:rsidRPr="00000000" w14:paraId="0000001B">
      <w:pPr>
        <w:spacing w:after="240" w:before="240" w:lineRule="auto"/>
        <w:rPr/>
      </w:pPr>
      <w:r w:rsidDel="00000000" w:rsidR="00000000" w:rsidRPr="00000000">
        <w:rPr>
          <w:rtl w:val="0"/>
        </w:rPr>
        <w:t xml:space="preserve">GRÖNLUND, Åke; HORAN, Thomas A. Introducing e-Gov: History, Definitions, and Issues. Communications of the Association for Information Systems, v. 15, 2005.</w:t>
      </w:r>
    </w:p>
    <w:p w:rsidR="00000000" w:rsidDel="00000000" w:rsidP="00000000" w:rsidRDefault="00000000" w:rsidRPr="00000000" w14:paraId="0000001C">
      <w:pPr>
        <w:spacing w:after="240" w:before="240" w:lineRule="auto"/>
        <w:rPr/>
      </w:pPr>
      <w:r w:rsidDel="00000000" w:rsidR="00000000" w:rsidRPr="00000000">
        <w:rPr>
          <w:rtl w:val="0"/>
        </w:rPr>
        <w:t xml:space="preserve">JANOWSKI, Tomasz. Digital government evolution: From transformation to contextualization. Government Information Quarterly, v. 32, n. 3, p. 221–236, jul. 2015.</w:t>
      </w:r>
    </w:p>
    <w:p w:rsidR="00000000" w:rsidDel="00000000" w:rsidP="00000000" w:rsidRDefault="00000000" w:rsidRPr="00000000" w14:paraId="0000001D">
      <w:pPr>
        <w:spacing w:after="240" w:before="240" w:lineRule="auto"/>
        <w:rPr/>
      </w:pPr>
      <w:r w:rsidDel="00000000" w:rsidR="00000000" w:rsidRPr="00000000">
        <w:rPr>
          <w:rtl w:val="0"/>
        </w:rPr>
        <w:t xml:space="preserve">LAYNE, Karen; LEE, Jungwoo. Developing fully functional E-government: A four stage model. Government Information Quarterly, v. 18, n. 2, p. 122–136, jun. 2001.</w:t>
      </w:r>
    </w:p>
    <w:p w:rsidR="00000000" w:rsidDel="00000000" w:rsidP="00000000" w:rsidRDefault="00000000" w:rsidRPr="00000000" w14:paraId="0000001E">
      <w:pPr>
        <w:spacing w:after="240" w:before="240" w:lineRule="auto"/>
        <w:rPr/>
      </w:pPr>
      <w:r w:rsidDel="00000000" w:rsidR="00000000" w:rsidRPr="00000000">
        <w:rPr>
          <w:rtl w:val="0"/>
        </w:rPr>
        <w:t xml:space="preserve">OECD. Government at a Glance 2025. [S.l.]: OECD Publishing, 2025.</w:t>
      </w:r>
    </w:p>
    <w:p w:rsidR="00000000" w:rsidDel="00000000" w:rsidP="00000000" w:rsidRDefault="00000000" w:rsidRPr="00000000" w14:paraId="0000001F">
      <w:pPr>
        <w:spacing w:after="240" w:before="240" w:lineRule="auto"/>
        <w:rPr/>
      </w:pPr>
      <w:r w:rsidDel="00000000" w:rsidR="00000000" w:rsidRPr="00000000">
        <w:rPr>
          <w:rtl w:val="0"/>
        </w:rPr>
        <w:t xml:space="preserve">OECD. The e-Government Imperative. [S.l.]: OECD, 2003.</w:t>
      </w:r>
    </w:p>
    <w:p w:rsidR="00000000" w:rsidDel="00000000" w:rsidP="00000000" w:rsidRDefault="00000000" w:rsidRPr="00000000" w14:paraId="00000020">
      <w:pPr>
        <w:spacing w:after="240" w:before="240" w:lineRule="auto"/>
        <w:rPr/>
      </w:pPr>
      <w:r w:rsidDel="00000000" w:rsidR="00000000" w:rsidRPr="00000000">
        <w:rPr>
          <w:rtl w:val="0"/>
        </w:rPr>
        <w:t xml:space="preserve">ONU. Organização das Nações Unidas. Benchmarking E-Government: a global perspective. Nova York: United Nations, American Society for public administration, 2002.</w:t>
      </w:r>
    </w:p>
    <w:p w:rsidR="00000000" w:rsidDel="00000000" w:rsidP="00000000" w:rsidRDefault="00000000" w:rsidRPr="00000000" w14:paraId="00000021">
      <w:pPr>
        <w:spacing w:after="240" w:before="240" w:lineRule="auto"/>
        <w:rPr/>
      </w:pPr>
      <w:r w:rsidDel="00000000" w:rsidR="00000000" w:rsidRPr="00000000">
        <w:rPr>
          <w:rtl w:val="0"/>
        </w:rPr>
        <w:t xml:space="preserve">PIRES, Roberto Rocha Coelho; GOMIDE, Alexandre De Ávila. Governança e capacidades estatais: uma análise comparativa de programas federais. Revista de Sociologia e Política, v. 24, n. 58, p. 121–143, jun. 2016.</w:t>
      </w:r>
    </w:p>
    <w:p w:rsidR="00000000" w:rsidDel="00000000" w:rsidP="00000000" w:rsidRDefault="00000000" w:rsidRPr="00000000" w14:paraId="00000022">
      <w:pPr>
        <w:spacing w:after="240" w:before="240" w:lineRule="auto"/>
        <w:rPr/>
      </w:pPr>
      <w:r w:rsidDel="00000000" w:rsidR="00000000" w:rsidRPr="00000000">
        <w:rPr>
          <w:rtl w:val="0"/>
        </w:rPr>
        <w:t xml:space="preserve">PRZEYBILOVICZ, Erico; CUNHA, Maria Alexandra; RIBEIRO, Manuella Maia. Decolonizing e-government benchmarking. In: DG.O 2023: DIGITAL GOVERNMENT AND SOLIDARITY. Proceedings of the 24th Annual International Conference on Digital Government Research. Gda?sk Poland: ACM, 11 jul. 2023. Disponível em: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https://dl.acm.org/doi/10.1145/3598469.3598534</w:t>
        </w:r>
      </w:hyperlink>
      <w:r w:rsidDel="00000000" w:rsidR="00000000" w:rsidRPr="00000000">
        <w:rPr>
          <w:rtl w:val="0"/>
        </w:rPr>
        <w:t xml:space="preserve">. Acesso em: 20 mar. 2026</w:t>
      </w:r>
    </w:p>
    <w:p w:rsidR="00000000" w:rsidDel="00000000" w:rsidP="00000000" w:rsidRDefault="00000000" w:rsidRPr="00000000" w14:paraId="00000023">
      <w:pPr>
        <w:spacing w:after="240" w:before="240" w:lineRule="auto"/>
        <w:rPr/>
      </w:pPr>
      <w:r w:rsidDel="00000000" w:rsidR="00000000" w:rsidRPr="00000000">
        <w:rPr>
          <w:rtl w:val="0"/>
        </w:rPr>
        <w:t xml:space="preserve">SKARGREN, Fredric. What is the point of benchmarking e-government? An integrative and critical literature review on the phenomenon of benchmarking e-government. Information Polity, v. 25, n. 1, p. 67–89, mar. 2020.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360" w:lineRule="auto"/>
    </w:pPr>
    <w:rPr>
      <w:rFonts w:ascii="Times New Roman" w:cs="Times New Roman" w:eastAsia="Times New Roman" w:hAnsi="Times New Roman"/>
      <w:b w:val="1"/>
      <w:bCs w:val="1"/>
      <w:i w:val="0"/>
      <w:iCs w:val="0"/>
      <w:color w:val="366091"/>
      <w:sz w:val="24"/>
      <w:szCs w:val="24"/>
    </w:rPr>
  </w:style>
  <w:style w:type="paragraph" w:styleId="Heading2">
    <w:name w:val="heading 2"/>
    <w:basedOn w:val="Normal"/>
    <w:next w:val="Normal"/>
    <w:pPr>
      <w:keepNext w:val="1"/>
      <w:keepLines w:val="1"/>
      <w:spacing w:after="120" w:before="240" w:line="360" w:lineRule="auto"/>
    </w:pPr>
    <w:rPr>
      <w:rFonts w:ascii="Times New Roman" w:cs="Times New Roman" w:eastAsia="Times New Roman" w:hAnsi="Times New Roman"/>
      <w:b w:val="1"/>
      <w:bCs w:val="1"/>
      <w:i w:val="0"/>
      <w:iCs w:val="0"/>
      <w:color w:val="4f81bd"/>
      <w:sz w:val="24"/>
      <w:szCs w:val="24"/>
    </w:rPr>
  </w:style>
  <w:style w:type="paragraph" w:styleId="Heading3">
    <w:name w:val="heading 3"/>
    <w:basedOn w:val="Normal"/>
    <w:next w:val="Normal"/>
    <w:pPr>
      <w:keepNext w:val="1"/>
      <w:keepLines w:val="1"/>
      <w:spacing w:after="60" w:before="120" w:line="360" w:lineRule="auto"/>
    </w:pPr>
    <w:rPr>
      <w:rFonts w:ascii="Times New Roman" w:cs="Times New Roman" w:eastAsia="Times New Roman" w:hAnsi="Times New Roman"/>
      <w:b w:val="1"/>
      <w:bCs w:val="1"/>
      <w:i w:val="0"/>
      <w:iCs w:val="0"/>
      <w:color w:val="4f81bd"/>
      <w:sz w:val="24"/>
      <w:szCs w:val="24"/>
    </w:rPr>
  </w:style>
  <w:style w:type="paragraph" w:styleId="Heading4">
    <w:name w:val="heading 4"/>
    <w:basedOn w:val="Normal"/>
    <w:next w:val="Normal"/>
    <w:pPr>
      <w:keepNext w:val="1"/>
      <w:keepLines w:val="1"/>
      <w:spacing w:after="60" w:before="120" w:line="360" w:lineRule="auto"/>
    </w:pPr>
    <w:rPr>
      <w:rFonts w:ascii="Times New Roman" w:cs="Times New Roman" w:eastAsia="Times New Roman" w:hAnsi="Times New Roman"/>
      <w:b w:val="0"/>
      <w:bCs w:val="0"/>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60" w:before="0" w:line="360" w:lineRule="auto"/>
      <w:contextualSpacing w:val="1"/>
      <w:jc w:val="both"/>
    </w:pPr>
    <w:rPr>
      <w:rFonts w:ascii="Times New Roman" w:hAnsi="Times New Roman"/>
      <w:sz w:val="24"/>
    </w:rPr>
  </w:style>
  <w:style w:type="paragraph" w:styleId="ListBullet2">
    <w:name w:val="List Bullet 2"/>
    <w:basedOn w:val="Normal"/>
    <w:uiPriority w:val="99"/>
    <w:unhideWhenUsed w:val="1"/>
    <w:rsid w:val="00326F90"/>
    <w:pPr>
      <w:numPr>
        <w:numId w:val="2"/>
      </w:numPr>
      <w:spacing w:after="60" w:before="0" w:line="360" w:lineRule="auto"/>
      <w:contextualSpacing w:val="1"/>
      <w:jc w:val="both"/>
    </w:pPr>
    <w:rPr>
      <w:rFonts w:ascii="Times New Roman" w:hAnsi="Times New Roman"/>
      <w:sz w:val="24"/>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60" w:before="0" w:line="360" w:lineRule="auto"/>
      <w:contextualSpacing w:val="1"/>
      <w:jc w:val="both"/>
    </w:pPr>
    <w:rPr>
      <w:rFonts w:ascii="Times New Roman" w:hAnsi="Times New Roman"/>
      <w:sz w:val="24"/>
    </w:rPr>
  </w:style>
  <w:style w:type="paragraph" w:styleId="ListNumber2">
    <w:name w:val="List Number 2"/>
    <w:basedOn w:val="Normal"/>
    <w:uiPriority w:val="99"/>
    <w:unhideWhenUsed w:val="1"/>
    <w:rsid w:val="0029639D"/>
    <w:pPr>
      <w:numPr>
        <w:numId w:val="6"/>
      </w:numPr>
      <w:spacing w:after="60" w:before="0" w:line="360" w:lineRule="auto"/>
      <w:contextualSpacing w:val="1"/>
      <w:jc w:val="both"/>
    </w:pPr>
    <w:rPr>
      <w:rFonts w:ascii="Times New Roman" w:hAnsi="Times New Roman"/>
      <w:sz w:val="24"/>
    </w:r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openknowledge.worldbank.org/entities/publication/10b535a7-e9d4-51bd-96ed-6b917d5eb09e" TargetMode="External"/><Relationship Id="rId10" Type="http://schemas.openxmlformats.org/officeDocument/2006/relationships/hyperlink" Target="https://www.oecd.org/en/publications/2023-oecd-digital-government-index_1a89ed5e-en.html" TargetMode="External"/><Relationship Id="rId13" Type="http://schemas.openxmlformats.org/officeDocument/2006/relationships/hyperlink" Target="https://dl.acm.org/doi/10.1145/3598469.3598534" TargetMode="External"/><Relationship Id="rId12" Type="http://schemas.openxmlformats.org/officeDocument/2006/relationships/hyperlink" Target="https://openknowledge.worldbank.org/entities/publication/10b535a7-e9d4-51bd-96ed-6b917d5eb09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ecd.org/en/publications/2023-oecd-digital-government-index_1a89ed5e-en.html" TargetMode="External"/><Relationship Id="rId14" Type="http://schemas.openxmlformats.org/officeDocument/2006/relationships/hyperlink" Target="https://dl.acm.org/doi/10.1145/3598469.359853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bep-tic.org.br/" TargetMode="External"/><Relationship Id="rId8" Type="http://schemas.openxmlformats.org/officeDocument/2006/relationships/hyperlink" Target="https://abep-tic.org.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bjR1xzzKR4ju7lnAywWsKAWLlQ==">CgMxLjAyDmguZ2swN2I2aXBsYWJ2OAByITFwUUhRZUhoNW5wSzlMV3JkQlZwRTJBQjI0RnF4YmdqZg==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