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sz w:val="36"/>
          <w:szCs w:val="36"/>
          <w:color w:val="1E3A5F"/>
          <w:rFonts w:ascii="Calibri" w:hAnsi="Calibri"/>
        </w:rPr>
        <w:t xml:space="preserve">Observatório de Governo Digital</w:t>
      </w:r>
    </w:p>
    <w:p>
      <w:pPr>
        <w:spacing w:after="160"/>
      </w:pPr>
      <w:r>
        <w:rPr>
          <w:b/>
          <w:sz w:val="28"/>
          <w:szCs w:val="28"/>
          <w:color w:val="4775CA"/>
          <w:rFonts w:ascii="Calibri" w:hAnsi="Calibri"/>
        </w:rPr>
        <w:t xml:space="preserve">Alinhamento interno — pré-apresentação com o cliente</w:t>
      </w:r>
    </w:p>
    <w:p>
      <w:pPr>
        <w:spacing w:after="40"/>
      </w:pPr>
      <w:r>
        <w:rPr>
          <w:b/>
          <w:rFonts w:ascii="Calibri" w:hAnsi="Calibri"/>
          <w:sz w:val="22"/>
        </w:rPr>
        <w:t xml:space="preserve">Para: </w:t>
      </w:r>
      <w:r>
        <w:rPr>
          <w:rFonts w:ascii="Calibri" w:hAnsi="Calibri"/>
          <w:sz w:val="22"/>
        </w:rPr>
        <w:t xml:space="preserve">time interno (Suelane, Luiza, Gabriel, Caio, engenharia)</w:t>
      </w:r>
    </w:p>
    <w:p>
      <w:pPr>
        <w:spacing w:after="40"/>
      </w:pPr>
      <w:r>
        <w:rPr>
          <w:b/>
          <w:rFonts w:ascii="Calibri" w:hAnsi="Calibri"/>
          <w:sz w:val="22"/>
        </w:rPr>
        <w:t xml:space="preserve">Objetivo: </w:t>
      </w:r>
      <w:r>
        <w:rPr>
          <w:rFonts w:ascii="Calibri" w:hAnsi="Calibri"/>
          <w:sz w:val="22"/>
        </w:rPr>
        <w:t xml:space="preserve">alinhar o que respondemos aos pontos do cliente / pontos que levantamos, o que já está na plataforma, dúvidas em aberto e o que ainda está mockado — antes da apresentação com o cliente final.</w:t>
      </w:r>
    </w:p>
    <w:p>
      <w:pPr>
        <w:spacing w:after="200"/>
      </w:pPr>
      <w:r>
        <w:rPr>
          <w:b/>
          <w:rFonts w:ascii="Calibri" w:hAnsi="Calibri"/>
          <w:sz w:val="22"/>
        </w:rPr>
        <w:t xml:space="preserve">Data: </w:t>
      </w:r>
      <w:r>
        <w:rPr>
          <w:rFonts w:ascii="Calibri" w:hAnsi="Calibri"/>
          <w:sz w:val="22"/>
        </w:rPr>
        <w:t xml:space="preserve">28/07/2026</w:t>
      </w:r>
    </w:p>
    <w:p>
      <w:pPr>
        <w:spacing w:after="120"/>
        <w:pStyle w:val="Heading2"/>
      </w:pPr>
      <w:r>
        <w:rPr>
          <w:rFonts w:ascii="Calibri" w:hAnsi="Calibri"/>
        </w:rPr>
        <w:t xml:space="preserve">1. Para que serve este documento</w:t>
      </w:r>
    </w:p>
    <w:p>
      <w:pPr>
        <w:spacing w:after="120"/>
      </w:pPr>
      <w:r>
        <w:rPr>
          <w:rFonts w:ascii="Calibri" w:hAnsi="Calibri"/>
        </w:rPr>
        <w:t xml:space="preserve">Após o feedback do cliente (~22/07) e a rodada de evolução da interface, a plataforma oficial já incorpora as decisões principais de produto e a UI alinhada ao que validamos no protótipo. Este texto resume o estado atual para facilitar a rodada de feedbacks internos.</w:t>
      </w:r>
    </w:p>
    <w:p>
      <w:pPr>
        <w:spacing w:after="120"/>
      </w:pPr>
      <w:r>
        <w:rPr>
          <w:rFonts w:ascii="Calibri" w:hAnsi="Calibri"/>
        </w:rPr>
        <w:t xml:space="preserve">Não separamos aqui “o que veio do design” vs “o que veio da engenharia”: o foco é o que a plataforma faz hoje em relação a cada ponto.</w:t>
      </w:r>
    </w:p>
    <w:p>
      <w:pPr>
        <w:spacing w:after="120"/>
        <w:pStyle w:val="Heading2"/>
      </w:pPr>
      <w:r>
        <w:rPr>
          <w:rFonts w:ascii="Calibri" w:hAnsi="Calibri"/>
        </w:rPr>
        <w:t xml:space="preserve">2. Pontos do cliente / do time → o que foi feito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00"/>
        <w:gridCol w:w="5000"/>
      </w:tblGrid>
      <w:tr>
        <w:tc>
          <w:tcPr>
            <w:tcW w:w="0" w:type="auto"/>
            <w:shd w:val="clear" w:fill="E8EEF7"/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18"/>
              </w:rPr>
              <w:t xml:space="preserve">Ponto</w:t>
            </w:r>
          </w:p>
        </w:tc>
        <w:tc>
          <w:tcPr>
            <w:tcW w:w="0" w:type="auto"/>
            <w:shd w:val="clear" w:fill="E8EEF7"/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18"/>
              </w:rPr>
              <w:t xml:space="preserve">O que decidimos / implementamos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Não usar média / índice geral entre objetivos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Removido da interface. Ranking e destaques usam o sub-índice do objetivo selecionado (ou score de tag temática, quando aplicável).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Ranking claro sobre o critério de ordenação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Filtros de nível + “Ordenar por” (Objetivos da ENGD ou Categorias temáticas) + seleção explícita do objetivo/tag.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Página de variável + série histórica isolada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Removidas. Variáveis aparecem na página do objetivo como lista com download (sem drill-down temporal).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Objetivo 3 (Identificação Única)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Desabilitado na UI (chip com tooltip + aviso). Lacunas reais de cobertura de outros objetivos (ex.: 8 e 10) continuam refletindo os dados.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Categorias / tags temáticas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Fluxo na UI pronto (Indicadores e Ranking). Lista e scores ainda são ilustrativos (~20 tags), até a lista oficial (~50–60) e os scores.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Versão com e sem ranking (teste A/B)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Versão A: site com ranking. Versão B: prefixo /v2 (ou flag de deploy) sem ranking.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Objetivos com cobertura precária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Há nota técnica na Metodologia (texto ainda provisório / mock para validação).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Municípios além das capitais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Adiado nesta etapa. Nível municipal = capitais.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Idioma EN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Fora de escopo nesta fase (plataforma em português).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rFonts w:ascii="Calibri" w:hAnsi="Calibri"/>
          <w:sz w:val="22"/>
        </w:rPr>
        <w:t xml:space="preserve">Esclarecimento útil: </w:t>
      </w:r>
      <w:r>
        <w:rPr>
          <w:rFonts w:ascii="Calibri" w:hAnsi="Calibri"/>
          <w:sz w:val="22"/>
        </w:rPr>
        <w:t xml:space="preserve">“sub-índice” (nota de um objetivo) não é o índice geral. O cliente pediu para tirar a média transversal; o sub-índice por objetivo permanece como métrica principal.</w:t>
      </w:r>
    </w:p>
    <w:p>
      <w:pPr>
        <w:spacing w:after="120"/>
        <w:pStyle w:val="Heading2"/>
      </w:pPr>
      <w:r>
        <w:rPr>
          <w:rFonts w:ascii="Calibri" w:hAnsi="Calibri"/>
        </w:rPr>
        <w:t xml:space="preserve">3. Extras que também entraram</w:t>
      </w:r>
    </w:p>
    <w:p>
      <w:pPr>
        <w:spacing w:after="120"/>
      </w:pPr>
      <w:r>
        <w:rPr>
          <w:rFonts w:ascii="Calibri" w:hAnsi="Calibri"/>
        </w:rPr>
        <w:t xml:space="preserve">Melhorias de usabilidade e fidelidade da interface que ajudam na apresentação: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Home redesenhada (hero, ordem de seções, mapa/dados abertos quando aplicável, parceiros).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Mapa do Brasil e bandeiras no Ranking (nível estadual).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URL compartilhável nos filtros de Ranking e Indicadores (facilita enviar um recorte específico no feedback).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No Ranking, ao abrir um ente, o detalhe respeita o objetivo selecionado (não “cai” sempre no objetivo 1).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Página do objetivo alinhada: lista de variáveis com ações de fonte/download; sem bloco de recomendações nessa tela (recomendações ENGD seguem em Objetivos).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Ajuste fino de gráficos (ex.: remoção da badge com nome do ente no topo da coluna em “Posição no objetivo”).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Tela de loading/abertura da home foi retirada (impacto em UX e SEO).</w:t>
      </w:r>
    </w:p>
    <w:p>
      <w:pPr>
        <w:spacing w:after="120"/>
        <w:pStyle w:val="Heading2"/>
      </w:pPr>
      <w:r>
        <w:rPr>
          <w:rFonts w:ascii="Calibri" w:hAnsi="Calibri"/>
        </w:rPr>
        <w:t xml:space="preserve">4. Pontos em aberto / dúvidas para alinhar internamente</w:t>
      </w:r>
    </w:p>
    <w:p>
      <w:pPr>
        <w:spacing w:after="120"/>
      </w:pPr>
      <w:r>
        <w:rPr>
          <w:rFonts w:ascii="Calibri" w:hAnsi="Calibri"/>
        </w:rPr>
        <w:t xml:space="preserve">Pedimos uma posição do time nestes itens antes (ou durante) a apresentação: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1. Texto do Objetivo 3 — </w:t>
      </w:r>
      <w:r>
        <w:rPr>
          <w:rFonts w:ascii="Calibri" w:hAnsi="Calibri"/>
          <w:sz w:val="22"/>
        </w:rPr>
        <w:t xml:space="preserve">o motivo exibido no tooltip ainda é provisório. Quem valida o texto final (Luiza / Gabriel / conteúdo)?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2. Nota dos objetivos precários — </w:t>
      </w:r>
      <w:r>
        <w:rPr>
          <w:rFonts w:ascii="Calibri" w:hAnsi="Calibri"/>
          <w:sz w:val="22"/>
        </w:rPr>
        <w:t xml:space="preserve">confirmamos quais são os quatro, o que foi avaliado e o que ficou de fora? O mock atual é só placeholder.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3. Tags temáticas na demo — </w:t>
      </w:r>
      <w:r>
        <w:rPr>
          <w:rFonts w:ascii="Calibri" w:hAnsi="Calibri"/>
          <w:sz w:val="22"/>
        </w:rPr>
        <w:t xml:space="preserve">apresentamos com o aviso claro de que são ilustrativas, ou preferimos esconder o modo “temáticas” até os dados oficiais?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4. Download de variáveis — </w:t>
      </w:r>
      <w:r>
        <w:rPr>
          <w:rFonts w:ascii="Calibri" w:hAnsi="Calibri"/>
          <w:sz w:val="22"/>
        </w:rPr>
        <w:t xml:space="preserve">na demo o arquivo ainda é exemplo gerado no navegador. Combinamos avisar o cliente ou priorizamos URL real antes da apresentação?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5. Municípios extras — </w:t>
      </w:r>
      <w:r>
        <w:rPr>
          <w:rFonts w:ascii="Calibri" w:hAnsi="Calibri"/>
          <w:sz w:val="22"/>
        </w:rPr>
        <w:t xml:space="preserve">confirmamos com o cliente que nesta versão municipal = capitais, e que a expansão fica para depois?</w:t>
      </w:r>
    </w:p>
    <w:p>
      <w:pPr>
        <w:spacing w:after="80"/>
      </w:pPr>
      <w:r>
        <w:rPr>
          <w:b/>
          <w:rFonts w:ascii="Calibri" w:hAnsi="Calibri"/>
          <w:sz w:val="22"/>
        </w:rPr>
        <w:t xml:space="preserve">6. Versão B (/v2) — </w:t>
      </w:r>
      <w:r>
        <w:rPr>
          <w:rFonts w:ascii="Calibri" w:hAnsi="Calibri"/>
          <w:sz w:val="22"/>
        </w:rPr>
        <w:t xml:space="preserve">vamos mostrar as duas versões na apresentação? Quem decide qual fica “oficial” no go-live?</w:t>
      </w:r>
    </w:p>
    <w:p>
      <w:pPr>
        <w:spacing w:after="120"/>
      </w:pPr>
      <w:r>
        <w:rPr>
          <w:rFonts w:ascii="Calibri" w:hAnsi="Calibri"/>
        </w:rPr>
        <w:t xml:space="preserve">Se algum desses já estiver decidido no time, basta riscar na próxima revisão deste documento.</w:t>
      </w:r>
    </w:p>
    <w:p>
      <w:pPr>
        <w:spacing w:after="120"/>
        <w:pStyle w:val="Heading2"/>
      </w:pPr>
      <w:r>
        <w:rPr>
          <w:rFonts w:ascii="Calibri" w:hAnsi="Calibri"/>
        </w:rPr>
        <w:t xml:space="preserve">5. O que está mockado (e o que precisaríamos dos dados oficiais)</w:t>
      </w:r>
    </w:p>
    <w:p>
      <w:pPr>
        <w:spacing w:after="120"/>
      </w:pPr>
      <w:r>
        <w:rPr>
          <w:rFonts w:ascii="Calibri" w:hAnsi="Calibri"/>
        </w:rPr>
        <w:t xml:space="preserve">A maior parte do índice por objetivo ENGD (federal / UF / capitais) já usa a base entregue. O que ainda é mock / provisório: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0"/>
        <w:gridCol w:w="3300"/>
        <w:gridCol w:w="3300"/>
      </w:tblGrid>
      <w:tr>
        <w:tc>
          <w:tcPr>
            <w:tcW w:w="0" w:type="auto"/>
            <w:shd w:val="clear" w:fill="E8EEF7"/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18"/>
              </w:rPr>
              <w:t xml:space="preserve">O quê</w:t>
            </w:r>
          </w:p>
        </w:tc>
        <w:tc>
          <w:tcPr>
            <w:tcW w:w="0" w:type="auto"/>
            <w:shd w:val="clear" w:fill="E8EEF7"/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18"/>
              </w:rPr>
              <w:t xml:space="preserve">Para quê na UI</w:t>
            </w:r>
          </w:p>
        </w:tc>
        <w:tc>
          <w:tcPr>
            <w:tcW w:w="0" w:type="auto"/>
            <w:shd w:val="clear" w:fill="E8EEF7"/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18"/>
              </w:rPr>
              <w:t xml:space="preserve">O que precisaríamos oficialmente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Tags temáticas (catálogo + scores + “variáveis da tag”)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Ordenar / comparar por tema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Lista canônica (~50–60), mapeamento tag→indicadores e nota já agregada por ente × tag × edição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Motivo do Obj. 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Tooltip / comunicação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Texto aprovado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Nota dos objetivos precários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Metodologia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Conteúdo validado (o que entrou / o que não entrou e por quê)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Arquivo de download da variável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Botão “baixar dados”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URL ou arquivo real por indicador (ou pacote por objetivo × ente)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rFonts w:ascii="Calibri" w:hAnsi="Calibri"/>
          <w:sz w:val="22"/>
        </w:rPr>
        <w:t xml:space="preserve">Quando retomar municípios extras: </w:t>
      </w:r>
      <w:r>
        <w:rPr>
          <w:rFonts w:ascii="Calibri" w:hAnsi="Calibri"/>
          <w:sz w:val="22"/>
        </w:rPr>
        <w:t xml:space="preserve">lista oficial no critério acordado + mesmos campos de índice/posição (e tags, se houver) no schema das capitais.</w:t>
      </w:r>
    </w:p>
    <w:p>
      <w:pPr>
        <w:spacing w:after="120"/>
      </w:pPr>
      <w:r>
        <w:rPr>
          <w:b/>
          <w:rFonts w:ascii="Calibri" w:hAnsi="Calibri"/>
          <w:sz w:val="22"/>
        </w:rPr>
        <w:t xml:space="preserve">Preferência da engenharia: </w:t>
      </w:r>
      <w:r>
        <w:rPr>
          <w:rFonts w:ascii="Calibri" w:hAnsi="Calibri"/>
          <w:sz w:val="22"/>
        </w:rPr>
        <w:t xml:space="preserve">receber números já agregados; o front calcula o mínimo possível.</w:t>
      </w:r>
    </w:p>
    <w:p>
      <w:pPr>
        <w:spacing w:after="120"/>
      </w:pPr>
      <w:r>
        <w:rPr>
          <w:b/>
          <w:rFonts w:ascii="Calibri" w:hAnsi="Calibri"/>
          <w:sz w:val="22"/>
        </w:rPr>
        <w:t xml:space="preserve">Fora de escopo de pedido de dados nesta fase: </w:t>
      </w:r>
      <w:r>
        <w:rPr>
          <w:rFonts w:ascii="Calibri" w:hAnsi="Calibri"/>
          <w:sz w:val="22"/>
        </w:rPr>
        <w:t xml:space="preserve">série histórica isolada por variável (a UI dessa página foi removida).</w:t>
      </w:r>
    </w:p>
    <w:p>
      <w:pPr>
        <w:spacing w:after="120"/>
        <w:pStyle w:val="Heading2"/>
      </w:pPr>
      <w:r>
        <w:rPr>
          <w:rFonts w:ascii="Calibri" w:hAnsi="Calibri"/>
        </w:rPr>
        <w:t xml:space="preserve">6. Como navegar rápido na versão atual (para quem for revisar)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Home: /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Indicadores (exemplo): /indicadores?nivel=estadual&amp;entes=sp&amp;por=objetivos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Ranking (exemplo): /ranking?nivel=estadual&amp;por=objetivos&amp;objetivo=gestao-e-governanca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Versão sem ranking: /v2</w:t>
      </w:r>
    </w:p>
    <w:p>
      <w:pPr>
        <w:spacing w:after="60"/>
        <w:ind w:left="360"/>
      </w:pPr>
      <w:r>
        <w:rPr>
          <w:rFonts w:ascii="Calibri" w:hAnsi="Calibri"/>
          <w:sz w:val="22"/>
        </w:rPr>
        <w:t xml:space="preserve">• Metodologia (nota precária mock): /metodologia</w:t>
      </w:r>
    </w:p>
    <w:p>
      <w:pPr>
        <w:spacing w:after="120"/>
        <w:pStyle w:val="Heading2"/>
      </w:pPr>
      <w:r>
        <w:rPr>
          <w:rFonts w:ascii="Calibri" w:hAnsi="Calibri"/>
        </w:rPr>
        <w:t xml:space="preserve">7. Próximo passo sugerido</w:t>
      </w:r>
    </w:p>
    <w:p>
      <w:pPr>
        <w:spacing w:after="60"/>
      </w:pPr>
      <w:r>
        <w:rPr>
          <w:rFonts w:ascii="Calibri" w:hAnsi="Calibri"/>
        </w:rPr>
        <w:t xml:space="preserve">1. Cada um revisa este resumo e anota feedbacks (produto, dados, visual, copy).</w:t>
      </w:r>
    </w:p>
    <w:p>
      <w:pPr>
        <w:spacing w:after="60"/>
      </w:pPr>
      <w:r>
        <w:rPr>
          <w:rFonts w:ascii="Calibri" w:hAnsi="Calibri"/>
        </w:rPr>
        <w:t xml:space="preserve">2. Fechamos os itens da seção 4 que forem bloqueadores da apresentação.</w:t>
      </w:r>
    </w:p>
    <w:p>
      <w:pPr>
        <w:spacing w:after="60"/>
      </w:pPr>
      <w:r>
        <w:rPr>
          <w:rFonts w:ascii="Calibri" w:hAnsi="Calibri"/>
        </w:rPr>
        <w:t xml:space="preserve">3. Só então levamos ao cliente o pacote alinhado (incluindo o que ainda é mock, com transparência).</w:t>
      </w:r>
    </w:p>
    <w:p>
      <w:pPr>
        <w:spacing w:after="120"/>
      </w:pPr>
      <w:r>
        <w:rPr>
          <w:rFonts w:ascii="Calibri" w:hAnsi="Calibri"/>
        </w:rPr>
        <w:t xml:space="preserve">Dúvidas ou correções: responder no grupo / comentar no documento compartilhado.</w:t>
      </w:r>
    </w:p>
    <w:sectPr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rPr>
      <w:b/>
      <w:sz w:val="32"/>
      <w:color w:val="1E3A5F"/>
    </w:rPr>
  </w:style>
  <w:style w:type="paragraph" w:styleId="Heading2">
    <w:name w:val="heading 2"/>
    <w:basedOn w:val="Normal"/>
    <w:pPr>
      <w:spacing w:before="240" w:after="120"/>
    </w:pPr>
    <w:rPr>
      <w:b/>
      <w:sz w:val="26"/>
      <w:color w:val="1E3A5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