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AB89" w14:textId="0704EF01" w:rsidR="009772A7" w:rsidRDefault="003F2F1B">
      <w:pPr>
        <w:rPr>
          <w:sz w:val="32"/>
          <w:szCs w:val="32"/>
        </w:rPr>
      </w:pPr>
      <w:r>
        <w:rPr>
          <w:sz w:val="32"/>
          <w:szCs w:val="32"/>
        </w:rPr>
        <w:t>Análisis</w:t>
      </w:r>
      <w:r w:rsidR="009772A7">
        <w:rPr>
          <w:sz w:val="32"/>
          <w:szCs w:val="32"/>
        </w:rPr>
        <w:t xml:space="preserve"> del sector </w:t>
      </w:r>
      <w:r>
        <w:rPr>
          <w:sz w:val="32"/>
          <w:szCs w:val="32"/>
        </w:rPr>
        <w:t>económico</w:t>
      </w:r>
      <w:r w:rsidR="009772A7">
        <w:rPr>
          <w:sz w:val="32"/>
          <w:szCs w:val="32"/>
        </w:rPr>
        <w:t xml:space="preserve"> de emiratos </w:t>
      </w:r>
      <w:r w:rsidR="003314A1">
        <w:rPr>
          <w:sz w:val="32"/>
          <w:szCs w:val="32"/>
        </w:rPr>
        <w:t>árabes</w:t>
      </w:r>
      <w:r w:rsidR="009772A7">
        <w:rPr>
          <w:sz w:val="32"/>
          <w:szCs w:val="32"/>
        </w:rPr>
        <w:t xml:space="preserve"> unidos</w:t>
      </w:r>
      <w:r>
        <w:rPr>
          <w:sz w:val="32"/>
          <w:szCs w:val="32"/>
        </w:rPr>
        <w:t xml:space="preserve"> (2019-2024) </w:t>
      </w:r>
    </w:p>
    <w:p w14:paraId="780C201F" w14:textId="77777777" w:rsidR="009772A7" w:rsidRDefault="009772A7">
      <w:pPr>
        <w:rPr>
          <w:sz w:val="32"/>
          <w:szCs w:val="32"/>
        </w:rPr>
      </w:pPr>
    </w:p>
    <w:p w14:paraId="61F9B81F" w14:textId="0573263B" w:rsidR="00701731" w:rsidRDefault="00701731" w:rsidP="00701731">
      <w:pPr>
        <w:pStyle w:val="Ttulo3"/>
        <w:numPr>
          <w:ilvl w:val="0"/>
          <w:numId w:val="10"/>
        </w:numPr>
        <w:rPr>
          <w:rFonts w:eastAsia="Times New Roman"/>
          <w:kern w:val="0"/>
          <w:sz w:val="27"/>
          <w:szCs w:val="27"/>
          <w14:ligatures w14:val="none"/>
        </w:rPr>
      </w:pPr>
      <w:r>
        <w:rPr>
          <w:rFonts w:eastAsia="Times New Roman"/>
        </w:rPr>
        <w:t>PIB total y del sector</w:t>
      </w:r>
    </w:p>
    <w:p w14:paraId="4419650A" w14:textId="77777777" w:rsidR="00701731" w:rsidRDefault="00701731" w:rsidP="00701731">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PIB total del país (en USD):</w:t>
      </w:r>
      <w:r>
        <w:rPr>
          <w:rFonts w:eastAsia="Times New Roman"/>
        </w:rPr>
        <w:t xml:space="preserve"> El PIB nominal de los Emiratos Árabes Unidos se consolida en aproximadamente </w:t>
      </w:r>
      <w:r>
        <w:rPr>
          <w:rFonts w:eastAsia="Times New Roman"/>
          <w:b/>
          <w:bCs/>
        </w:rPr>
        <w:t>552.32 mil millones de dólares (USD)</w:t>
      </w:r>
      <w:r>
        <w:rPr>
          <w:rFonts w:eastAsia="Times New Roman"/>
        </w:rPr>
        <w:t>, posicionándose como una economía altamente robusta y dinámica.</w:t>
      </w:r>
    </w:p>
    <w:p w14:paraId="24EE2F2F" w14:textId="7221D6A0" w:rsidR="009772A7" w:rsidRDefault="005A3F6C" w:rsidP="005A3F6C">
      <w:pPr>
        <w:numPr>
          <w:ilvl w:val="0"/>
          <w:numId w:val="9"/>
        </w:numPr>
        <w:spacing w:before="100" w:beforeAutospacing="1" w:after="100" w:afterAutospacing="1" w:line="240" w:lineRule="auto"/>
        <w:rPr>
          <w:rFonts w:eastAsia="Times New Roman"/>
          <w:kern w:val="0"/>
          <w14:ligatures w14:val="none"/>
        </w:rPr>
      </w:pPr>
      <w:r>
        <w:rPr>
          <w:rFonts w:eastAsia="Times New Roman"/>
          <w:b/>
          <w:bCs/>
        </w:rPr>
        <w:t>PIB del sector específico (Floricultura):</w:t>
      </w:r>
      <w:r>
        <w:rPr>
          <w:rFonts w:eastAsia="Times New Roman"/>
        </w:rPr>
        <w:t xml:space="preserve"> Debido a las condiciones climáticas desérticas de la región, la producción local es muy reducida. Sin embargo, el mercado de consumo de la floricultura en los EAU es de un valor extremadamente alto, impulsado por el sector corporativo, la hotelería de ultra-lujo, los eventos masivos y el alto poder adquisitivo de sus habitantes.</w:t>
      </w:r>
    </w:p>
    <w:p w14:paraId="319E7507" w14:textId="77777777" w:rsidR="005A3F6C" w:rsidRPr="005A3F6C" w:rsidRDefault="005A3F6C" w:rsidP="005A3F6C">
      <w:pPr>
        <w:spacing w:before="100" w:beforeAutospacing="1" w:after="100" w:afterAutospacing="1" w:line="240" w:lineRule="auto"/>
        <w:ind w:left="720"/>
        <w:rPr>
          <w:rFonts w:eastAsia="Times New Roman"/>
          <w:kern w:val="0"/>
          <w14:ligatures w14:val="none"/>
        </w:rPr>
      </w:pPr>
    </w:p>
    <w:p w14:paraId="1A66362B" w14:textId="77777777" w:rsidR="00D32A0D" w:rsidRDefault="00D32A0D">
      <w:pPr>
        <w:pStyle w:val="Ttulo3"/>
        <w:rPr>
          <w:rFonts w:eastAsia="Times New Roman"/>
          <w:kern w:val="0"/>
          <w:sz w:val="27"/>
          <w:szCs w:val="27"/>
          <w14:ligatures w14:val="none"/>
        </w:rPr>
      </w:pPr>
      <w:r>
        <w:rPr>
          <w:rFonts w:eastAsia="Times New Roman"/>
        </w:rPr>
        <w:t>2. Tipo y tasa de cambio</w:t>
      </w:r>
    </w:p>
    <w:p w14:paraId="5E38DF1E" w14:textId="77777777" w:rsidR="00D32A0D" w:rsidRDefault="00D32A0D" w:rsidP="00D32A0D">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Tipo de cambio frente al USD y COP:</w:t>
      </w:r>
      <w:r>
        <w:rPr>
          <w:rFonts w:eastAsia="Times New Roman"/>
        </w:rPr>
        <w:t xml:space="preserve"> La moneda oficial del país es el Dírham de los Emiratos Árabes Unidos (AED). Un factor crucial es que el dírham está </w:t>
      </w:r>
      <w:r>
        <w:rPr>
          <w:rFonts w:eastAsia="Times New Roman"/>
          <w:b/>
          <w:bCs/>
        </w:rPr>
        <w:t>anclado (</w:t>
      </w:r>
      <w:proofErr w:type="spellStart"/>
      <w:r>
        <w:rPr>
          <w:rFonts w:eastAsia="Times New Roman"/>
          <w:b/>
          <w:bCs/>
        </w:rPr>
        <w:t>pegged</w:t>
      </w:r>
      <w:proofErr w:type="spellEnd"/>
      <w:r>
        <w:rPr>
          <w:rFonts w:eastAsia="Times New Roman"/>
          <w:b/>
          <w:bCs/>
        </w:rPr>
        <w:t>) formalmente al dólar estadounidense (USD)</w:t>
      </w:r>
      <w:r>
        <w:rPr>
          <w:rFonts w:eastAsia="Times New Roman"/>
        </w:rPr>
        <w:t xml:space="preserve"> a una tasa fija invariable de </w:t>
      </w:r>
      <w:r>
        <w:rPr>
          <w:rFonts w:eastAsia="Times New Roman"/>
          <w:b/>
          <w:bCs/>
        </w:rPr>
        <w:t>3.67 AED por 1 USD</w:t>
      </w:r>
      <w:r>
        <w:rPr>
          <w:rFonts w:eastAsia="Times New Roman"/>
        </w:rPr>
        <w:t>.</w:t>
      </w:r>
    </w:p>
    <w:p w14:paraId="01F14AD3" w14:textId="77777777" w:rsidR="0027142C" w:rsidRDefault="0027142C" w:rsidP="0027142C">
      <w:pPr>
        <w:numPr>
          <w:ilvl w:val="0"/>
          <w:numId w:val="1"/>
        </w:numPr>
        <w:spacing w:before="100" w:beforeAutospacing="1" w:after="100" w:afterAutospacing="1" w:line="240" w:lineRule="auto"/>
        <w:rPr>
          <w:rFonts w:eastAsia="Times New Roman"/>
          <w:kern w:val="0"/>
          <w14:ligatures w14:val="none"/>
        </w:rPr>
      </w:pPr>
      <w:r>
        <w:rPr>
          <w:rFonts w:eastAsia="Times New Roman"/>
          <w:b/>
          <w:bCs/>
        </w:rPr>
        <w:t>Volatilidad cambiaria y riesgo de conversión:</w:t>
      </w:r>
      <w:r>
        <w:rPr>
          <w:rFonts w:eastAsia="Times New Roman"/>
        </w:rPr>
        <w:t xml:space="preserve"> Debido a este anclaje, la volatilidad cambiaria frente al USD es prácticamente </w:t>
      </w:r>
      <w:r>
        <w:rPr>
          <w:rFonts w:eastAsia="Times New Roman"/>
          <w:b/>
          <w:bCs/>
        </w:rPr>
        <w:t>nula (0%)</w:t>
      </w:r>
      <w:r>
        <w:rPr>
          <w:rFonts w:eastAsia="Times New Roman"/>
        </w:rPr>
        <w:t>, lo que elimina el riesgo cambiario directo si las operaciones comerciales de una empresa se tasan en dólares.</w:t>
      </w:r>
    </w:p>
    <w:p w14:paraId="11855ECB" w14:textId="77777777" w:rsidR="003D3601" w:rsidRDefault="003D3601">
      <w:pPr>
        <w:pStyle w:val="Ttulo3"/>
        <w:rPr>
          <w:rFonts w:eastAsia="Times New Roman"/>
          <w:kern w:val="0"/>
          <w:sz w:val="27"/>
          <w:szCs w:val="27"/>
          <w14:ligatures w14:val="none"/>
        </w:rPr>
      </w:pPr>
      <w:r>
        <w:rPr>
          <w:rFonts w:eastAsia="Times New Roman"/>
        </w:rPr>
        <w:t>3. Inflación y poder adquisitivo</w:t>
      </w:r>
    </w:p>
    <w:p w14:paraId="449241C6" w14:textId="77777777" w:rsidR="003D3601" w:rsidRDefault="003D3601" w:rsidP="003D3601">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Tasa de inflación anual (%):</w:t>
      </w:r>
      <w:r>
        <w:rPr>
          <w:rFonts w:eastAsia="Times New Roman"/>
        </w:rPr>
        <w:t xml:space="preserve"> Los EAU han controlado la inflación de manera sumamente eficiente en comparación con los picos globales. Tras registrar un incremento temporal del </w:t>
      </w:r>
      <w:r>
        <w:rPr>
          <w:rFonts w:eastAsia="Times New Roman"/>
          <w:b/>
          <w:bCs/>
        </w:rPr>
        <w:t>4.8% en 2022</w:t>
      </w:r>
      <w:r>
        <w:rPr>
          <w:rFonts w:eastAsia="Times New Roman"/>
        </w:rPr>
        <w:t xml:space="preserve">, la inflación anual disminuyó al </w:t>
      </w:r>
      <w:r>
        <w:rPr>
          <w:rFonts w:eastAsia="Times New Roman"/>
          <w:b/>
          <w:bCs/>
        </w:rPr>
        <w:t>1.7% en 2024</w:t>
      </w:r>
      <w:r>
        <w:rPr>
          <w:rFonts w:eastAsia="Times New Roman"/>
        </w:rPr>
        <w:t xml:space="preserve"> y descendió en torno al </w:t>
      </w:r>
      <w:r>
        <w:rPr>
          <w:rFonts w:eastAsia="Times New Roman"/>
          <w:b/>
          <w:bCs/>
        </w:rPr>
        <w:t>1.3% hacia finales de 2025</w:t>
      </w:r>
      <w:r>
        <w:rPr>
          <w:rFonts w:eastAsia="Times New Roman"/>
        </w:rPr>
        <w:t>.</w:t>
      </w:r>
    </w:p>
    <w:p w14:paraId="516FE501" w14:textId="77777777" w:rsidR="00B519BF" w:rsidRDefault="00B519BF" w:rsidP="00B519BF">
      <w:pPr>
        <w:numPr>
          <w:ilvl w:val="0"/>
          <w:numId w:val="3"/>
        </w:numPr>
        <w:spacing w:before="100" w:beforeAutospacing="1" w:after="100" w:afterAutospacing="1" w:line="240" w:lineRule="auto"/>
        <w:rPr>
          <w:rFonts w:eastAsia="Times New Roman"/>
          <w:kern w:val="0"/>
          <w14:ligatures w14:val="none"/>
        </w:rPr>
      </w:pPr>
      <w:r>
        <w:rPr>
          <w:rFonts w:eastAsia="Times New Roman"/>
          <w:b/>
          <w:bCs/>
        </w:rPr>
        <w:t>Impacto en la demanda del producto/servicio:</w:t>
      </w:r>
      <w:r>
        <w:rPr>
          <w:rFonts w:eastAsia="Times New Roman"/>
        </w:rPr>
        <w:t xml:space="preserve"> Al mantener una inflación persistentemente baja y controlada, el poder adquisitivo real de los consumidores locales se preserva firmemente.</w:t>
      </w:r>
    </w:p>
    <w:p w14:paraId="4C81555A" w14:textId="77777777" w:rsidR="00097416" w:rsidRDefault="00097416">
      <w:pPr>
        <w:pStyle w:val="Ttulo3"/>
        <w:rPr>
          <w:rFonts w:eastAsia="Times New Roman"/>
          <w:kern w:val="0"/>
          <w:sz w:val="27"/>
          <w:szCs w:val="27"/>
          <w14:ligatures w14:val="none"/>
        </w:rPr>
      </w:pPr>
      <w:r>
        <w:rPr>
          <w:rFonts w:eastAsia="Times New Roman"/>
        </w:rPr>
        <w:lastRenderedPageBreak/>
        <w:t>4. Empleo y desempleo</w:t>
      </w:r>
    </w:p>
    <w:p w14:paraId="18B42ED8" w14:textId="77777777" w:rsidR="00097416" w:rsidRDefault="00097416" w:rsidP="00097416">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Tasa de desempleo nacional (%):</w:t>
      </w:r>
      <w:r>
        <w:rPr>
          <w:rFonts w:eastAsia="Times New Roman"/>
        </w:rPr>
        <w:t xml:space="preserve"> EAU registra una de las tasas de desempleo más bajas de todo el mundo. Según las estimaciones de la Organización Internacional del Trabajo (OIT) recopiladas por el Banco Mundial, el desempleo se situó en apenas un </w:t>
      </w:r>
      <w:r>
        <w:rPr>
          <w:rFonts w:eastAsia="Times New Roman"/>
          <w:b/>
          <w:bCs/>
        </w:rPr>
        <w:t>1.8% en 2024</w:t>
      </w:r>
      <w:r>
        <w:rPr>
          <w:rFonts w:eastAsia="Times New Roman"/>
        </w:rPr>
        <w:t xml:space="preserve"> y un estimado de </w:t>
      </w:r>
      <w:r>
        <w:rPr>
          <w:rFonts w:eastAsia="Times New Roman"/>
          <w:b/>
          <w:bCs/>
        </w:rPr>
        <w:t>2.2% para 2025</w:t>
      </w:r>
      <w:r>
        <w:rPr>
          <w:rFonts w:eastAsia="Times New Roman"/>
        </w:rPr>
        <w:t>.</w:t>
      </w:r>
    </w:p>
    <w:p w14:paraId="4A5314B8" w14:textId="3BDC2804" w:rsidR="00097416" w:rsidRPr="00097416" w:rsidRDefault="00097416" w:rsidP="00097416">
      <w:pPr>
        <w:numPr>
          <w:ilvl w:val="0"/>
          <w:numId w:val="5"/>
        </w:numPr>
        <w:spacing w:before="100" w:beforeAutospacing="1" w:after="100" w:afterAutospacing="1" w:line="240" w:lineRule="auto"/>
        <w:rPr>
          <w:rFonts w:eastAsia="Times New Roman"/>
          <w:kern w:val="0"/>
          <w14:ligatures w14:val="none"/>
        </w:rPr>
      </w:pPr>
      <w:r>
        <w:rPr>
          <w:rFonts w:eastAsia="Times New Roman"/>
          <w:b/>
          <w:bCs/>
        </w:rPr>
        <w:t>Disponibilidad de talento:</w:t>
      </w:r>
      <w:r>
        <w:rPr>
          <w:rFonts w:eastAsia="Times New Roman"/>
        </w:rPr>
        <w:t xml:space="preserve"> El mercado laboral de los EAU es altamente particular; cerca del 85-90% de la fuerza laboral está compuesta por expatriados atraídos por la ausencia de impuestos sobre la renta personal.</w:t>
      </w:r>
    </w:p>
    <w:p w14:paraId="4C5F8139" w14:textId="77777777" w:rsidR="00097416" w:rsidRDefault="00097416" w:rsidP="00097416">
      <w:pPr>
        <w:spacing w:before="100" w:beforeAutospacing="1" w:after="100" w:afterAutospacing="1" w:line="240" w:lineRule="auto"/>
        <w:rPr>
          <w:rFonts w:eastAsia="Times New Roman"/>
          <w:kern w:val="0"/>
          <w14:ligatures w14:val="none"/>
        </w:rPr>
      </w:pPr>
    </w:p>
    <w:p w14:paraId="235130A0" w14:textId="7B508D01" w:rsidR="00653D67" w:rsidRDefault="00653D67">
      <w:pPr>
        <w:pStyle w:val="Ttulo3"/>
        <w:rPr>
          <w:rFonts w:eastAsia="Times New Roman"/>
          <w:kern w:val="0"/>
          <w:sz w:val="27"/>
          <w:szCs w:val="27"/>
          <w14:ligatures w14:val="none"/>
        </w:rPr>
      </w:pPr>
      <w:r>
        <w:rPr>
          <w:rFonts w:eastAsia="Times New Roman"/>
        </w:rPr>
        <w:t>5. Tasa de interés</w:t>
      </w:r>
    </w:p>
    <w:p w14:paraId="7CC33F9D" w14:textId="77777777" w:rsidR="00653D67" w:rsidRDefault="00653D67" w:rsidP="00653D67">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Tasa de interés de referencia del Banco Central:</w:t>
      </w:r>
      <w:r>
        <w:rPr>
          <w:rFonts w:eastAsia="Times New Roman"/>
        </w:rPr>
        <w:t xml:space="preserve"> Al tener su moneda vinculada al USD, la política monetaria del Banco Central de los EAU (CBUAE) sigue en paralelo las decisiones de la Reserva Federal de EE. UU. (FED). Para contener las presiones globales, las tasas subieron hasta un máximo del </w:t>
      </w:r>
      <w:r>
        <w:rPr>
          <w:rFonts w:eastAsia="Times New Roman"/>
          <w:b/>
          <w:bCs/>
        </w:rPr>
        <w:t>5.40% en 2024</w:t>
      </w:r>
      <w:r>
        <w:rPr>
          <w:rFonts w:eastAsia="Times New Roman"/>
        </w:rPr>
        <w:t>.</w:t>
      </w:r>
    </w:p>
    <w:p w14:paraId="5C4B7E34" w14:textId="568269CF" w:rsidR="00D32A0D" w:rsidRPr="00F17872" w:rsidRDefault="00F17872" w:rsidP="00F17872">
      <w:pPr>
        <w:numPr>
          <w:ilvl w:val="0"/>
          <w:numId w:val="7"/>
        </w:numPr>
        <w:spacing w:before="100" w:beforeAutospacing="1" w:after="100" w:afterAutospacing="1" w:line="240" w:lineRule="auto"/>
        <w:rPr>
          <w:rFonts w:eastAsia="Times New Roman"/>
          <w:kern w:val="0"/>
          <w14:ligatures w14:val="none"/>
        </w:rPr>
      </w:pPr>
      <w:r>
        <w:rPr>
          <w:rFonts w:eastAsia="Times New Roman"/>
          <w:b/>
          <w:bCs/>
        </w:rPr>
        <w:t>Costo de financiamiento e inversión:</w:t>
      </w:r>
      <w:r>
        <w:rPr>
          <w:rFonts w:eastAsia="Times New Roman"/>
        </w:rPr>
        <w:t xml:space="preserve"> El reciente descenso en las tasas hacia el 3.65% abarata los créditos comerciales y el financiamiento local para proyectos.</w:t>
      </w:r>
    </w:p>
    <w:p w14:paraId="22E8A61C" w14:textId="4A7CEE62" w:rsidR="00590B3E" w:rsidRDefault="006573E8" w:rsidP="00F17872">
      <w:pPr>
        <w:spacing w:before="100" w:beforeAutospacing="1" w:after="100" w:afterAutospacing="1" w:line="240" w:lineRule="auto"/>
        <w:rPr>
          <w:rFonts w:eastAsia="Times New Roman"/>
          <w:kern w:val="0"/>
          <w14:ligatures w14:val="none"/>
        </w:rPr>
      </w:pPr>
      <w:r>
        <w:rPr>
          <w:rFonts w:eastAsia="Times New Roman"/>
          <w:noProof/>
          <w:kern w:val="0"/>
        </w:rPr>
        <w:drawing>
          <wp:anchor distT="0" distB="0" distL="114300" distR="114300" simplePos="0" relativeHeight="251676672" behindDoc="0" locked="0" layoutInCell="1" allowOverlap="1" wp14:anchorId="35D20B48" wp14:editId="2980FB73">
            <wp:simplePos x="0" y="0"/>
            <wp:positionH relativeFrom="column">
              <wp:posOffset>-955444</wp:posOffset>
            </wp:positionH>
            <wp:positionV relativeFrom="paragraph">
              <wp:posOffset>366882</wp:posOffset>
            </wp:positionV>
            <wp:extent cx="7642843" cy="1442085"/>
            <wp:effectExtent l="0" t="0" r="0" b="5715"/>
            <wp:wrapTopAndBottom/>
            <wp:docPr id="14835379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37947" name="Imagen 1483537947"/>
                    <pic:cNvPicPr/>
                  </pic:nvPicPr>
                  <pic:blipFill>
                    <a:blip r:embed="rId5">
                      <a:extLst>
                        <a:ext uri="{28A0092B-C50C-407E-A947-70E740481C1C}">
                          <a14:useLocalDpi xmlns:a14="http://schemas.microsoft.com/office/drawing/2010/main" val="0"/>
                        </a:ext>
                      </a:extLst>
                    </a:blip>
                    <a:stretch>
                      <a:fillRect/>
                    </a:stretch>
                  </pic:blipFill>
                  <pic:spPr>
                    <a:xfrm>
                      <a:off x="0" y="0"/>
                      <a:ext cx="7646208" cy="1442720"/>
                    </a:xfrm>
                    <a:prstGeom prst="rect">
                      <a:avLst/>
                    </a:prstGeom>
                  </pic:spPr>
                </pic:pic>
              </a:graphicData>
            </a:graphic>
            <wp14:sizeRelH relativeFrom="margin">
              <wp14:pctWidth>0</wp14:pctWidth>
            </wp14:sizeRelH>
            <wp14:sizeRelV relativeFrom="margin">
              <wp14:pctHeight>0</wp14:pctHeight>
            </wp14:sizeRelV>
          </wp:anchor>
        </w:drawing>
      </w:r>
    </w:p>
    <w:p w14:paraId="1091930B" w14:textId="77777777" w:rsidR="00073F53" w:rsidRDefault="00073F53" w:rsidP="00F17872">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0783EAC3" w14:textId="3BC2B828" w:rsidR="00073F53" w:rsidRPr="00073697" w:rsidRDefault="00FE4282" w:rsidP="00F17872">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073697">
        <w:rPr>
          <w:rFonts w:ascii="Times New Roman" w:eastAsia="Times New Roman" w:hAnsi="Times New Roman" w:cs="Times New Roman"/>
          <w:b/>
          <w:bCs/>
          <w:kern w:val="0"/>
          <w:sz w:val="36"/>
          <w:szCs w:val="36"/>
          <w14:ligatures w14:val="none"/>
        </w:rPr>
        <w:t>Estructura de cada indicador</w:t>
      </w:r>
      <w:r w:rsidR="00DA5E52" w:rsidRPr="00073697">
        <w:rPr>
          <w:rFonts w:ascii="Times New Roman" w:eastAsia="Times New Roman" w:hAnsi="Times New Roman" w:cs="Times New Roman"/>
          <w:b/>
          <w:bCs/>
          <w:kern w:val="0"/>
          <w:sz w:val="36"/>
          <w:szCs w:val="36"/>
          <w14:ligatures w14:val="none"/>
        </w:rPr>
        <w:t xml:space="preserve">: </w:t>
      </w:r>
    </w:p>
    <w:p w14:paraId="1B4BAB11" w14:textId="4F8C23DC" w:rsidR="003314A1" w:rsidRDefault="00D91AE7" w:rsidP="00F17872">
      <w:pPr>
        <w:pStyle w:val="NormalWeb"/>
        <w:numPr>
          <w:ilvl w:val="1"/>
          <w:numId w:val="7"/>
        </w:numPr>
        <w:rPr>
          <w:sz w:val="32"/>
          <w:szCs w:val="32"/>
        </w:rPr>
      </w:pPr>
      <w:r w:rsidRPr="00073697">
        <w:rPr>
          <w:b/>
          <w:bCs/>
          <w:sz w:val="32"/>
          <w:szCs w:val="32"/>
        </w:rPr>
        <w:t>Título del indicador:</w:t>
      </w:r>
      <w:r w:rsidRPr="00073697">
        <w:rPr>
          <w:sz w:val="32"/>
          <w:szCs w:val="32"/>
        </w:rPr>
        <w:t xml:space="preserve"> PIB Total de la Economía De Emiratos árabes unidos</w:t>
      </w:r>
      <w:r w:rsidR="00B50C30">
        <w:rPr>
          <w:sz w:val="32"/>
          <w:szCs w:val="32"/>
        </w:rPr>
        <w:t xml:space="preserve"> y el sector de la floricultu</w:t>
      </w:r>
      <w:r w:rsidR="00F9616C">
        <w:rPr>
          <w:sz w:val="32"/>
          <w:szCs w:val="32"/>
        </w:rPr>
        <w:t>ra</w:t>
      </w:r>
    </w:p>
    <w:p w14:paraId="20031F1D" w14:textId="77D0AB61" w:rsidR="003314A1" w:rsidRPr="003314A1" w:rsidRDefault="00CE78A6" w:rsidP="003314A1">
      <w:pPr>
        <w:pStyle w:val="NormalWeb"/>
        <w:ind w:left="1440"/>
        <w:rPr>
          <w:sz w:val="32"/>
          <w:szCs w:val="32"/>
        </w:rPr>
      </w:pPr>
      <w:r w:rsidRPr="003314A1">
        <w:rPr>
          <w:rFonts w:eastAsia="Times New Roman"/>
          <w:b/>
          <w:bCs/>
        </w:rPr>
        <w:t>Grafic</w:t>
      </w:r>
      <w:r w:rsidR="003314A1" w:rsidRPr="003314A1">
        <w:rPr>
          <w:rFonts w:eastAsia="Times New Roman"/>
          <w:b/>
          <w:bCs/>
        </w:rPr>
        <w:t>o</w:t>
      </w:r>
      <w:r w:rsidRPr="003314A1">
        <w:rPr>
          <w:rFonts w:eastAsia="Times New Roman"/>
          <w:b/>
          <w:bCs/>
        </w:rPr>
        <w:t xml:space="preserve"> del indicador</w:t>
      </w:r>
      <w:r w:rsidR="0009509D" w:rsidRPr="003314A1">
        <w:rPr>
          <w:rFonts w:eastAsia="Times New Roman"/>
        </w:rPr>
        <w:t xml:space="preserve">: </w:t>
      </w:r>
    </w:p>
    <w:p w14:paraId="6FC9DF60" w14:textId="06D3F4BE" w:rsidR="00DA5E52" w:rsidRDefault="003314A1" w:rsidP="00F17872">
      <w:pPr>
        <w:spacing w:before="100" w:beforeAutospacing="1" w:after="100" w:afterAutospacing="1" w:line="240" w:lineRule="auto"/>
        <w:rPr>
          <w:rFonts w:eastAsia="Times New Roman"/>
          <w:kern w:val="0"/>
          <w14:ligatures w14:val="none"/>
        </w:rPr>
      </w:pPr>
      <w:r>
        <w:rPr>
          <w:noProof/>
        </w:rPr>
        <w:lastRenderedPageBreak/>
        <w:drawing>
          <wp:anchor distT="0" distB="0" distL="114300" distR="114300" simplePos="0" relativeHeight="251669504" behindDoc="0" locked="0" layoutInCell="1" allowOverlap="1" wp14:anchorId="02E3EE60" wp14:editId="78739872">
            <wp:simplePos x="0" y="0"/>
            <wp:positionH relativeFrom="column">
              <wp:posOffset>712470</wp:posOffset>
            </wp:positionH>
            <wp:positionV relativeFrom="paragraph">
              <wp:posOffset>437515</wp:posOffset>
            </wp:positionV>
            <wp:extent cx="3959860" cy="1979930"/>
            <wp:effectExtent l="0" t="0" r="21590" b="20320"/>
            <wp:wrapTopAndBottom/>
            <wp:docPr id="168301210" name="Gráfico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p w14:paraId="6D3F38DD" w14:textId="77777777" w:rsidR="0009509D" w:rsidRDefault="0009509D">
      <w:pPr>
        <w:pStyle w:val="NormalWeb"/>
        <w:rPr>
          <w:b/>
          <w:bCs/>
        </w:rPr>
      </w:pPr>
    </w:p>
    <w:p w14:paraId="323DFB49" w14:textId="01351A51" w:rsidR="00DA5E52" w:rsidRDefault="00DA5E52">
      <w:pPr>
        <w:pStyle w:val="NormalWeb"/>
      </w:pPr>
      <w:r>
        <w:rPr>
          <w:b/>
          <w:bCs/>
        </w:rPr>
        <w:t>Fuente consultada:</w:t>
      </w:r>
      <w:r>
        <w:t xml:space="preserve"> Banco Mundial (</w:t>
      </w:r>
      <w:proofErr w:type="spellStart"/>
      <w:r>
        <w:t>DataBank</w:t>
      </w:r>
      <w:proofErr w:type="spellEnd"/>
      <w:r>
        <w:t xml:space="preserve">) y </w:t>
      </w:r>
      <w:proofErr w:type="spellStart"/>
      <w:r>
        <w:t>Dubai</w:t>
      </w:r>
      <w:proofErr w:type="spellEnd"/>
      <w:r>
        <w:t xml:space="preserve"> </w:t>
      </w:r>
      <w:proofErr w:type="spellStart"/>
      <w:r>
        <w:t>Chamber</w:t>
      </w:r>
      <w:proofErr w:type="spellEnd"/>
      <w:r>
        <w:t xml:space="preserve"> of Commerce. URL: https://data.worldbank.org / Consulta: 3 de julio de 2026.</w:t>
      </w:r>
    </w:p>
    <w:p w14:paraId="269DB999" w14:textId="77777777" w:rsidR="0004060D" w:rsidRDefault="00BF2F57">
      <w:pPr>
        <w:pStyle w:val="NormalWeb"/>
      </w:pPr>
      <w:r>
        <w:rPr>
          <w:b/>
          <w:bCs/>
        </w:rPr>
        <w:t>Texto analítico:</w:t>
      </w:r>
      <w:r>
        <w:t xml:space="preserve"> </w:t>
      </w:r>
      <w:r w:rsidR="006272E8">
        <w:t>La economía general de EAU y el mercado específico de la floricultura muestran una recuperación y expansión sostenida. El nulo desarrollo de producción agrícola local debido a las extremas barreras climáticas desérticas de la región obliga a que más del 95% de la oferta sectorial dependa de las importaciones.</w:t>
      </w:r>
      <w:r>
        <w:t xml:space="preserve"> La internacionalización es obligatoria: el crecimiento sostenido del PIB (que roza los 600 billones de USD) </w:t>
      </w:r>
      <w:r w:rsidR="0004060D">
        <w:t xml:space="preserve">genera el capital necesario para financiar megaproyectos hoteleros, de eventos internacionales masivos y un estilo de vida de ultra-lujo en urbes como Dubái. </w:t>
      </w:r>
    </w:p>
    <w:p w14:paraId="0AE47DB7" w14:textId="23701972" w:rsidR="00D91AE7" w:rsidRDefault="00D91AE7">
      <w:pPr>
        <w:pStyle w:val="NormalWeb"/>
      </w:pPr>
      <w:r>
        <w:rPr>
          <w:b/>
          <w:bCs/>
        </w:rPr>
        <w:t>Calificación de impacto:</w:t>
      </w:r>
      <w:r>
        <w:t xml:space="preserve"> </w:t>
      </w:r>
      <w:r>
        <w:rPr>
          <w:b/>
          <w:bCs/>
        </w:rPr>
        <w:t>5</w:t>
      </w:r>
      <w:r>
        <w:t xml:space="preserve"> (Impacto altamente favorable; el tamaño de la economía garantiza flujo de caja para bienes de lujo importados).</w:t>
      </w:r>
    </w:p>
    <w:p w14:paraId="73A7F11D" w14:textId="77777777" w:rsidR="00D91AE7" w:rsidRDefault="00D91AE7">
      <w:pPr>
        <w:pStyle w:val="NormalWeb"/>
      </w:pPr>
    </w:p>
    <w:p w14:paraId="5D88A21E" w14:textId="0C5826EF" w:rsidR="005054A4" w:rsidRDefault="00151DD3" w:rsidP="00F17872">
      <w:pPr>
        <w:pStyle w:val="NormalWeb"/>
        <w:numPr>
          <w:ilvl w:val="1"/>
          <w:numId w:val="7"/>
        </w:numPr>
        <w:rPr>
          <w:b/>
          <w:bCs/>
          <w:sz w:val="32"/>
          <w:szCs w:val="32"/>
        </w:rPr>
      </w:pPr>
      <w:r>
        <w:rPr>
          <w:noProof/>
        </w:rPr>
        <w:drawing>
          <wp:anchor distT="0" distB="0" distL="114300" distR="114300" simplePos="0" relativeHeight="251671552" behindDoc="0" locked="0" layoutInCell="1" allowOverlap="1" wp14:anchorId="57F7215B" wp14:editId="4313B0CE">
            <wp:simplePos x="0" y="0"/>
            <wp:positionH relativeFrom="column">
              <wp:posOffset>813435</wp:posOffset>
            </wp:positionH>
            <wp:positionV relativeFrom="paragraph">
              <wp:posOffset>825500</wp:posOffset>
            </wp:positionV>
            <wp:extent cx="3959860" cy="1979930"/>
            <wp:effectExtent l="0" t="0" r="21590" b="20320"/>
            <wp:wrapTopAndBottom/>
            <wp:docPr id="926358723" name="Gráfico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546D87" w:rsidRPr="00BD6D6F">
        <w:rPr>
          <w:b/>
          <w:bCs/>
          <w:sz w:val="32"/>
          <w:szCs w:val="32"/>
        </w:rPr>
        <w:t xml:space="preserve">Título del indicador: </w:t>
      </w:r>
      <w:r w:rsidR="00BD6D6F" w:rsidRPr="00BD6D6F">
        <w:rPr>
          <w:b/>
          <w:bCs/>
          <w:sz w:val="32"/>
          <w:szCs w:val="32"/>
        </w:rPr>
        <w:t xml:space="preserve">Tipo y tasa de cambio del </w:t>
      </w:r>
      <w:proofErr w:type="spellStart"/>
      <w:r w:rsidR="00BD6D6F" w:rsidRPr="00BD6D6F">
        <w:rPr>
          <w:b/>
          <w:bCs/>
          <w:sz w:val="32"/>
          <w:szCs w:val="32"/>
        </w:rPr>
        <w:t>Dirham</w:t>
      </w:r>
      <w:proofErr w:type="spellEnd"/>
      <w:r w:rsidR="00BD6D6F" w:rsidRPr="00BD6D6F">
        <w:rPr>
          <w:b/>
          <w:bCs/>
          <w:sz w:val="32"/>
          <w:szCs w:val="32"/>
        </w:rPr>
        <w:t xml:space="preserve"> (AED).</w:t>
      </w:r>
      <w:r w:rsidR="002179A3">
        <w:rPr>
          <w:b/>
          <w:bCs/>
          <w:sz w:val="32"/>
          <w:szCs w:val="32"/>
        </w:rPr>
        <w:t xml:space="preserve"> </w:t>
      </w:r>
    </w:p>
    <w:p w14:paraId="4D2FB5AE" w14:textId="77777777" w:rsidR="00717A7A" w:rsidRPr="00717A7A" w:rsidRDefault="00717A7A" w:rsidP="00717A7A">
      <w:pPr>
        <w:pStyle w:val="NormalWeb"/>
        <w:ind w:left="1440"/>
        <w:rPr>
          <w:b/>
          <w:bCs/>
          <w:sz w:val="32"/>
          <w:szCs w:val="32"/>
        </w:rPr>
      </w:pPr>
    </w:p>
    <w:p w14:paraId="3907FF69" w14:textId="3AB1210D" w:rsidR="000E511B" w:rsidRDefault="000E511B">
      <w:pPr>
        <w:pStyle w:val="NormalWeb"/>
      </w:pPr>
      <w:r>
        <w:rPr>
          <w:b/>
          <w:bCs/>
        </w:rPr>
        <w:t>Fuente consultada:</w:t>
      </w:r>
      <w:r>
        <w:t xml:space="preserve"> </w:t>
      </w:r>
      <w:r w:rsidR="007F455E">
        <w:t>Banco Central de los Emiratos Árabes Unidos (CBUAE). URL: [https://www.centralbank.ae](https://www.centralbank.ae) / Consulta: 3 de julio de 2026.</w:t>
      </w:r>
    </w:p>
    <w:p w14:paraId="2125E0E3" w14:textId="77777777" w:rsidR="0054662F" w:rsidRDefault="00262EC4">
      <w:pPr>
        <w:pStyle w:val="NormalWeb"/>
      </w:pPr>
      <w:r>
        <w:rPr>
          <w:b/>
          <w:bCs/>
        </w:rPr>
        <w:t>Texto analítico:</w:t>
      </w:r>
      <w:r>
        <w:t xml:space="preserve"> </w:t>
      </w:r>
      <w:r w:rsidR="007D043E">
        <w:t>Desde el año 1997, Emiratos Árabes Unidos mantiene un régimen cambiario de tipo fijo (</w:t>
      </w:r>
      <w:proofErr w:type="spellStart"/>
      <w:r w:rsidR="007D043E">
        <w:rPr>
          <w:i/>
          <w:iCs/>
        </w:rPr>
        <w:t>pegged</w:t>
      </w:r>
      <w:proofErr w:type="spellEnd"/>
      <w:r w:rsidR="007D043E">
        <w:t>) ligado directamente al dólar estadounidense, establecido de forma inamovible en 3.6725 AED por cada USD. Para los procesos de internacionalización y exportación agrícola, este indicador es una ventaja competitiva masiva.</w:t>
      </w:r>
      <w:r w:rsidR="0054662F">
        <w:t xml:space="preserve"> La eliminación total del riesgo de devaluación de la moneda local proporciona a los exportadores internacionales certeza absoluta en la planificación de costos, precios y retorno de utilidades.</w:t>
      </w:r>
    </w:p>
    <w:p w14:paraId="34744221" w14:textId="6B19C29A" w:rsidR="00542CD5" w:rsidRDefault="00542CD5">
      <w:pPr>
        <w:pStyle w:val="NormalWeb"/>
      </w:pPr>
      <w:r>
        <w:rPr>
          <w:b/>
          <w:bCs/>
        </w:rPr>
        <w:t>Calificación de impacto:</w:t>
      </w:r>
      <w:r>
        <w:t xml:space="preserve"> </w:t>
      </w:r>
      <w:r>
        <w:rPr>
          <w:b/>
          <w:bCs/>
        </w:rPr>
        <w:t>5</w:t>
      </w:r>
      <w:r>
        <w:t xml:space="preserve"> (Altamente favorable; la ausencia de volatilidad cambiaria suprime el riesgo financiero para los exportadores).</w:t>
      </w:r>
    </w:p>
    <w:p w14:paraId="581DD4AE" w14:textId="68D8D2D5" w:rsidR="00073697" w:rsidRDefault="00073697">
      <w:pPr>
        <w:pStyle w:val="NormalWeb"/>
      </w:pPr>
    </w:p>
    <w:p w14:paraId="6736CF7C" w14:textId="1E188802" w:rsidR="005054A4" w:rsidRDefault="005054A4" w:rsidP="00262EC4">
      <w:pPr>
        <w:pStyle w:val="NormalWeb"/>
      </w:pPr>
    </w:p>
    <w:p w14:paraId="61495F5F" w14:textId="41E4499E" w:rsidR="00145998" w:rsidRDefault="00B92E32" w:rsidP="00145998">
      <w:pPr>
        <w:pStyle w:val="NormalWeb"/>
        <w:numPr>
          <w:ilvl w:val="1"/>
          <w:numId w:val="7"/>
        </w:numPr>
      </w:pPr>
      <w:r w:rsidRPr="00145998">
        <w:rPr>
          <w:b/>
          <w:bCs/>
          <w:sz w:val="32"/>
          <w:szCs w:val="32"/>
        </w:rPr>
        <w:t>Título del indicador:</w:t>
      </w:r>
      <w:r w:rsidR="00145998" w:rsidRPr="00145998">
        <w:rPr>
          <w:b/>
          <w:bCs/>
          <w:sz w:val="32"/>
          <w:szCs w:val="32"/>
        </w:rPr>
        <w:t xml:space="preserve"> Inflación y poder adquisitivo</w:t>
      </w:r>
      <w:r w:rsidR="00145998" w:rsidRPr="00145998">
        <w:rPr>
          <w:sz w:val="32"/>
          <w:szCs w:val="32"/>
        </w:rPr>
        <w:t>.</w:t>
      </w:r>
    </w:p>
    <w:p w14:paraId="38D27094" w14:textId="56DCA929" w:rsidR="00B92E32" w:rsidRPr="00B92E32" w:rsidRDefault="00B92E32" w:rsidP="00145998">
      <w:pPr>
        <w:pStyle w:val="NormalWeb"/>
        <w:ind w:left="1440"/>
        <w:rPr>
          <w:sz w:val="32"/>
          <w:szCs w:val="32"/>
        </w:rPr>
      </w:pPr>
    </w:p>
    <w:p w14:paraId="557442C3" w14:textId="1D7FF045" w:rsidR="00262EC4" w:rsidRDefault="00B92E32" w:rsidP="00262EC4">
      <w:pPr>
        <w:pStyle w:val="NormalWeb"/>
        <w:rPr>
          <w:b/>
          <w:bCs/>
        </w:rPr>
      </w:pPr>
      <w:r w:rsidRPr="00B92E32">
        <w:rPr>
          <w:b/>
          <w:bCs/>
        </w:rPr>
        <w:t xml:space="preserve">Grafico del indicador: </w:t>
      </w:r>
    </w:p>
    <w:p w14:paraId="0D5A6441" w14:textId="2A3DA893" w:rsidR="00B92E32" w:rsidRDefault="00F4617D" w:rsidP="00262EC4">
      <w:pPr>
        <w:pStyle w:val="NormalWeb"/>
        <w:rPr>
          <w:b/>
          <w:bCs/>
        </w:rPr>
      </w:pPr>
      <w:r>
        <w:rPr>
          <w:noProof/>
        </w:rPr>
        <w:drawing>
          <wp:anchor distT="0" distB="0" distL="114300" distR="114300" simplePos="0" relativeHeight="251673600" behindDoc="0" locked="0" layoutInCell="1" allowOverlap="1" wp14:anchorId="1A78E712" wp14:editId="23FA593B">
            <wp:simplePos x="0" y="0"/>
            <wp:positionH relativeFrom="column">
              <wp:posOffset>578485</wp:posOffset>
            </wp:positionH>
            <wp:positionV relativeFrom="paragraph">
              <wp:posOffset>234950</wp:posOffset>
            </wp:positionV>
            <wp:extent cx="3959860" cy="1979930"/>
            <wp:effectExtent l="0" t="0" r="21590" b="20320"/>
            <wp:wrapTopAndBottom/>
            <wp:docPr id="1027003198" name="Gráfico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5A069F9B" w14:textId="77777777" w:rsidR="004F2B58" w:rsidRDefault="004F2B58" w:rsidP="00262EC4">
      <w:pPr>
        <w:pStyle w:val="NormalWeb"/>
        <w:rPr>
          <w:b/>
          <w:bCs/>
        </w:rPr>
      </w:pPr>
    </w:p>
    <w:p w14:paraId="2C964594" w14:textId="0570B86C" w:rsidR="001E1826" w:rsidRDefault="001E1826">
      <w:pPr>
        <w:pStyle w:val="NormalWeb"/>
      </w:pPr>
      <w:r>
        <w:rPr>
          <w:b/>
          <w:bCs/>
        </w:rPr>
        <w:t>Fuente consultada:</w:t>
      </w:r>
      <w:r>
        <w:t xml:space="preserve"> </w:t>
      </w:r>
      <w:r w:rsidR="00854080">
        <w:t xml:space="preserve">Fondo Monetario Internacional (FMI) y Federal </w:t>
      </w:r>
      <w:proofErr w:type="spellStart"/>
      <w:r w:rsidR="00854080">
        <w:t>Competitiveness</w:t>
      </w:r>
      <w:proofErr w:type="spellEnd"/>
      <w:r w:rsidR="00854080">
        <w:t xml:space="preserve"> and </w:t>
      </w:r>
      <w:proofErr w:type="spellStart"/>
      <w:r w:rsidR="00854080">
        <w:t>Statistics</w:t>
      </w:r>
      <w:proofErr w:type="spellEnd"/>
      <w:r w:rsidR="00854080">
        <w:t xml:space="preserve"> Centre. URL: (https://www.imf.org) / Consulta: 3 de julio de 2026.</w:t>
      </w:r>
    </w:p>
    <w:p w14:paraId="21FED48A" w14:textId="0A012DCC" w:rsidR="0028500C" w:rsidRDefault="007B6487">
      <w:pPr>
        <w:pStyle w:val="NormalWeb"/>
      </w:pPr>
      <w:r>
        <w:rPr>
          <w:b/>
          <w:bCs/>
        </w:rPr>
        <w:t>Texto analítico:</w:t>
      </w:r>
      <w:r>
        <w:t xml:space="preserve"> </w:t>
      </w:r>
      <w:r w:rsidR="0028500C">
        <w:t xml:space="preserve">Tras experimentar una deflación en </w:t>
      </w:r>
      <w:r w:rsidR="00D85068">
        <w:t>2019-</w:t>
      </w:r>
      <w:r w:rsidR="0028500C">
        <w:t xml:space="preserve">2020 y un pico controlado en 2022, la inflación en EAU se ha estabilizado de forma óptima por debajo del 2% en 2024. </w:t>
      </w:r>
      <w:r w:rsidR="0028500C">
        <w:lastRenderedPageBreak/>
        <w:t xml:space="preserve">Paralelamente, </w:t>
      </w:r>
      <w:r w:rsidR="00323764">
        <w:t xml:space="preserve">el poder </w:t>
      </w:r>
      <w:r w:rsidR="000E7D19">
        <w:t>adquisitivo</w:t>
      </w:r>
      <w:r w:rsidR="00F772D0">
        <w:t xml:space="preserve"> medido por </w:t>
      </w:r>
      <w:r w:rsidR="0018103F">
        <w:t>el</w:t>
      </w:r>
      <w:r w:rsidR="000E7D19">
        <w:t xml:space="preserve"> PIB per cápita</w:t>
      </w:r>
      <w:r w:rsidR="0018103F">
        <w:t xml:space="preserve"> </w:t>
      </w:r>
      <w:r w:rsidR="000E7D19">
        <w:t>creció de manera constante hasta superar los $92,000 USD</w:t>
      </w:r>
      <w:r w:rsidR="006D044C">
        <w:t xml:space="preserve"> y se sitúa entre los mas elevados del mundo. Con</w:t>
      </w:r>
      <w:r w:rsidR="0028500C">
        <w:t xml:space="preserve"> respecto a la internacionalización de la floricultura, un mercado de alto poder adquisitivo combinado con precios estables garantiza que el consumidor local e institucional mantenga intacta su capacidad para adquirir bienes </w:t>
      </w:r>
      <w:r w:rsidR="00F81ADC">
        <w:t>suntuarios o decorativos Premium, absorbiendo con facilidad los costos asociados al flete aéreo de las flores.</w:t>
      </w:r>
    </w:p>
    <w:p w14:paraId="77C92C4C" w14:textId="482C8680" w:rsidR="007B6487" w:rsidRDefault="007B6487">
      <w:pPr>
        <w:pStyle w:val="NormalWeb"/>
      </w:pPr>
    </w:p>
    <w:p w14:paraId="08C3BB90" w14:textId="34BADB9C" w:rsidR="004F2B58" w:rsidRPr="005C60F7" w:rsidRDefault="001D55BD" w:rsidP="00262EC4">
      <w:pPr>
        <w:pStyle w:val="NormalWeb"/>
      </w:pPr>
      <w:r>
        <w:rPr>
          <w:b/>
          <w:bCs/>
        </w:rPr>
        <w:t>Calificación de impacto:</w:t>
      </w:r>
      <w:r>
        <w:t xml:space="preserve"> </w:t>
      </w:r>
      <w:r w:rsidR="000E3BFA">
        <w:rPr>
          <w:b/>
          <w:bCs/>
        </w:rPr>
        <w:t>5</w:t>
      </w:r>
      <w:r w:rsidR="000E3BFA">
        <w:t xml:space="preserve"> (Altamente favorable; el extraordinario poder de compra asegura márgenes rentables para el sector </w:t>
      </w:r>
      <w:r w:rsidR="00A46F53">
        <w:t>Premium</w:t>
      </w:r>
      <w:r w:rsidR="000E3BFA">
        <w:t>).</w:t>
      </w:r>
    </w:p>
    <w:p w14:paraId="13BB5D62" w14:textId="3AD0A1D3" w:rsidR="005A42EF" w:rsidRDefault="005A42EF">
      <w:pPr>
        <w:pStyle w:val="NormalWeb"/>
      </w:pPr>
      <w:r>
        <w:t>.</w:t>
      </w:r>
    </w:p>
    <w:p w14:paraId="2748EAB6" w14:textId="531C8AF8" w:rsidR="00107DAE" w:rsidRPr="00D80424" w:rsidRDefault="005A42EF" w:rsidP="00D80424">
      <w:pPr>
        <w:pStyle w:val="NormalWeb"/>
        <w:numPr>
          <w:ilvl w:val="1"/>
          <w:numId w:val="7"/>
        </w:numPr>
        <w:rPr>
          <w:b/>
          <w:bCs/>
          <w:sz w:val="32"/>
          <w:szCs w:val="32"/>
        </w:rPr>
      </w:pPr>
      <w:r w:rsidRPr="00D80424">
        <w:rPr>
          <w:b/>
          <w:bCs/>
          <w:sz w:val="32"/>
          <w:szCs w:val="32"/>
        </w:rPr>
        <w:t xml:space="preserve">Título del indicador: </w:t>
      </w:r>
      <w:r w:rsidR="00D80424" w:rsidRPr="00D80424">
        <w:rPr>
          <w:b/>
          <w:bCs/>
          <w:sz w:val="32"/>
          <w:szCs w:val="32"/>
        </w:rPr>
        <w:t xml:space="preserve">Empleo y Desempleo de la población activa. </w:t>
      </w:r>
    </w:p>
    <w:p w14:paraId="59EECD28" w14:textId="1E27C5F1" w:rsidR="005A42EF" w:rsidRDefault="005A42EF" w:rsidP="005A42EF">
      <w:pPr>
        <w:pStyle w:val="NormalWeb"/>
        <w:rPr>
          <w:b/>
          <w:bCs/>
        </w:rPr>
      </w:pPr>
    </w:p>
    <w:p w14:paraId="40662D9C" w14:textId="0535548D" w:rsidR="005A42EF" w:rsidRDefault="005A42EF" w:rsidP="005A42EF">
      <w:pPr>
        <w:pStyle w:val="NormalWeb"/>
        <w:rPr>
          <w:b/>
          <w:bCs/>
        </w:rPr>
      </w:pPr>
      <w:r>
        <w:rPr>
          <w:b/>
          <w:bCs/>
        </w:rPr>
        <w:t xml:space="preserve"> Grafico del indicador: </w:t>
      </w:r>
    </w:p>
    <w:p w14:paraId="5FC5CE8E" w14:textId="3B944C04" w:rsidR="00D9195B" w:rsidRDefault="004B1AEC" w:rsidP="005A42EF">
      <w:pPr>
        <w:pStyle w:val="NormalWeb"/>
        <w:rPr>
          <w:b/>
          <w:bCs/>
        </w:rPr>
      </w:pPr>
      <w:r>
        <w:rPr>
          <w:noProof/>
        </w:rPr>
        <w:drawing>
          <wp:anchor distT="0" distB="0" distL="114300" distR="114300" simplePos="0" relativeHeight="251675648" behindDoc="0" locked="0" layoutInCell="1" allowOverlap="1" wp14:anchorId="728AE306" wp14:editId="644DF0CA">
            <wp:simplePos x="0" y="0"/>
            <wp:positionH relativeFrom="column">
              <wp:posOffset>478155</wp:posOffset>
            </wp:positionH>
            <wp:positionV relativeFrom="paragraph">
              <wp:posOffset>290830</wp:posOffset>
            </wp:positionV>
            <wp:extent cx="4319905" cy="1979930"/>
            <wp:effectExtent l="0" t="0" r="23495" b="20320"/>
            <wp:wrapTopAndBottom/>
            <wp:docPr id="2075965127" name="Gráfico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30D901DA" w14:textId="2CC27878" w:rsidR="00D80424" w:rsidRDefault="00D80424" w:rsidP="005A42EF">
      <w:pPr>
        <w:pStyle w:val="NormalWeb"/>
        <w:rPr>
          <w:b/>
          <w:bCs/>
        </w:rPr>
      </w:pPr>
    </w:p>
    <w:p w14:paraId="0E1D2A5F" w14:textId="77777777" w:rsidR="00A208D2" w:rsidRDefault="00A208D2">
      <w:pPr>
        <w:pStyle w:val="NormalWeb"/>
      </w:pPr>
      <w:r>
        <w:rPr>
          <w:b/>
          <w:bCs/>
        </w:rPr>
        <w:t>Fuente consultada:</w:t>
      </w:r>
      <w:r>
        <w:t xml:space="preserve"> Organización Internacional del Trabajo (OIT / ILOSTAT). URL: [https://ilostat.ilo.org](https://ilostat.ilo.org) / Consulta: 3 de julio de 2026.</w:t>
      </w:r>
    </w:p>
    <w:p w14:paraId="2925598B" w14:textId="77777777" w:rsidR="008208BE" w:rsidRDefault="007C700A">
      <w:pPr>
        <w:pStyle w:val="NormalWeb"/>
      </w:pPr>
      <w:r>
        <w:rPr>
          <w:b/>
          <w:bCs/>
        </w:rPr>
        <w:t>Texto analítico:</w:t>
      </w:r>
      <w:r>
        <w:t xml:space="preserve"> Al contrastar ambas variables, se evidencia la sólida estabilidad laboral de EAU, donde la tasa de empleo se mantiene sobre el 97% frente a un desempleo marginal que se redujo al 1.8% en 2024. Este comportamiento paralelo responde a un modelo económico donde la residencia de la población extranjera (más del 85% del país) está condicionada a un patrocinio laboral activo.</w:t>
      </w:r>
      <w:r w:rsidR="008208BE">
        <w:t xml:space="preserve"> Para la internacionalización de la floricultura, este panorama de ocupación casi total garantiza un mercado de consumo masivo con ingresos estables y continuos.</w:t>
      </w:r>
    </w:p>
    <w:p w14:paraId="5B96C26A" w14:textId="5901D607" w:rsidR="00EF4BBA" w:rsidRDefault="00D264EC">
      <w:pPr>
        <w:pStyle w:val="NormalWeb"/>
      </w:pPr>
      <w:r>
        <w:rPr>
          <w:b/>
          <w:bCs/>
        </w:rPr>
        <w:lastRenderedPageBreak/>
        <w:t xml:space="preserve">Calificación de impacto: </w:t>
      </w:r>
      <w:r w:rsidR="00EF4BBA">
        <w:rPr>
          <w:b/>
          <w:bCs/>
        </w:rPr>
        <w:t>4</w:t>
      </w:r>
      <w:r w:rsidR="00EF4BBA">
        <w:t xml:space="preserve"> (Favorable; la solidez del mercado laboral mitiga contracciones sorpresivas en el gasto de los consumidores).</w:t>
      </w:r>
    </w:p>
    <w:p w14:paraId="755C35BB" w14:textId="77777777" w:rsidR="001C69A1" w:rsidRDefault="001C69A1">
      <w:pPr>
        <w:pStyle w:val="NormalWeb"/>
      </w:pPr>
    </w:p>
    <w:p w14:paraId="1D4DB2FD" w14:textId="058B9172" w:rsidR="00A208D2" w:rsidRDefault="00006142" w:rsidP="00367F40">
      <w:pPr>
        <w:pStyle w:val="NormalWeb"/>
        <w:numPr>
          <w:ilvl w:val="1"/>
          <w:numId w:val="7"/>
        </w:numPr>
        <w:rPr>
          <w:b/>
          <w:bCs/>
          <w:sz w:val="32"/>
          <w:szCs w:val="32"/>
        </w:rPr>
      </w:pPr>
      <w:r>
        <w:rPr>
          <w:b/>
          <w:bCs/>
          <w:sz w:val="32"/>
          <w:szCs w:val="32"/>
        </w:rPr>
        <w:t>Titulo del indicador: t</w:t>
      </w:r>
      <w:r w:rsidR="00367F40" w:rsidRPr="002628CD">
        <w:rPr>
          <w:b/>
          <w:bCs/>
          <w:sz w:val="32"/>
          <w:szCs w:val="32"/>
        </w:rPr>
        <w:t>a</w:t>
      </w:r>
      <w:r w:rsidR="00E12C22" w:rsidRPr="002628CD">
        <w:rPr>
          <w:b/>
          <w:bCs/>
          <w:sz w:val="32"/>
          <w:szCs w:val="32"/>
        </w:rPr>
        <w:t>sa de interés</w:t>
      </w:r>
      <w:r w:rsidR="0041461C">
        <w:rPr>
          <w:b/>
          <w:bCs/>
          <w:sz w:val="32"/>
          <w:szCs w:val="32"/>
        </w:rPr>
        <w:t>.</w:t>
      </w:r>
      <w:r w:rsidR="00E12C22" w:rsidRPr="002628CD">
        <w:rPr>
          <w:b/>
          <w:bCs/>
          <w:sz w:val="32"/>
          <w:szCs w:val="32"/>
        </w:rPr>
        <w:t xml:space="preserve"> </w:t>
      </w:r>
    </w:p>
    <w:p w14:paraId="12D6D765" w14:textId="79DC3D38" w:rsidR="002628CD" w:rsidRDefault="002628CD" w:rsidP="002628CD">
      <w:pPr>
        <w:pStyle w:val="NormalWeb"/>
        <w:rPr>
          <w:b/>
          <w:bCs/>
        </w:rPr>
      </w:pPr>
      <w:r>
        <w:rPr>
          <w:b/>
          <w:bCs/>
          <w:sz w:val="32"/>
          <w:szCs w:val="32"/>
        </w:rPr>
        <w:t xml:space="preserve"> </w:t>
      </w:r>
      <w:r w:rsidR="003951F3">
        <w:rPr>
          <w:b/>
          <w:bCs/>
        </w:rPr>
        <w:t xml:space="preserve">Grafico del indicador: </w:t>
      </w:r>
    </w:p>
    <w:p w14:paraId="672197B6" w14:textId="1375DEED" w:rsidR="003951F3" w:rsidRDefault="00F7539B" w:rsidP="002628CD">
      <w:pPr>
        <w:pStyle w:val="NormalWeb"/>
        <w:rPr>
          <w:b/>
          <w:bCs/>
        </w:rPr>
      </w:pPr>
      <w:r>
        <w:rPr>
          <w:noProof/>
        </w:rPr>
        <w:drawing>
          <wp:anchor distT="0" distB="0" distL="114300" distR="114300" simplePos="0" relativeHeight="251678720" behindDoc="0" locked="0" layoutInCell="1" allowOverlap="1" wp14:anchorId="79829034" wp14:editId="4AA0C222">
            <wp:simplePos x="0" y="0"/>
            <wp:positionH relativeFrom="column">
              <wp:posOffset>866775</wp:posOffset>
            </wp:positionH>
            <wp:positionV relativeFrom="paragraph">
              <wp:posOffset>349885</wp:posOffset>
            </wp:positionV>
            <wp:extent cx="3959860" cy="1979930"/>
            <wp:effectExtent l="0" t="0" r="21590" b="20320"/>
            <wp:wrapTopAndBottom/>
            <wp:docPr id="1819411626" name="Gráfico 1">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Pr>
          <w:b/>
          <w:bCs/>
        </w:rPr>
        <w:t xml:space="preserve"> </w:t>
      </w:r>
    </w:p>
    <w:p w14:paraId="385921C7" w14:textId="77777777" w:rsidR="00F7539B" w:rsidRDefault="00F7539B" w:rsidP="002628CD">
      <w:pPr>
        <w:pStyle w:val="NormalWeb"/>
        <w:rPr>
          <w:b/>
          <w:bCs/>
        </w:rPr>
      </w:pPr>
    </w:p>
    <w:p w14:paraId="0B506EAD" w14:textId="075CA24A" w:rsidR="00A46546" w:rsidRDefault="000D7CE3">
      <w:pPr>
        <w:pStyle w:val="NormalWeb"/>
      </w:pPr>
      <w:r w:rsidRPr="000D7CE3">
        <w:rPr>
          <w:b/>
          <w:bCs/>
        </w:rPr>
        <w:t xml:space="preserve">Fuente consultada: </w:t>
      </w:r>
      <w:r w:rsidR="00A46546">
        <w:t>Banco Central de los Emiratos Árabes Unidos (CBUAE). URL: [https://www.centralbank.ae](https://www.centralbank.ae) / Consulta: 3 de julio de 2026.</w:t>
      </w:r>
    </w:p>
    <w:p w14:paraId="0130D4BD" w14:textId="224A396D" w:rsidR="00B130ED" w:rsidRDefault="00A32A84">
      <w:pPr>
        <w:pStyle w:val="NormalWeb"/>
      </w:pPr>
      <w:r>
        <w:rPr>
          <w:b/>
          <w:bCs/>
        </w:rPr>
        <w:t>Texto analítico:</w:t>
      </w:r>
      <w:r>
        <w:t xml:space="preserve"> Al mantener la moneda anclada al dólar, la tasa de interés de EAU sigue las políticas de la Reserva Federal estadounidense, reflejando un encarecimiento del crédito entre 2022 y 2024 (alcanzando el 5.40%) para controlar liquidez internacional.</w:t>
      </w:r>
      <w:r w:rsidR="00E526E9">
        <w:t xml:space="preserve"> En términos de internacionalización, </w:t>
      </w:r>
      <w:r w:rsidR="00B130ED">
        <w:t xml:space="preserve">un entorno de financiamiento más caro eleva los costos </w:t>
      </w:r>
      <w:r w:rsidR="002A300B">
        <w:t>de</w:t>
      </w:r>
      <w:r w:rsidR="009B03DB">
        <w:t xml:space="preserve"> la captación de recursos locales </w:t>
      </w:r>
      <w:r w:rsidR="002A300B">
        <w:t>para</w:t>
      </w:r>
      <w:r w:rsidR="00B130ED">
        <w:t xml:space="preserve"> distribuidores e importadores de flores que buscan expandir su infraestructura frigorífica. Sin embargo, la </w:t>
      </w:r>
      <w:r w:rsidR="000A5F78">
        <w:t>enorme l</w:t>
      </w:r>
      <w:r w:rsidR="00B130ED">
        <w:t xml:space="preserve">iquidez interna generada por los ingresos energéticos y los fondos soberanos </w:t>
      </w:r>
      <w:proofErr w:type="spellStart"/>
      <w:r w:rsidR="00B130ED">
        <w:t>emiratíes</w:t>
      </w:r>
      <w:proofErr w:type="spellEnd"/>
      <w:r w:rsidR="00B130ED">
        <w:t xml:space="preserve"> neutraliza gran parte de este impacto negativo</w:t>
      </w:r>
      <w:r w:rsidR="004F1F97">
        <w:t xml:space="preserve">. </w:t>
      </w:r>
    </w:p>
    <w:p w14:paraId="3D04452A" w14:textId="77777777" w:rsidR="00DE2FFE" w:rsidRDefault="00DE2FFE">
      <w:pPr>
        <w:pStyle w:val="NormalWeb"/>
      </w:pPr>
      <w:r>
        <w:rPr>
          <w:b/>
          <w:bCs/>
        </w:rPr>
        <w:t>Calificación de impacto:</w:t>
      </w:r>
      <w:r>
        <w:t xml:space="preserve"> </w:t>
      </w:r>
      <w:r>
        <w:rPr>
          <w:b/>
          <w:bCs/>
        </w:rPr>
        <w:t>3</w:t>
      </w:r>
      <w:r>
        <w:t xml:space="preserve"> (Neutral/Moderado; las tasas altas incrementan el costo de financiamiento, pero la alta liquidez del país compensa el efecto).</w:t>
      </w:r>
    </w:p>
    <w:p w14:paraId="0C3DA234" w14:textId="77777777" w:rsidR="00E526E9" w:rsidRDefault="00E526E9">
      <w:pPr>
        <w:pStyle w:val="NormalWeb"/>
      </w:pPr>
    </w:p>
    <w:p w14:paraId="6339F6E6" w14:textId="77777777" w:rsidR="00F7539B" w:rsidRPr="003951F3" w:rsidRDefault="00F7539B" w:rsidP="002628CD">
      <w:pPr>
        <w:pStyle w:val="NormalWeb"/>
        <w:rPr>
          <w:b/>
          <w:bCs/>
        </w:rPr>
      </w:pPr>
    </w:p>
    <w:sectPr w:rsidR="00F7539B" w:rsidRPr="003951F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2E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97C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A06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C48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F2E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522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85F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A1661"/>
    <w:multiLevelType w:val="hybridMultilevel"/>
    <w:tmpl w:val="7408C698"/>
    <w:lvl w:ilvl="0" w:tplc="FFFFFFFF">
      <w:start w:val="1"/>
      <w:numFmt w:val="decimal"/>
      <w:lvlText w:val="%1."/>
      <w:lvlJc w:val="left"/>
      <w:pPr>
        <w:ind w:left="720" w:hanging="360"/>
      </w:pPr>
      <w:rPr>
        <w:rFonts w:hint="default"/>
        <w:sz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194612E"/>
    <w:multiLevelType w:val="multilevel"/>
    <w:tmpl w:val="7CBEE7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452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14B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378808">
    <w:abstractNumId w:val="0"/>
  </w:num>
  <w:num w:numId="2" w16cid:durableId="602763034">
    <w:abstractNumId w:val="1"/>
  </w:num>
  <w:num w:numId="3" w16cid:durableId="1529291175">
    <w:abstractNumId w:val="4"/>
  </w:num>
  <w:num w:numId="4" w16cid:durableId="897321935">
    <w:abstractNumId w:val="9"/>
  </w:num>
  <w:num w:numId="5" w16cid:durableId="572009800">
    <w:abstractNumId w:val="3"/>
  </w:num>
  <w:num w:numId="6" w16cid:durableId="961770675">
    <w:abstractNumId w:val="5"/>
  </w:num>
  <w:num w:numId="7" w16cid:durableId="1543861305">
    <w:abstractNumId w:val="8"/>
  </w:num>
  <w:num w:numId="8" w16cid:durableId="203298713">
    <w:abstractNumId w:val="2"/>
  </w:num>
  <w:num w:numId="9" w16cid:durableId="193151745">
    <w:abstractNumId w:val="6"/>
  </w:num>
  <w:num w:numId="10" w16cid:durableId="781340905">
    <w:abstractNumId w:val="7"/>
  </w:num>
  <w:num w:numId="11" w16cid:durableId="915847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2A7"/>
    <w:rsid w:val="00006142"/>
    <w:rsid w:val="0003276C"/>
    <w:rsid w:val="0004060D"/>
    <w:rsid w:val="00073697"/>
    <w:rsid w:val="00073F53"/>
    <w:rsid w:val="0009509D"/>
    <w:rsid w:val="00097416"/>
    <w:rsid w:val="000A5F78"/>
    <w:rsid w:val="000D7CE3"/>
    <w:rsid w:val="000E3BFA"/>
    <w:rsid w:val="000E511B"/>
    <w:rsid w:val="000E7D19"/>
    <w:rsid w:val="00107DAE"/>
    <w:rsid w:val="00145998"/>
    <w:rsid w:val="00151DD3"/>
    <w:rsid w:val="00156F9A"/>
    <w:rsid w:val="00162CF9"/>
    <w:rsid w:val="00175402"/>
    <w:rsid w:val="0018103F"/>
    <w:rsid w:val="001C69A1"/>
    <w:rsid w:val="001D55BD"/>
    <w:rsid w:val="001E1826"/>
    <w:rsid w:val="0021056A"/>
    <w:rsid w:val="002179A3"/>
    <w:rsid w:val="002628CD"/>
    <w:rsid w:val="00262EC4"/>
    <w:rsid w:val="0027142C"/>
    <w:rsid w:val="0028500C"/>
    <w:rsid w:val="002A300B"/>
    <w:rsid w:val="002C1EFC"/>
    <w:rsid w:val="00323764"/>
    <w:rsid w:val="003314A1"/>
    <w:rsid w:val="00367F40"/>
    <w:rsid w:val="00372BFE"/>
    <w:rsid w:val="00376288"/>
    <w:rsid w:val="003951F3"/>
    <w:rsid w:val="003D3342"/>
    <w:rsid w:val="003D3601"/>
    <w:rsid w:val="003F2F1B"/>
    <w:rsid w:val="0041461C"/>
    <w:rsid w:val="00450408"/>
    <w:rsid w:val="00450E34"/>
    <w:rsid w:val="004B1AEC"/>
    <w:rsid w:val="004F1F97"/>
    <w:rsid w:val="004F2B58"/>
    <w:rsid w:val="005054A4"/>
    <w:rsid w:val="00542CD5"/>
    <w:rsid w:val="0054662F"/>
    <w:rsid w:val="00546D87"/>
    <w:rsid w:val="00590B3E"/>
    <w:rsid w:val="005A3F6C"/>
    <w:rsid w:val="005A42EF"/>
    <w:rsid w:val="005C60F7"/>
    <w:rsid w:val="006272E8"/>
    <w:rsid w:val="00633968"/>
    <w:rsid w:val="00643A26"/>
    <w:rsid w:val="00653D67"/>
    <w:rsid w:val="006573E8"/>
    <w:rsid w:val="006D044C"/>
    <w:rsid w:val="00701731"/>
    <w:rsid w:val="00713204"/>
    <w:rsid w:val="00717A7A"/>
    <w:rsid w:val="00752C09"/>
    <w:rsid w:val="007B6487"/>
    <w:rsid w:val="007C700A"/>
    <w:rsid w:val="007D043E"/>
    <w:rsid w:val="007F455E"/>
    <w:rsid w:val="008208BE"/>
    <w:rsid w:val="00854080"/>
    <w:rsid w:val="00876A46"/>
    <w:rsid w:val="008F347D"/>
    <w:rsid w:val="00900463"/>
    <w:rsid w:val="009772A7"/>
    <w:rsid w:val="009860B7"/>
    <w:rsid w:val="009B03DB"/>
    <w:rsid w:val="009D3E80"/>
    <w:rsid w:val="00A208D2"/>
    <w:rsid w:val="00A32A84"/>
    <w:rsid w:val="00A46546"/>
    <w:rsid w:val="00A46F53"/>
    <w:rsid w:val="00AB5396"/>
    <w:rsid w:val="00AC41B4"/>
    <w:rsid w:val="00B130ED"/>
    <w:rsid w:val="00B21477"/>
    <w:rsid w:val="00B50C30"/>
    <w:rsid w:val="00B519BF"/>
    <w:rsid w:val="00B92E32"/>
    <w:rsid w:val="00BD6D6F"/>
    <w:rsid w:val="00BF2F57"/>
    <w:rsid w:val="00C3015F"/>
    <w:rsid w:val="00C53444"/>
    <w:rsid w:val="00CD3E23"/>
    <w:rsid w:val="00CE78A6"/>
    <w:rsid w:val="00D00447"/>
    <w:rsid w:val="00D264EC"/>
    <w:rsid w:val="00D32A0D"/>
    <w:rsid w:val="00D46B07"/>
    <w:rsid w:val="00D80424"/>
    <w:rsid w:val="00D80A76"/>
    <w:rsid w:val="00D85068"/>
    <w:rsid w:val="00D9195B"/>
    <w:rsid w:val="00D91AE7"/>
    <w:rsid w:val="00DA5E52"/>
    <w:rsid w:val="00DE2FFE"/>
    <w:rsid w:val="00E12C22"/>
    <w:rsid w:val="00E526E9"/>
    <w:rsid w:val="00E95D0F"/>
    <w:rsid w:val="00EF4BBA"/>
    <w:rsid w:val="00EF547C"/>
    <w:rsid w:val="00F02FDF"/>
    <w:rsid w:val="00F17872"/>
    <w:rsid w:val="00F4617D"/>
    <w:rsid w:val="00F7539B"/>
    <w:rsid w:val="00F772D0"/>
    <w:rsid w:val="00F81ADC"/>
    <w:rsid w:val="00F9616C"/>
    <w:rsid w:val="00FE4282"/>
    <w:rsid w:val="00FE6EA4"/>
    <w:rsid w:val="00FF652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2C4B838"/>
  <w15:chartTrackingRefBased/>
  <w15:docId w15:val="{F96A360C-87F6-1D4B-A42B-E44CC4E8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7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7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772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72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72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72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72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72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72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2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72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72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72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72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72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72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72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72A7"/>
    <w:rPr>
      <w:rFonts w:eastAsiaTheme="majorEastAsia" w:cstheme="majorBidi"/>
      <w:color w:val="272727" w:themeColor="text1" w:themeTint="D8"/>
    </w:rPr>
  </w:style>
  <w:style w:type="paragraph" w:styleId="Ttulo">
    <w:name w:val="Title"/>
    <w:basedOn w:val="Normal"/>
    <w:next w:val="Normal"/>
    <w:link w:val="TtuloCar"/>
    <w:uiPriority w:val="10"/>
    <w:qFormat/>
    <w:rsid w:val="00977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72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72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72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72A7"/>
    <w:pPr>
      <w:spacing w:before="160"/>
      <w:jc w:val="center"/>
    </w:pPr>
    <w:rPr>
      <w:i/>
      <w:iCs/>
      <w:color w:val="404040" w:themeColor="text1" w:themeTint="BF"/>
    </w:rPr>
  </w:style>
  <w:style w:type="character" w:customStyle="1" w:styleId="CitaCar">
    <w:name w:val="Cita Car"/>
    <w:basedOn w:val="Fuentedeprrafopredeter"/>
    <w:link w:val="Cita"/>
    <w:uiPriority w:val="29"/>
    <w:rsid w:val="009772A7"/>
    <w:rPr>
      <w:i/>
      <w:iCs/>
      <w:color w:val="404040" w:themeColor="text1" w:themeTint="BF"/>
    </w:rPr>
  </w:style>
  <w:style w:type="paragraph" w:styleId="Prrafodelista">
    <w:name w:val="List Paragraph"/>
    <w:basedOn w:val="Normal"/>
    <w:uiPriority w:val="34"/>
    <w:qFormat/>
    <w:rsid w:val="009772A7"/>
    <w:pPr>
      <w:ind w:left="720"/>
      <w:contextualSpacing/>
    </w:pPr>
  </w:style>
  <w:style w:type="character" w:styleId="nfasisintenso">
    <w:name w:val="Intense Emphasis"/>
    <w:basedOn w:val="Fuentedeprrafopredeter"/>
    <w:uiPriority w:val="21"/>
    <w:qFormat/>
    <w:rsid w:val="009772A7"/>
    <w:rPr>
      <w:i/>
      <w:iCs/>
      <w:color w:val="0F4761" w:themeColor="accent1" w:themeShade="BF"/>
    </w:rPr>
  </w:style>
  <w:style w:type="paragraph" w:styleId="Citadestacada">
    <w:name w:val="Intense Quote"/>
    <w:basedOn w:val="Normal"/>
    <w:next w:val="Normal"/>
    <w:link w:val="CitadestacadaCar"/>
    <w:uiPriority w:val="30"/>
    <w:qFormat/>
    <w:rsid w:val="00977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72A7"/>
    <w:rPr>
      <w:i/>
      <w:iCs/>
      <w:color w:val="0F4761" w:themeColor="accent1" w:themeShade="BF"/>
    </w:rPr>
  </w:style>
  <w:style w:type="character" w:styleId="Referenciaintensa">
    <w:name w:val="Intense Reference"/>
    <w:basedOn w:val="Fuentedeprrafopredeter"/>
    <w:uiPriority w:val="32"/>
    <w:qFormat/>
    <w:rsid w:val="009772A7"/>
    <w:rPr>
      <w:b/>
      <w:bCs/>
      <w:smallCaps/>
      <w:color w:val="0F4761" w:themeColor="accent1" w:themeShade="BF"/>
      <w:spacing w:val="5"/>
    </w:rPr>
  </w:style>
  <w:style w:type="paragraph" w:styleId="NormalWeb">
    <w:name w:val="Normal (Web)"/>
    <w:basedOn w:val="Normal"/>
    <w:uiPriority w:val="99"/>
    <w:unhideWhenUsed/>
    <w:rsid w:val="00DA5E5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 /><Relationship Id="rId3" Type="http://schemas.openxmlformats.org/officeDocument/2006/relationships/settings" Target="settings.xml" /><Relationship Id="rId7" Type="http://schemas.openxmlformats.org/officeDocument/2006/relationships/chart" Target="charts/chart2.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chart" Target="charts/chart1.xml" /><Relationship Id="rId11" Type="http://schemas.openxmlformats.org/officeDocument/2006/relationships/fontTable" Target="fontTable.xml" /><Relationship Id="rId5" Type="http://schemas.openxmlformats.org/officeDocument/2006/relationships/image" Target="media/image1.jpeg" /><Relationship Id="rId10" Type="http://schemas.openxmlformats.org/officeDocument/2006/relationships/chart" Target="charts/chart5.xml" /><Relationship Id="rId4" Type="http://schemas.openxmlformats.org/officeDocument/2006/relationships/webSettings" Target="webSettings.xml" /><Relationship Id="rId9" Type="http://schemas.openxmlformats.org/officeDocument/2006/relationships/chart" Target="charts/chart4.xml" /></Relationships>
</file>

<file path=word/charts/_rels/chart2.xml.rels><?xml version="1.0" encoding="UTF-8" standalone="yes"?>
<Relationships xmlns="http://schemas.openxmlformats.org/package/2006/relationships"><Relationship Id="rId2" Type="http://schemas.microsoft.com/office/2011/relationships/chartColorStyle" Target="colors1.xml" /><Relationship Id="rId1" Type="http://schemas.microsoft.com/office/2011/relationships/chartStyle" Target="style1.xml" /></Relationships>
</file>

<file path=word/charts/_rels/chart3.xml.rels><?xml version="1.0" encoding="UTF-8" standalone="yes"?>
<Relationships xmlns="http://schemas.openxmlformats.org/package/2006/relationships"><Relationship Id="rId2" Type="http://schemas.microsoft.com/office/2011/relationships/chartColorStyle" Target="colors2.xml" /><Relationship Id="rId1" Type="http://schemas.microsoft.com/office/2011/relationships/chartStyle" Target="style2.xml" /></Relationships>
</file>

<file path=word/charts/_rels/chart4.xml.rels><?xml version="1.0" encoding="UTF-8" standalone="yes"?>
<Relationships xmlns="http://schemas.openxmlformats.org/package/2006/relationships"><Relationship Id="rId2" Type="http://schemas.microsoft.com/office/2011/relationships/chartColorStyle" Target="colors3.xml" /><Relationship Id="rId1" Type="http://schemas.microsoft.com/office/2011/relationships/chartStyle" Target="style3.xml" /></Relationships>
</file>

<file path=word/charts/_rels/chart5.xml.rels><?xml version="1.0" encoding="UTF-8" standalone="yes"?>
<Relationships xmlns="http://schemas.openxmlformats.org/package/2006/relationships"><Relationship Id="rId2" Type="http://schemas.microsoft.com/office/2011/relationships/chartColorStyle" Target="colors4.xml" /><Relationship Id="rId1" Type="http://schemas.microsoft.com/office/2011/relationships/chartStyle" Target="style4.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13"/>
    </mc:Choice>
    <mc:Fallback>
      <c:style val="13"/>
    </mc:Fallback>
  </mc:AlternateContent>
  <c:chart>
    <c:title>
      <c:tx>
        <c:rich>
          <a:bodyPr/>
          <a:lstStyle/>
          <a:p>
            <a:pPr>
              <a:defRPr/>
            </a:pPr>
            <a:r>
              <a:rPr lang="es-US"/>
              <a:t>PIB Total (Mil Millones USD)</a:t>
            </a:r>
          </a:p>
        </c:rich>
      </c:tx>
      <c:overlay val="0"/>
    </c:title>
    <c:autoTitleDeleted val="0"/>
    <c:plotArea>
      <c:layout/>
      <c:lineChart>
        <c:grouping val="standard"/>
        <c:varyColors val="0"/>
        <c:ser>
          <c:idx val="0"/>
          <c:order val="0"/>
          <c:tx>
            <c:strRef>
              <c:f>'[EAU_Graficos_Porcentajes_Corregidos.xlsx]Indicadores Exactos EAU'!B3</c:f>
              <c:strCache>
                <c:ptCount val="1"/>
                <c:pt idx="0">
                  <c:v>PIB Total (Mil Millones USD)</c:v>
                </c:pt>
              </c:strCache>
            </c:strRef>
          </c:tx>
          <c:spPr>
            <a:ln>
              <a:prstDash val="solid"/>
            </a:ln>
          </c:spPr>
          <c:marker>
            <c:symbol val="none"/>
          </c:marker>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'[EAU_Graficos_Porcentajes_Corregidos.xlsx]Indicadores Exactos EAU'!$A$4:$A$9</c:f>
              <c:numCache>
                <c:formatCode>0</c:formatCode>
                <c:ptCount val="6"/>
                <c:pt idx="0">
                  <c:v>2019</c:v>
                </c:pt>
                <c:pt idx="1">
                  <c:v>2020</c:v>
                </c:pt>
                <c:pt idx="2">
                  <c:v>2021</c:v>
                </c:pt>
                <c:pt idx="3">
                  <c:v>2022</c:v>
                </c:pt>
                <c:pt idx="4">
                  <c:v>2023</c:v>
                </c:pt>
                <c:pt idx="5">
                  <c:v>2024</c:v>
                </c:pt>
              </c:numCache>
            </c:numRef>
          </c:cat>
          <c:val>
            <c:numRef>
              <c:f>'[EAU_Graficos_Porcentajes_Corregidos.xlsx]Indicadores Exactos EAU'!$B$4:$B$9</c:f>
              <c:numCache>
                <c:formatCode>\$#,##0.0</c:formatCode>
                <c:ptCount val="6"/>
                <c:pt idx="0">
                  <c:v>417.2</c:v>
                </c:pt>
                <c:pt idx="1">
                  <c:v>349.5</c:v>
                </c:pt>
                <c:pt idx="2">
                  <c:v>415</c:v>
                </c:pt>
                <c:pt idx="3">
                  <c:v>507.1</c:v>
                </c:pt>
                <c:pt idx="4">
                  <c:v>532.4</c:v>
                </c:pt>
                <c:pt idx="5">
                  <c:v>552.29999999999995</c:v>
                </c:pt>
              </c:numCache>
            </c:numRef>
          </c:val>
          <c:smooth val="0"/>
          <c:extLst>
            <c:ext xmlns:c16="http://schemas.microsoft.com/office/drawing/2014/chart" uri="{C3380CC4-5D6E-409C-BE32-E72D297353CC}">
              <c16:uniqueId val="{00000000-8D80-D147-AAC0-5D26A510B480}"/>
            </c:ext>
          </c:extLst>
        </c:ser>
        <c:dLbls>
          <c:showLegendKey val="0"/>
          <c:showVal val="1"/>
          <c:showCatName val="0"/>
          <c:showSerName val="0"/>
          <c:showPercent val="0"/>
          <c:showBubbleSize val="0"/>
        </c:dLbls>
        <c:smooth val="0"/>
        <c:axId val="10"/>
        <c:axId val="100"/>
      </c:lineChart>
      <c:catAx>
        <c:axId val="10"/>
        <c:scaling>
          <c:orientation val="minMax"/>
        </c:scaling>
        <c:delete val="0"/>
        <c:axPos val="b"/>
        <c:numFmt formatCode="0" sourceLinked="1"/>
        <c:majorTickMark val="none"/>
        <c:minorTickMark val="none"/>
        <c:tickLblPos val="nextTo"/>
        <c:crossAx val="100"/>
        <c:crosses val="autoZero"/>
        <c:auto val="0"/>
        <c:lblAlgn val="ctr"/>
        <c:lblOffset val="100"/>
        <c:noMultiLvlLbl val="0"/>
      </c:catAx>
      <c:valAx>
        <c:axId val="100"/>
        <c:scaling>
          <c:orientation val="minMax"/>
        </c:scaling>
        <c:delete val="0"/>
        <c:axPos val="l"/>
        <c:majorGridlines/>
        <c:numFmt formatCode="0.0" sourceLinked="0"/>
        <c:majorTickMark val="none"/>
        <c:minorTickMark val="none"/>
        <c:tickLblPos val="nextTo"/>
        <c:crossAx val="10"/>
        <c:crosses val="autoZero"/>
        <c:crossBetween val="between"/>
      </c:valAx>
    </c:plotArea>
    <c:plotVisOnly val="1"/>
    <c:dispBlanksAs val="gap"/>
    <c:showDLblsOverMax val="0"/>
  </c:char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US"/>
              <a:t>Tipo de Cambio Fijo (AED por 1 USD)</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US"/>
        </a:p>
      </c:txPr>
    </c:title>
    <c:autoTitleDeleted val="0"/>
    <c:plotArea>
      <c:layout/>
      <c:lineChart>
        <c:grouping val="standard"/>
        <c:varyColors val="0"/>
        <c:ser>
          <c:idx val="0"/>
          <c:order val="0"/>
          <c:tx>
            <c:strRef>
              <c:f>'[EAU_Graficos_Porcentajes_Corregidos.xlsx]Indicadores Exactos EAU'!C3</c:f>
              <c:strCache>
                <c:ptCount val="1"/>
                <c:pt idx="0">
                  <c:v>Tipo de Cambio (AED por 1 USD)</c:v>
                </c:pt>
              </c:strCache>
            </c:strRef>
          </c:tx>
          <c:spPr>
            <a:ln w="47625" cap="rnd" cmpd="sng" algn="ctr">
              <a:solidFill>
                <a:schemeClr val="accent2">
                  <a:shade val="95000"/>
                  <a:satMod val="105000"/>
                </a:schemeClr>
              </a:solidFill>
              <a:prstDash val="solid"/>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'[EAU_Graficos_Porcentajes_Corregidos.xlsx]Indicadores Exactos EAU'!$A$4:$A$9</c:f>
              <c:numCache>
                <c:formatCode>0</c:formatCode>
                <c:ptCount val="6"/>
                <c:pt idx="0">
                  <c:v>2019</c:v>
                </c:pt>
                <c:pt idx="1">
                  <c:v>2020</c:v>
                </c:pt>
                <c:pt idx="2">
                  <c:v>2021</c:v>
                </c:pt>
                <c:pt idx="3">
                  <c:v>2022</c:v>
                </c:pt>
                <c:pt idx="4">
                  <c:v>2023</c:v>
                </c:pt>
                <c:pt idx="5">
                  <c:v>2024</c:v>
                </c:pt>
              </c:numCache>
            </c:numRef>
          </c:cat>
          <c:val>
            <c:numRef>
              <c:f>'[EAU_Graficos_Porcentajes_Corregidos.xlsx]Indicadores Exactos EAU'!$C$4:$C$9</c:f>
              <c:numCache>
                <c:formatCode>0.0000"%"</c:formatCode>
                <c:ptCount val="6"/>
                <c:pt idx="0">
                  <c:v>3.6724999999999999</c:v>
                </c:pt>
                <c:pt idx="1">
                  <c:v>3.6724999999999999</c:v>
                </c:pt>
                <c:pt idx="2">
                  <c:v>3.6724999999999999</c:v>
                </c:pt>
                <c:pt idx="3">
                  <c:v>3.6724999999999999</c:v>
                </c:pt>
                <c:pt idx="4">
                  <c:v>3.6724999999999999</c:v>
                </c:pt>
                <c:pt idx="5">
                  <c:v>3.6724999999999999</c:v>
                </c:pt>
              </c:numCache>
            </c:numRef>
          </c:val>
          <c:smooth val="0"/>
          <c:extLst>
            <c:ext xmlns:c16="http://schemas.microsoft.com/office/drawing/2014/chart" uri="{C3380CC4-5D6E-409C-BE32-E72D297353CC}">
              <c16:uniqueId val="{00000000-251F-564C-A5B8-8D596095C52D}"/>
            </c:ext>
          </c:extLst>
        </c:ser>
        <c:dLbls>
          <c:showLegendKey val="0"/>
          <c:showVal val="1"/>
          <c:showCatName val="0"/>
          <c:showSerName val="0"/>
          <c:showPercent val="0"/>
          <c:showBubbleSize val="0"/>
        </c:dLbls>
        <c:smooth val="0"/>
        <c:axId val="10"/>
        <c:axId val="100"/>
      </c:lineChart>
      <c:catAx>
        <c:axId val="10"/>
        <c:scaling>
          <c:orientation val="minMax"/>
        </c:scaling>
        <c:delete val="0"/>
        <c:axPos val="b"/>
        <c:numFmt formatCode="0" sourceLinked="1"/>
        <c:majorTickMark val="none"/>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US"/>
          </a:p>
        </c:txPr>
        <c:crossAx val="100"/>
        <c:crosses val="autoZero"/>
        <c:auto val="0"/>
        <c:lblAlgn val="ctr"/>
        <c:lblOffset val="100"/>
        <c:noMultiLvlLbl val="0"/>
      </c:catAx>
      <c:valAx>
        <c:axId val="100"/>
        <c:scaling>
          <c:orientation val="minMax"/>
        </c:scaling>
        <c:delete val="0"/>
        <c:axPos val="l"/>
        <c:majorGridlines>
          <c:spPr>
            <a:ln w="9525" cap="flat" cmpd="sng" algn="ctr">
              <a:solidFill>
                <a:schemeClr val="tx1">
                  <a:tint val="75000"/>
                  <a:shade val="95000"/>
                  <a:satMod val="105000"/>
                </a:schemeClr>
              </a:solidFill>
              <a:prstDash val="solid"/>
              <a:round/>
            </a:ln>
            <a:effectLst/>
          </c:spPr>
        </c:majorGridlines>
        <c:numFmt formatCode="0.0&quot;%&quot;" sourceLinked="0"/>
        <c:majorTickMark val="none"/>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US"/>
          </a:p>
        </c:txPr>
        <c:crossAx val="10"/>
        <c:crosses val="autoZero"/>
        <c:crossBetween val="between"/>
      </c:valAx>
      <c:spPr>
        <a:solidFill>
          <a:schemeClr val="bg1"/>
        </a:solidFill>
        <a:ln>
          <a:noFill/>
        </a:ln>
        <a:effectLst/>
      </c:spPr>
    </c:plotArea>
    <c:plotVisOnly val="1"/>
    <c:dispBlanksAs val="gap"/>
    <c:showDLblsOverMax val="0"/>
  </c:chart>
  <c:spPr>
    <a:solidFill>
      <a:schemeClr val="bg1"/>
    </a:solidFill>
    <a:ln w="12700" cap="flat" cmpd="sng" algn="ctr">
      <a:solidFill>
        <a:schemeClr val="tx1">
          <a:tint val="75000"/>
        </a:schemeClr>
      </a:solidFill>
      <a:prstDash val="solid"/>
      <a:round/>
    </a:ln>
    <a:effectLst/>
  </c:spPr>
  <c:txPr>
    <a:bodyPr/>
    <a:lstStyle/>
    <a:p>
      <a:pPr>
        <a:defRPr/>
      </a:pPr>
      <a:endParaRPr lang="es-US"/>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US"/>
              <a:t>Tasa de Inflación Anual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US"/>
        </a:p>
      </c:txPr>
    </c:title>
    <c:autoTitleDeleted val="0"/>
    <c:plotArea>
      <c:layout/>
      <c:lineChart>
        <c:grouping val="standard"/>
        <c:varyColors val="0"/>
        <c:ser>
          <c:idx val="0"/>
          <c:order val="0"/>
          <c:tx>
            <c:strRef>
              <c:f>'[EAU_Graficos_Porcentajes_Corregidos.xlsx]Indicadores Exactos EAU'!D3</c:f>
              <c:strCache>
                <c:ptCount val="1"/>
                <c:pt idx="0">
                  <c:v>Tasa de Inflación Anual (%)</c:v>
                </c:pt>
              </c:strCache>
            </c:strRef>
          </c:tx>
          <c:spPr>
            <a:ln w="47625" cap="rnd" cmpd="sng" algn="ctr">
              <a:solidFill>
                <a:schemeClr val="accent5">
                  <a:shade val="95000"/>
                  <a:satMod val="105000"/>
                </a:schemeClr>
              </a:solidFill>
              <a:prstDash val="solid"/>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'[EAU_Graficos_Porcentajes_Corregidos.xlsx]Indicadores Exactos EAU'!$A$4:$A$9</c:f>
              <c:numCache>
                <c:formatCode>0</c:formatCode>
                <c:ptCount val="6"/>
                <c:pt idx="0">
                  <c:v>2019</c:v>
                </c:pt>
                <c:pt idx="1">
                  <c:v>2020</c:v>
                </c:pt>
                <c:pt idx="2">
                  <c:v>2021</c:v>
                </c:pt>
                <c:pt idx="3">
                  <c:v>2022</c:v>
                </c:pt>
                <c:pt idx="4">
                  <c:v>2023</c:v>
                </c:pt>
                <c:pt idx="5">
                  <c:v>2024</c:v>
                </c:pt>
              </c:numCache>
            </c:numRef>
          </c:cat>
          <c:val>
            <c:numRef>
              <c:f>'[EAU_Graficos_Porcentajes_Corregidos.xlsx]Indicadores Exactos EAU'!$D$4:$D$9</c:f>
              <c:numCache>
                <c:formatCode>0.0"%"</c:formatCode>
                <c:ptCount val="6"/>
                <c:pt idx="0">
                  <c:v>-1.9</c:v>
                </c:pt>
                <c:pt idx="1">
                  <c:v>-2.1</c:v>
                </c:pt>
                <c:pt idx="2">
                  <c:v>0.2</c:v>
                </c:pt>
                <c:pt idx="3">
                  <c:v>4.8</c:v>
                </c:pt>
                <c:pt idx="4">
                  <c:v>1.6</c:v>
                </c:pt>
                <c:pt idx="5">
                  <c:v>1.7</c:v>
                </c:pt>
              </c:numCache>
            </c:numRef>
          </c:val>
          <c:smooth val="0"/>
          <c:extLst>
            <c:ext xmlns:c16="http://schemas.microsoft.com/office/drawing/2014/chart" uri="{C3380CC4-5D6E-409C-BE32-E72D297353CC}">
              <c16:uniqueId val="{00000000-4AD7-264C-B284-7904B968C664}"/>
            </c:ext>
          </c:extLst>
        </c:ser>
        <c:dLbls>
          <c:showLegendKey val="0"/>
          <c:showVal val="1"/>
          <c:showCatName val="0"/>
          <c:showSerName val="0"/>
          <c:showPercent val="0"/>
          <c:showBubbleSize val="0"/>
        </c:dLbls>
        <c:smooth val="0"/>
        <c:axId val="10"/>
        <c:axId val="100"/>
      </c:lineChart>
      <c:catAx>
        <c:axId val="10"/>
        <c:scaling>
          <c:orientation val="minMax"/>
        </c:scaling>
        <c:delete val="0"/>
        <c:axPos val="b"/>
        <c:numFmt formatCode="0" sourceLinked="1"/>
        <c:majorTickMark val="none"/>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US"/>
          </a:p>
        </c:txPr>
        <c:crossAx val="100"/>
        <c:crosses val="autoZero"/>
        <c:auto val="0"/>
        <c:lblAlgn val="ctr"/>
        <c:lblOffset val="100"/>
        <c:noMultiLvlLbl val="0"/>
      </c:catAx>
      <c:valAx>
        <c:axId val="100"/>
        <c:scaling>
          <c:orientation val="minMax"/>
        </c:scaling>
        <c:delete val="0"/>
        <c:axPos val="l"/>
        <c:majorGridlines>
          <c:spPr>
            <a:ln w="9525" cap="flat" cmpd="sng" algn="ctr">
              <a:solidFill>
                <a:schemeClr val="tx1">
                  <a:tint val="75000"/>
                  <a:shade val="95000"/>
                  <a:satMod val="105000"/>
                </a:schemeClr>
              </a:solidFill>
              <a:prstDash val="solid"/>
              <a:round/>
            </a:ln>
            <a:effectLst/>
          </c:spPr>
        </c:majorGridlines>
        <c:numFmt formatCode="0.0&quot;%&quot;" sourceLinked="0"/>
        <c:majorTickMark val="none"/>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US"/>
          </a:p>
        </c:txPr>
        <c:crossAx val="10"/>
        <c:crosses val="autoZero"/>
        <c:crossBetween val="between"/>
      </c:valAx>
      <c:spPr>
        <a:solidFill>
          <a:schemeClr val="bg1"/>
        </a:solidFill>
        <a:ln>
          <a:noFill/>
        </a:ln>
        <a:effectLst/>
      </c:spPr>
    </c:plotArea>
    <c:plotVisOnly val="1"/>
    <c:dispBlanksAs val="gap"/>
    <c:showDLblsOverMax val="0"/>
  </c:chart>
  <c:spPr>
    <a:solidFill>
      <a:schemeClr val="bg1"/>
    </a:solidFill>
    <a:ln w="12700" cap="flat" cmpd="sng" algn="ctr">
      <a:solidFill>
        <a:schemeClr val="tx1">
          <a:tint val="75000"/>
        </a:schemeClr>
      </a:solidFill>
      <a:prstDash val="solid"/>
      <a:round/>
    </a:ln>
    <a:effectLst/>
  </c:spPr>
  <c:txPr>
    <a:bodyPr/>
    <a:lstStyle/>
    <a:p>
      <a:pPr>
        <a:defRPr/>
      </a:pPr>
      <a:endParaRPr lang="es-US"/>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US"/>
              <a:t>Empleo y Desempleo de la Población Activa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US"/>
        </a:p>
      </c:txPr>
    </c:title>
    <c:autoTitleDeleted val="0"/>
    <c:plotArea>
      <c:layout/>
      <c:lineChart>
        <c:grouping val="standard"/>
        <c:varyColors val="0"/>
        <c:ser>
          <c:idx val="0"/>
          <c:order val="0"/>
          <c:tx>
            <c:strRef>
              <c:f>'[EAU_Graficos_Porcentajes_Corregidos.xlsx]Indicadores Exactos EAU'!E3</c:f>
              <c:strCache>
                <c:ptCount val="1"/>
                <c:pt idx="0">
                  <c:v>Tasa de Desempleo (%)</c:v>
                </c:pt>
              </c:strCache>
            </c:strRef>
          </c:tx>
          <c:spPr>
            <a:ln w="47625" cap="rnd" cmpd="sng" algn="ctr">
              <a:solidFill>
                <a:schemeClr val="accent6">
                  <a:shade val="95000"/>
                  <a:satMod val="105000"/>
                </a:schemeClr>
              </a:solidFill>
              <a:prstDash val="solid"/>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'[EAU_Graficos_Porcentajes_Corregidos.xlsx]Indicadores Exactos EAU'!$A$4:$A$9</c:f>
              <c:numCache>
                <c:formatCode>0</c:formatCode>
                <c:ptCount val="6"/>
                <c:pt idx="0">
                  <c:v>2019</c:v>
                </c:pt>
                <c:pt idx="1">
                  <c:v>2020</c:v>
                </c:pt>
                <c:pt idx="2">
                  <c:v>2021</c:v>
                </c:pt>
                <c:pt idx="3">
                  <c:v>2022</c:v>
                </c:pt>
                <c:pt idx="4">
                  <c:v>2023</c:v>
                </c:pt>
                <c:pt idx="5">
                  <c:v>2024</c:v>
                </c:pt>
              </c:numCache>
            </c:numRef>
          </c:cat>
          <c:val>
            <c:numRef>
              <c:f>'[EAU_Graficos_Porcentajes_Corregidos.xlsx]Indicadores Exactos EAU'!$E$4:$E$9</c:f>
              <c:numCache>
                <c:formatCode>0.0"%"</c:formatCode>
                <c:ptCount val="6"/>
                <c:pt idx="0">
                  <c:v>2.6</c:v>
                </c:pt>
                <c:pt idx="1">
                  <c:v>2.9</c:v>
                </c:pt>
                <c:pt idx="2">
                  <c:v>2.5</c:v>
                </c:pt>
                <c:pt idx="3">
                  <c:v>2.2999999999999998</c:v>
                </c:pt>
                <c:pt idx="4">
                  <c:v>2</c:v>
                </c:pt>
                <c:pt idx="5">
                  <c:v>1.8</c:v>
                </c:pt>
              </c:numCache>
            </c:numRef>
          </c:val>
          <c:smooth val="0"/>
          <c:extLst>
            <c:ext xmlns:c16="http://schemas.microsoft.com/office/drawing/2014/chart" uri="{C3380CC4-5D6E-409C-BE32-E72D297353CC}">
              <c16:uniqueId val="{00000000-F2E6-6A4F-A4FA-92E01660A330}"/>
            </c:ext>
          </c:extLst>
        </c:ser>
        <c:ser>
          <c:idx val="1"/>
          <c:order val="1"/>
          <c:tx>
            <c:strRef>
              <c:f>'[EAU_Graficos_Porcentajes_Corregidos.xlsx]Indicadores Exactos EAU'!F3</c:f>
              <c:strCache>
                <c:ptCount val="1"/>
                <c:pt idx="0">
                  <c:v>Tasa de Empleo (%)</c:v>
                </c:pt>
              </c:strCache>
            </c:strRef>
          </c:tx>
          <c:spPr>
            <a:ln w="47625" cap="rnd" cmpd="sng" algn="ctr">
              <a:solidFill>
                <a:schemeClr val="accent5">
                  <a:shade val="95000"/>
                  <a:satMod val="105000"/>
                </a:schemeClr>
              </a:solidFill>
              <a:prstDash val="solid"/>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'[EAU_Graficos_Porcentajes_Corregidos.xlsx]Indicadores Exactos EAU'!$A$4:$A$9</c:f>
              <c:numCache>
                <c:formatCode>0</c:formatCode>
                <c:ptCount val="6"/>
                <c:pt idx="0">
                  <c:v>2019</c:v>
                </c:pt>
                <c:pt idx="1">
                  <c:v>2020</c:v>
                </c:pt>
                <c:pt idx="2">
                  <c:v>2021</c:v>
                </c:pt>
                <c:pt idx="3">
                  <c:v>2022</c:v>
                </c:pt>
                <c:pt idx="4">
                  <c:v>2023</c:v>
                </c:pt>
                <c:pt idx="5">
                  <c:v>2024</c:v>
                </c:pt>
              </c:numCache>
            </c:numRef>
          </c:cat>
          <c:val>
            <c:numRef>
              <c:f>'[EAU_Graficos_Porcentajes_Corregidos.xlsx]Indicadores Exactos EAU'!$F$4:$F$9</c:f>
              <c:numCache>
                <c:formatCode>0.0"%"</c:formatCode>
                <c:ptCount val="6"/>
                <c:pt idx="0">
                  <c:v>97.4</c:v>
                </c:pt>
                <c:pt idx="1">
                  <c:v>97.1</c:v>
                </c:pt>
                <c:pt idx="2">
                  <c:v>97.5</c:v>
                </c:pt>
                <c:pt idx="3">
                  <c:v>97.7</c:v>
                </c:pt>
                <c:pt idx="4">
                  <c:v>98</c:v>
                </c:pt>
                <c:pt idx="5">
                  <c:v>98.2</c:v>
                </c:pt>
              </c:numCache>
            </c:numRef>
          </c:val>
          <c:smooth val="0"/>
          <c:extLst>
            <c:ext xmlns:c16="http://schemas.microsoft.com/office/drawing/2014/chart" uri="{C3380CC4-5D6E-409C-BE32-E72D297353CC}">
              <c16:uniqueId val="{00000001-F2E6-6A4F-A4FA-92E01660A330}"/>
            </c:ext>
          </c:extLst>
        </c:ser>
        <c:dLbls>
          <c:showLegendKey val="0"/>
          <c:showVal val="1"/>
          <c:showCatName val="0"/>
          <c:showSerName val="0"/>
          <c:showPercent val="0"/>
          <c:showBubbleSize val="0"/>
        </c:dLbls>
        <c:smooth val="0"/>
        <c:axId val="10"/>
        <c:axId val="100"/>
      </c:lineChart>
      <c:catAx>
        <c:axId val="10"/>
        <c:scaling>
          <c:orientation val="minMax"/>
        </c:scaling>
        <c:delete val="0"/>
        <c:axPos val="b"/>
        <c:numFmt formatCode="0" sourceLinked="1"/>
        <c:majorTickMark val="none"/>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US"/>
          </a:p>
        </c:txPr>
        <c:crossAx val="100"/>
        <c:crosses val="autoZero"/>
        <c:auto val="0"/>
        <c:lblAlgn val="ctr"/>
        <c:lblOffset val="100"/>
        <c:noMultiLvlLbl val="0"/>
      </c:catAx>
      <c:valAx>
        <c:axId val="100"/>
        <c:scaling>
          <c:orientation val="minMax"/>
        </c:scaling>
        <c:delete val="0"/>
        <c:axPos val="l"/>
        <c:majorGridlines>
          <c:spPr>
            <a:ln w="9525" cap="flat" cmpd="sng" algn="ctr">
              <a:solidFill>
                <a:schemeClr val="tx1">
                  <a:tint val="75000"/>
                  <a:shade val="95000"/>
                  <a:satMod val="105000"/>
                </a:schemeClr>
              </a:solidFill>
              <a:prstDash val="solid"/>
              <a:round/>
            </a:ln>
            <a:effectLst/>
          </c:spPr>
        </c:majorGridlines>
        <c:numFmt formatCode="0.0&quot;%&quot;" sourceLinked="0"/>
        <c:majorTickMark val="none"/>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US"/>
          </a:p>
        </c:txPr>
        <c:crossAx val="10"/>
        <c:crosses val="autoZero"/>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US"/>
        </a:p>
      </c:txPr>
    </c:legend>
    <c:plotVisOnly val="1"/>
    <c:dispBlanksAs val="gap"/>
    <c:showDLblsOverMax val="0"/>
  </c:chart>
  <c:spPr>
    <a:solidFill>
      <a:schemeClr val="bg1"/>
    </a:solidFill>
    <a:ln w="12700" cap="flat" cmpd="sng" algn="ctr">
      <a:solidFill>
        <a:schemeClr val="tx1">
          <a:tint val="75000"/>
        </a:schemeClr>
      </a:solidFill>
      <a:prstDash val="solid"/>
      <a:round/>
    </a:ln>
    <a:effectLst/>
  </c:spPr>
  <c:txPr>
    <a:bodyPr/>
    <a:lstStyle/>
    <a:p>
      <a:pPr>
        <a:defRPr/>
      </a:pPr>
      <a:endParaRPr lang="es-US"/>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US"/>
              <a:t>Tasa de Interés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US"/>
        </a:p>
      </c:txPr>
    </c:title>
    <c:autoTitleDeleted val="0"/>
    <c:plotArea>
      <c:layout/>
      <c:lineChart>
        <c:grouping val="standard"/>
        <c:varyColors val="0"/>
        <c:ser>
          <c:idx val="0"/>
          <c:order val="0"/>
          <c:tx>
            <c:strRef>
              <c:f>'[EAU_Graficos_Porcentajes_Corregidos.xlsx]Indicadores Exactos EAU'!G3</c:f>
              <c:strCache>
                <c:ptCount val="1"/>
                <c:pt idx="0">
                  <c:v>Tasa de Interés (%)</c:v>
                </c:pt>
              </c:strCache>
            </c:strRef>
          </c:tx>
          <c:spPr>
            <a:ln w="47625" cap="rnd" cmpd="sng" algn="ctr">
              <a:solidFill>
                <a:schemeClr val="accent2">
                  <a:shade val="95000"/>
                  <a:satMod val="105000"/>
                </a:schemeClr>
              </a:solidFill>
              <a:prstDash val="solid"/>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'[EAU_Graficos_Porcentajes_Corregidos.xlsx]Indicadores Exactos EAU'!$A$4:$A$9</c:f>
              <c:numCache>
                <c:formatCode>0</c:formatCode>
                <c:ptCount val="6"/>
                <c:pt idx="0">
                  <c:v>2019</c:v>
                </c:pt>
                <c:pt idx="1">
                  <c:v>2020</c:v>
                </c:pt>
                <c:pt idx="2">
                  <c:v>2021</c:v>
                </c:pt>
                <c:pt idx="3">
                  <c:v>2022</c:v>
                </c:pt>
                <c:pt idx="4">
                  <c:v>2023</c:v>
                </c:pt>
                <c:pt idx="5">
                  <c:v>2024</c:v>
                </c:pt>
              </c:numCache>
            </c:numRef>
          </c:cat>
          <c:val>
            <c:numRef>
              <c:f>'[EAU_Graficos_Porcentajes_Corregidos.xlsx]Indicadores Exactos EAU'!$G$4:$G$9</c:f>
              <c:numCache>
                <c:formatCode>0.0"%"</c:formatCode>
                <c:ptCount val="6"/>
                <c:pt idx="0">
                  <c:v>2</c:v>
                </c:pt>
                <c:pt idx="1">
                  <c:v>0.5</c:v>
                </c:pt>
                <c:pt idx="2">
                  <c:v>0.75</c:v>
                </c:pt>
                <c:pt idx="3">
                  <c:v>4.4000000000000004</c:v>
                </c:pt>
                <c:pt idx="4">
                  <c:v>5.4</c:v>
                </c:pt>
                <c:pt idx="5">
                  <c:v>5.4</c:v>
                </c:pt>
              </c:numCache>
            </c:numRef>
          </c:val>
          <c:smooth val="0"/>
          <c:extLst>
            <c:ext xmlns:c16="http://schemas.microsoft.com/office/drawing/2014/chart" uri="{C3380CC4-5D6E-409C-BE32-E72D297353CC}">
              <c16:uniqueId val="{00000000-26AE-8348-A064-D88B63D41887}"/>
            </c:ext>
          </c:extLst>
        </c:ser>
        <c:dLbls>
          <c:showLegendKey val="0"/>
          <c:showVal val="1"/>
          <c:showCatName val="0"/>
          <c:showSerName val="0"/>
          <c:showPercent val="0"/>
          <c:showBubbleSize val="0"/>
        </c:dLbls>
        <c:smooth val="0"/>
        <c:axId val="10"/>
        <c:axId val="100"/>
      </c:lineChart>
      <c:catAx>
        <c:axId val="10"/>
        <c:scaling>
          <c:orientation val="minMax"/>
        </c:scaling>
        <c:delete val="0"/>
        <c:axPos val="b"/>
        <c:numFmt formatCode="0" sourceLinked="1"/>
        <c:majorTickMark val="none"/>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US"/>
          </a:p>
        </c:txPr>
        <c:crossAx val="100"/>
        <c:crosses val="autoZero"/>
        <c:auto val="0"/>
        <c:lblAlgn val="ctr"/>
        <c:lblOffset val="100"/>
        <c:noMultiLvlLbl val="0"/>
      </c:catAx>
      <c:valAx>
        <c:axId val="100"/>
        <c:scaling>
          <c:orientation val="minMax"/>
        </c:scaling>
        <c:delete val="0"/>
        <c:axPos val="l"/>
        <c:majorGridlines>
          <c:spPr>
            <a:ln w="9525" cap="flat" cmpd="sng" algn="ctr">
              <a:solidFill>
                <a:schemeClr val="tx1">
                  <a:tint val="75000"/>
                  <a:shade val="95000"/>
                  <a:satMod val="105000"/>
                </a:schemeClr>
              </a:solidFill>
              <a:prstDash val="solid"/>
              <a:round/>
            </a:ln>
            <a:effectLst/>
          </c:spPr>
        </c:majorGridlines>
        <c:numFmt formatCode="0.0&quot;%&quot;" sourceLinked="0"/>
        <c:majorTickMark val="none"/>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US"/>
          </a:p>
        </c:txPr>
        <c:crossAx val="10"/>
        <c:crosses val="autoZero"/>
        <c:crossBetween val="between"/>
      </c:valAx>
      <c:spPr>
        <a:solidFill>
          <a:schemeClr val="bg1"/>
        </a:solidFill>
        <a:ln>
          <a:noFill/>
        </a:ln>
        <a:effectLst/>
      </c:spPr>
    </c:plotArea>
    <c:plotVisOnly val="1"/>
    <c:dispBlanksAs val="gap"/>
    <c:showDLblsOverMax val="0"/>
  </c:chart>
  <c:spPr>
    <a:solidFill>
      <a:schemeClr val="bg1"/>
    </a:solidFill>
    <a:ln w="12700" cap="flat" cmpd="sng" algn="ctr">
      <a:solidFill>
        <a:schemeClr val="tx1">
          <a:tint val="75000"/>
        </a:schemeClr>
      </a:solidFill>
      <a:prstDash val="solid"/>
      <a:round/>
    </a:ln>
    <a:effectLst/>
  </c:spPr>
  <c:txPr>
    <a:bodyPr/>
    <a:lstStyle/>
    <a:p>
      <a:pPr>
        <a:defRPr/>
      </a:pPr>
      <a:endParaRPr lang="es-US"/>
    </a:p>
  </c:txPr>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Reversed" id="22">
  <a:schemeClr val="accent2"/>
</cs:colorStyle>
</file>

<file path=word/charts/style1.xml><?xml version="1.0" encoding="utf-8"?>
<cs:chartStyle xmlns:cs="http://schemas.microsoft.com/office/drawing/2012/chartStyle" xmlns:a="http://schemas.openxmlformats.org/drawingml/2006/main" id="113">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1">
      <a:schemeClr val="lt1"/>
    </cs:lnRef>
    <cs:fillRef idx="1">
      <cs:styleClr val="auto"/>
    </cs:fillRef>
    <cs:effectRef idx="1">
      <a:schemeClr val="dk1"/>
    </cs:effectRef>
    <cs:fontRef idx="minor">
      <a:schemeClr val="tx1"/>
    </cs:fontRef>
    <cs:spPr>
      <a:ln>
        <a:round/>
      </a:ln>
    </cs:spPr>
  </cs:dataPoint>
  <cs:dataPoint3D>
    <cs:lnRef idx="1">
      <a:schemeClr val="lt1"/>
    </cs:lnRef>
    <cs:fillRef idx="1">
      <cs:styleClr val="auto"/>
    </cs:fillRef>
    <cs:effectRef idx="1">
      <a:schemeClr val="dk1"/>
    </cs:effectRef>
    <cs:fontRef idx="minor">
      <a:schemeClr val="tx1"/>
    </cs:fontRef>
    <cs:spPr>
      <a:ln>
        <a:round/>
      </a:ln>
    </cs:spPr>
  </cs:dataPoint3D>
  <cs:dataPointLine>
    <cs:lnRef idx="1">
      <cs:styleClr val="auto"/>
    </cs:lnRef>
    <cs:lineWidthScale>5</cs:lineWidthScale>
    <cs:fillRef idx="0"/>
    <cs:effectRef idx="0"/>
    <cs:fontRef idx="minor">
      <a:schemeClr val="tx1"/>
    </cs:fontRef>
    <cs:spPr>
      <a:ln cap="rnd">
        <a:round/>
      </a:ln>
    </cs:spPr>
  </cs:dataPointLine>
  <cs:dataPointMarker>
    <cs:lnRef idx="1">
      <cs:styleClr val="auto"/>
    </cs:lnRef>
    <cs:fillRef idx="1">
      <cs:styleClr val="auto"/>
    </cs:fillRef>
    <cs:effectRef idx="1">
      <a:schemeClr val="dk1"/>
    </cs:effectRef>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mods="ignoreCSTransforms">
      <cs:styleClr val="0">
        <a:shade val="25000"/>
      </cs:styleClr>
    </cs:fillRef>
    <cs:effectRef idx="1">
      <a:schemeClr val="dk1"/>
    </cs:effectRef>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mods="ignoreCSTransforms">
      <cs:styleClr val="0">
        <a:tint val="25000"/>
      </cs:styleClr>
    </cs:fillRef>
    <cs:effectRef idx="1">
      <a:schemeClr val="dk1"/>
    </cs:effectRef>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13">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1">
      <a:schemeClr val="lt1"/>
    </cs:lnRef>
    <cs:fillRef idx="1">
      <cs:styleClr val="auto"/>
    </cs:fillRef>
    <cs:effectRef idx="1">
      <a:schemeClr val="dk1"/>
    </cs:effectRef>
    <cs:fontRef idx="minor">
      <a:schemeClr val="tx1"/>
    </cs:fontRef>
    <cs:spPr>
      <a:ln>
        <a:round/>
      </a:ln>
    </cs:spPr>
  </cs:dataPoint>
  <cs:dataPoint3D>
    <cs:lnRef idx="1">
      <a:schemeClr val="lt1"/>
    </cs:lnRef>
    <cs:fillRef idx="1">
      <cs:styleClr val="auto"/>
    </cs:fillRef>
    <cs:effectRef idx="1">
      <a:schemeClr val="dk1"/>
    </cs:effectRef>
    <cs:fontRef idx="minor">
      <a:schemeClr val="tx1"/>
    </cs:fontRef>
    <cs:spPr>
      <a:ln>
        <a:round/>
      </a:ln>
    </cs:spPr>
  </cs:dataPoint3D>
  <cs:dataPointLine>
    <cs:lnRef idx="1">
      <cs:styleClr val="auto"/>
    </cs:lnRef>
    <cs:lineWidthScale>5</cs:lineWidthScale>
    <cs:fillRef idx="0"/>
    <cs:effectRef idx="0"/>
    <cs:fontRef idx="minor">
      <a:schemeClr val="tx1"/>
    </cs:fontRef>
    <cs:spPr>
      <a:ln cap="rnd">
        <a:round/>
      </a:ln>
    </cs:spPr>
  </cs:dataPointLine>
  <cs:dataPointMarker>
    <cs:lnRef idx="1">
      <cs:styleClr val="auto"/>
    </cs:lnRef>
    <cs:fillRef idx="1">
      <cs:styleClr val="auto"/>
    </cs:fillRef>
    <cs:effectRef idx="1">
      <a:schemeClr val="dk1"/>
    </cs:effectRef>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mods="ignoreCSTransforms">
      <cs:styleClr val="0">
        <a:shade val="25000"/>
      </cs:styleClr>
    </cs:fillRef>
    <cs:effectRef idx="1">
      <a:schemeClr val="dk1"/>
    </cs:effectRef>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mods="ignoreCSTransforms">
      <cs:styleClr val="0">
        <a:tint val="25000"/>
      </cs:styleClr>
    </cs:fillRef>
    <cs:effectRef idx="1">
      <a:schemeClr val="dk1"/>
    </cs:effectRef>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13">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1">
      <a:schemeClr val="lt1"/>
    </cs:lnRef>
    <cs:fillRef idx="1">
      <cs:styleClr val="auto"/>
    </cs:fillRef>
    <cs:effectRef idx="1">
      <a:schemeClr val="dk1"/>
    </cs:effectRef>
    <cs:fontRef idx="minor">
      <a:schemeClr val="tx1"/>
    </cs:fontRef>
    <cs:spPr>
      <a:ln>
        <a:round/>
      </a:ln>
    </cs:spPr>
  </cs:dataPoint>
  <cs:dataPoint3D>
    <cs:lnRef idx="1">
      <a:schemeClr val="lt1"/>
    </cs:lnRef>
    <cs:fillRef idx="1">
      <cs:styleClr val="auto"/>
    </cs:fillRef>
    <cs:effectRef idx="1">
      <a:schemeClr val="dk1"/>
    </cs:effectRef>
    <cs:fontRef idx="minor">
      <a:schemeClr val="tx1"/>
    </cs:fontRef>
    <cs:spPr>
      <a:ln>
        <a:round/>
      </a:ln>
    </cs:spPr>
  </cs:dataPoint3D>
  <cs:dataPointLine>
    <cs:lnRef idx="1">
      <cs:styleClr val="auto"/>
    </cs:lnRef>
    <cs:lineWidthScale>5</cs:lineWidthScale>
    <cs:fillRef idx="0"/>
    <cs:effectRef idx="0"/>
    <cs:fontRef idx="minor">
      <a:schemeClr val="tx1"/>
    </cs:fontRef>
    <cs:spPr>
      <a:ln cap="rnd">
        <a:round/>
      </a:ln>
    </cs:spPr>
  </cs:dataPointLine>
  <cs:dataPointMarker>
    <cs:lnRef idx="1">
      <cs:styleClr val="auto"/>
    </cs:lnRef>
    <cs:fillRef idx="1">
      <cs:styleClr val="auto"/>
    </cs:fillRef>
    <cs:effectRef idx="1">
      <a:schemeClr val="dk1"/>
    </cs:effectRef>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mods="ignoreCSTransforms">
      <cs:styleClr val="0">
        <a:shade val="25000"/>
      </cs:styleClr>
    </cs:fillRef>
    <cs:effectRef idx="1">
      <a:schemeClr val="dk1"/>
    </cs:effectRef>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mods="ignoreCSTransforms">
      <cs:styleClr val="0">
        <a:tint val="25000"/>
      </cs:styleClr>
    </cs:fillRef>
    <cs:effectRef idx="1">
      <a:schemeClr val="dk1"/>
    </cs:effectRef>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13">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1">
      <a:schemeClr val="lt1"/>
    </cs:lnRef>
    <cs:fillRef idx="1">
      <cs:styleClr val="auto"/>
    </cs:fillRef>
    <cs:effectRef idx="1">
      <a:schemeClr val="dk1"/>
    </cs:effectRef>
    <cs:fontRef idx="minor">
      <a:schemeClr val="tx1"/>
    </cs:fontRef>
    <cs:spPr>
      <a:ln>
        <a:round/>
      </a:ln>
    </cs:spPr>
  </cs:dataPoint>
  <cs:dataPoint3D>
    <cs:lnRef idx="1">
      <a:schemeClr val="lt1"/>
    </cs:lnRef>
    <cs:fillRef idx="1">
      <cs:styleClr val="auto"/>
    </cs:fillRef>
    <cs:effectRef idx="1">
      <a:schemeClr val="dk1"/>
    </cs:effectRef>
    <cs:fontRef idx="minor">
      <a:schemeClr val="tx1"/>
    </cs:fontRef>
    <cs:spPr>
      <a:ln>
        <a:round/>
      </a:ln>
    </cs:spPr>
  </cs:dataPoint3D>
  <cs:dataPointLine>
    <cs:lnRef idx="1">
      <cs:styleClr val="auto"/>
    </cs:lnRef>
    <cs:lineWidthScale>5</cs:lineWidthScale>
    <cs:fillRef idx="0"/>
    <cs:effectRef idx="0"/>
    <cs:fontRef idx="minor">
      <a:schemeClr val="tx1"/>
    </cs:fontRef>
    <cs:spPr>
      <a:ln cap="rnd">
        <a:round/>
      </a:ln>
    </cs:spPr>
  </cs:dataPointLine>
  <cs:dataPointMarker>
    <cs:lnRef idx="1">
      <cs:styleClr val="auto"/>
    </cs:lnRef>
    <cs:fillRef idx="1">
      <cs:styleClr val="auto"/>
    </cs:fillRef>
    <cs:effectRef idx="1">
      <a:schemeClr val="dk1"/>
    </cs:effectRef>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mods="ignoreCSTransforms">
      <cs:styleClr val="0">
        <a:shade val="25000"/>
      </cs:styleClr>
    </cs:fillRef>
    <cs:effectRef idx="1">
      <a:schemeClr val="dk1"/>
    </cs:effectRef>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mods="ignoreCSTransforms">
      <cs:styleClr val="0">
        <a:tint val="25000"/>
      </cs:styleClr>
    </cs:fillRef>
    <cs:effectRef idx="1">
      <a:schemeClr val="dk1"/>
    </cs:effectRef>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1187</Words>
  <Characters>6530</Characters>
  <Application>Microsoft Office Word</Application>
  <DocSecurity>0</DocSecurity>
  <Lines>54</Lines>
  <Paragraphs>15</Paragraphs>
  <ScaleCrop>false</ScaleCrop>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Juanita Zuleta</dc:creator>
  <cp:keywords/>
  <dc:description/>
  <cp:lastModifiedBy>Juanita Zuleta</cp:lastModifiedBy>
  <cp:revision>2</cp:revision>
  <dcterms:created xsi:type="dcterms:W3CDTF">2026-07-03T19:18:00Z</dcterms:created>
  <dcterms:modified xsi:type="dcterms:W3CDTF">2026-07-03T19:18:00Z</dcterms:modified>
</cp:coreProperties>
</file>