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EXCELENTÍSSIMO(A) SENHOR(A) DOUTOR(A) JUIZ(A) DE DIREITO 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&lt;VARA_INFÂNCIA&gt; DA COMARCA DE &lt;COMARCA&gt;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Ref.: Procedimento Menorista nº: &lt;NUMERO_PROC&gt; Boletim de Ocorrência nº: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&lt;NUMERO_BO&gt; Natureza: &lt;ATO_INFRACIONAL&gt;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RELATÓRIO POLICIAL MENORÍSTICO COM REPRESENTAÇÃO POR: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1. MEDIDA SOCIOEDUCATIVA DE INTERNAÇÃO PROVISÓRIA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2. BUSCA E APREENSÃO INDIVIDUAL/DOMICILIAR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QUEBRA DE SIGILO DE DADOS TELEMÁTICOS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presente procedimento policial foi instaurado para apurar Ato Infracional análogo ao delito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previsto no &lt;ARTIGO_PENAL&gt;, praticado, em tese, pelo(s) adolescente(s):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[DADOS_ADOLESCENTES] Nome: &lt;NOME_COMPLETO&gt; Filiação: &lt;NOME_PAIS&gt;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Nascimento: &lt;DATA_NASC&gt; Endereço: &lt;ENDEREÇO_COMPLETO&gt;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DOS FATOS E SUAS CIRCUNSTÂNCIAS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&lt;NARRATIVA_DETALHADA&gt; &lt;DATA_HORA_LOCAL&gt; &lt;MODUS_OPERANDI&gt;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&lt;PARTICIPAÇÃO_INDIVIDUAL&gt;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DA FUNDAMENTAÇÃO PARA INTERNAÇÃO PROVISÓRIA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 DA GRAVIDADE DO ATO INFRACIONAL &lt;DESCRIÇÃO_GRAVIDADE&gt;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&lt;VIOLÊNCIA_GRAVE_AMEAÇA&gt; &lt;REPERCUSSÃO_SOCIAL&gt;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2.2 DA NECESSIDADE DA INTERNAÇÃO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 fundamento no art. 122, inciso I e art.174, todos da Lei 8.069/90 (ECA), a internação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provisória se justifica pelos seguintes motivos: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Proteção da ordem pública: &lt;FUNDAMENTAÇÃO_ORDEM_PUBLICA&gt;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 Garantia da segurança pessoal do adolescente: &lt;RISCO_ADOLESCENTE&gt;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c) Manutenção da paz social: &lt;IMPACTO_SOCIAL&gt;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2.3 DOS ANTECEDENTES E CONDUTA SOCIAL &lt;ATOS_ANTERIORES&gt;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&lt;CONDUTA_SOCIAL&gt; &lt;CONTEXTO_FAMILIAR&gt;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DA BUSCA E APREENSÃO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medida de busca e apreensão se faz necessária com fundamento no art. 240, §1º do CPP c/c art.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152 do ECA para: &lt;OBJETOS_PROCURADOS&gt; &lt;FINALIDADE_BUSCA&gt; &lt;LOCAIS_BUSCA&gt;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DA QUEBRA DE SIGILO DE DADOS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Hodiernamente, grande parte da comunicação é realizada por meio de aplicativos de mensagem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instantânea e redes sociais. Os aparelhos smartphones possuem registros de conversas e dados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estáticos que são imprescindíveis para as investigações, podendo elucidar a participação individual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ato infracional, identificar outros possíveis envolvidos, recuperar objetos relacionados ao ato,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prevenir novos atos infracionais, etc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&lt;FUNDAMENTAÇÃO_ESPECÍFICA_QUEBRA&gt;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DOS PEDIDOS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Ante o exposto, com fundamento nos artigos 108, 122 e 174 do ECA, REPRESENTA-SE por: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INTERNAÇÃO PROVISÓRIA do(s) adolescente(s) &lt;NOMES&gt; pelo prazo de 45 dias;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EXPEDIÇÃO DE MANDADOS DE BUSCA E APREENSÃO nos seguintes endereços: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&lt;LISTA_ENDEREÇOS&gt;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c) REPRESENTAÇÃO PELA QUEBRA DE SIGILO TELEFÔNICO em desfavor DO(S)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REPRESENTADO(S), com base nos fundamentos e fatos suprarreferidos, e nos arts. 1º e 2º, incisos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I, II e III, 3º, inciso I, e 5º, da Lei Federal nº 9.296/1996 – que regulamentou o inciso XII, in fine, 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art. 5º da Constituição Federal de 1988 pela DECRETAÇÃO DA QUEBRA DE SIGILO 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DADOS DE APARELHOS CELULARES/SMARTPHONES,TABLETS, COMPUTADORES 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QUAISQUER OUTROS DISPOSITIVOS ELETRÔNICOS eventualmente apreendidos na posse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dos representados, ficando autorizado no mandado a devassa em todos os aparelhos pela: Polícia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Civil, Peritos Criminais/COIN/DIP e/ou OUTROS SETORES DE INTELIGÊNCIA DA POLÍCIA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CIVIL, tudo após a digna manifestação do nobre membro do Ministério Público.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Por fim, REQUER, respeitosamente, que esta representação siga em segredo de justiça e sigilo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externo, para que não frustre as cautelares solicitadas, em caso de deferimento.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REQUER ainda que, após a apreensão, seja a família imediatamente comunicada, nos termos do art.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107 do ECA.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Nestes termos, pede que seja remetida a presente representação para manifestação ministerial 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nobre Parquet e espera deferimento, com urgência, haja vista a efetividade das cautelares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representadas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