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EXCELENTÍSSIMO SR. DR. JUIZ DE DIREITO DA ... VARA ... DA COMARCA DE ... 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ESTADO DO CEARÁ.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&lt;Aplicar FLAGS relevantes&gt;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 Principal nº:…………..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POLÍCIA CIVIL DO ESTADO DO CEARÁ com fulcro no art. 144, §4º, da Constituição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Federal, na Lei nº 12.830/2013, no art. 4º do Código de Processo Penal, art. 61 da Lei nº 11.343/06,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vem, representar pela alienação de bens apreendidos em procedimento criminal relacionado ao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tráfico de drogas, nos termos apresentados.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SÍNTESE DOS FATOS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bem móvel / imóvel &lt;PERGUNTAR AO USUÁRIO QUAL VEÍCULO APREENDIDO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ELE QUER REPRESENTAR PELA ALIENAÇÃO&gt;, apreendido / arrestado / sequestrado 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&lt;DATA DA APREENSÃO&gt;, no Inquérito Policial nº &lt;NÚMERO DO INQUÉRITO POLICIAL&gt;,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foi instaurado mediante portaria/flagrante, pela prática do crime tipificado no(s) art(s)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&lt;TIPIFICAÇÃO PENAL&gt;, por fato ocorrido na localidade &lt;LOCAL DA PRISÃO&gt;.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Registre-se que, o bem vinculado ao Inquérito Policial em epígrafe está localizado 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&lt;LOCAL ONDE O VEÍCULO ESTÁ CUSTODIADO, todavia pelo fato de o bem [PERGUNTE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AO USUÁRIO O MOTIVO DA APREENSÃO] &lt;(a) ter sido apreendido pela prática da infração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penal, (b) se foi apreendido por ter correlação ao fato / investigação; (c) se foi apreendido por não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ter ao momento certeza a posse / propriedade legítima – Art. 120 do CPP; (d) se o bem foi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apreendido em virtude de mandado de busca e apreensão; (e) bem apreendido e sem condições 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restituir a qualquer pessoa (adulterado sem condições de rastreio da origem, incendiado, partes 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veículo, etc),&gt; necessário que sua destinação se faça modalidade de alienação judicial, pelos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fundamentos abaixo consignados.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Polícia Judiciária vem empreendendo grandes esforços para manter, conforme recebido 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momento da apresentação, os bens apreendidos em procedimentos policiais. Ocorre que, os bens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encontram-se sujeitos a toda sorte de intempéries pela ausência de utilização, pelo desgaste 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componentes, bem como da oxidação de peças, gerando sua desvalorização e descaracterização pelo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tempo, defasagem ou simples envelhecimento inevitável.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Além da possibilidade de deterioração e desvalorização destes objetos, existem custos para 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Estado relativos à guarda e manutenção dos bens por longos períodos.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DOS FUNDAMENTOS JURÍDICOS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Quanto à alienação de bens vinculados a crimes relacionados com o tráfico de drogas,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dispõe o art. 61 e §§ da Lei nº 11.343/06, o resultado da apreensão de veículos, meios de transportes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 objetos de qualquer natureza, utilizados para a prática do tráfico de drogas, o magistrado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determinará a alienação destes bens, excetuadas as armas, que serão recolhidas na forma da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legislação específica.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intuito da norma específica sobre o tráfico de drogas, visa agilizar a venda e a utilização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dos bens sequestrados do tráfico de drogas, permitindo a utilização imediata do dinheiro decorrente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para a prevenção e repressão ao tráfico de drogas.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Ressalte-se ainda que, a facilitação do procedimento de alienação evitará a depreciação e/ou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deterioração dos bens apreendidos e que estejam sendo mantidos em depósitos judiciais ou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policiais, senão vejamos o art. 61 da Lei nº 11.343/06: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Art. 61. A apreensão de veículos, embarcações, aeronaves e quaisquer outros meios de transporte 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dos maquinários, utensílios, instrumentos e objetos de qualquer natureza, utilizados para a prática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dos crimes definidos nesta Lei será imediatamente comunicada pela autoridade de polícia judiciária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responsável pela investigação ao juízo competente. (Redação dada pela Lei nº 13.840, de 2019)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§ 1º O juiz, no prazo de 30 (trinta) dias contados da comunicação de que trata o caput , determinará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alienação dos bens apreendidos, excetuadas as armas, que serão recolhidas na forma da legislação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específica. (Incluído pela Lei nº 13.840, de 2019)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§ 2º A alienação será realizada em autos apartados, dos quais constará a exposição sucinta do nexo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 instrumentalidade entre o delito e os bens apreendidos, a descrição e especificação dos objetos,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 informações sobre quem os tiver sob custódia e o local em que se encontrem. (Incluído pela Lei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nº 13.840, de 2019)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[…]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Visando dar maior celeridade na tramitação dos procedimentos de alienação antecipada 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bens apreendidos no âmbito da Polícia Civil, foi criada a Comissão Gestora de Ativos Apreendidos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(Portaria Administrativa nº 97/2023/GAB/PCCE, publicada no DOE de 23.10.2023, pág 159) 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Comissão Permanente de Avaliação, Alienação e Destinação de Bens da SENAD no Ceará (Portaria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nº 0838/2024-GS/SSPDS, publicada no DOE de 08.03.2024, págs 104/105) , autorizando, dentre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outras disposições, por acompanhar, representar, sanear e opinar acerca da destinação de bens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apreendidos, assim como promover os necessários atos de destinação de bens com determinação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judicial de alienação antecipada ou judicialmente declarados perdidos em favor da União - FUNAD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ser levado a efeito neste Estado.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Respectivo colegiado está à disposição do Poder Judiciário para envidar os esforços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necessários à concretização da destinação dos bens da SENAD no Estado do Ceará, podendo ser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contatado no e-mail (cga.dra@pc.ce.gov.br) ou no perfil eletrônico do E-SAJ – Núcleo de Gestão 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Recuperação de Ativos (CNPJ nº 01.869.564/0214-78) da Polícia Civil do Estado do Ceará.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 relação aos atos executivos de alienação judicial, antecipada ou definitiva, informamos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que a SENAD/MJSP possui toda estrutura de apoio aos magistrados interessados em processar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venda de bens em quaisquer processos criminais cujos ativos sujeitam-se a perdimento em favor 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União(https://www.gov.br/mj/pt-br/assuntos/sua-protecao/politicas-sobre-drogas/portfolio-da-dga/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passo-a-passo-para-o-peticionamento-eletronico), destacamos o passo a passo para 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peticionamento eletrônico junto à SENAD/MJSP.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Quando a alienação judicial é realizada na forma disponibilizada pela SENAD/MJSP, ainda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 tem a vantagem de repasse/retorno do percentual 20% a 40% dos valores estimados em favor do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Sistema de Segurança Pública do Estado do Ceará (Fundo de Segurança Pública e Defesa Social 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Estado do Ceará), conforme estabelece o art. 5º, §1º da Lei nº 7.560/86(https://www.gov.br/mj/ptbr/assuntos/sua-protecao/politicas-sobre-drogas/subcapas-senad/repasse-de-valores-arrecadados) 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ocorrendo de forma diversa, o Estado perde no repasse destes valores.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Tal sugestão converge com as orientações firmadas no Art. 25, §§3º e 4º da Resolução CNJ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nº 558/2024 (06.05.2024), que estabelece as diretrizes para a gestão e destinação de valores de bens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oriundos de pena de multa, perda de bens e valores e prestações pecuniárias decorrentes 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condenações criminais.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Ante o exposto, na forma da Lei nº 11.343/06 e Resolução CNJ nº 558/2024 (06.05.2024),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representamos pela alienação judicial do bem apreendido, e, solicitamos que os atos decorrentes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desta autorização sejam efetivados nos moldes estabelecidos pela SENAD/MJSP, para todos os fins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 direito.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P. Deferimento.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&lt;CIDADE&gt;, &lt;DATA&gt;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&lt;NOME_DELEGADO&gt; Delegado(a) de Polícia Matrícula &lt;NUMERO&gt;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