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EXCELENTÍSSIMO SR. DR. JUIZ DE DIREITO DA ... VARA ... DA COMARCA DE ... 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ESTADO DO &lt;ESTADO&gt;.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PROC. PRINCIPAL Nº &lt;PROCESSO PRINCIPAL&gt;.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POLÍCIA CIVIL DO ESTADO DO &lt;ESTADO&gt; com fulcro no art. 144, §4º, 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Constituição Federal, na Lei nº 12.830/2013, nos arts. 4º e 144-A, ambos do Código de Processo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Penal, bem como na Recomendação nº 30, de 10 de fevereiro de 2010, do Conselho Nacional 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Justiça (Recomenda a alienação antecipada de bens apreendidos em procedimentos criminais e dá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outras providências), vem, apresentar MEDIDA CAUTELAR DE ALIENAÇÃO ANTECIPADA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BENS APREENDIDOS EM PROCEDIMENTO CRIMINAL NÃO RELACIONADO COM 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TRÁFICO DE DROGAS nos termos aqui apresentados.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I. SÍNTESE DOS FATOS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bem móvel &lt;BEM MÓVEL QUE SE DESEJA LEILOAR&gt;, apreendido em &lt;DATA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APREENSÃO&gt;, no Inquérito Policial nº &lt;NÚMERO DO INQUÉRITO&gt;, foi instaurado mediante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portaria/flagrante, pela prática do crime tipificado no(s) art(s) &lt;TIPIFICAÇÃO PENAL&gt;C, por fato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corrido na localidade &lt;LOCAL DA APREENSÃO&gt;.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[ORIENTAR O USUÁRIO QUE COLOQUE FOTOS DO BENS NESTE ESPAÇO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POSTERIORMENTE]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Registre-se que, o bem vinculado ao Inquérito Policial em epígrafe está localizado 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&lt;LOCAL ONDE O VEÍCULO ESTÁ CUSTODIADO, todavia pelo fato de o bem [PERGUNTE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AO USUÁRIO O MOTIVO DA APREENSÃO] &lt;(a) ter sido apreendido pela prática da infração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penal, (b) se foi apreendido por ter correlação ao fato / investigação; (c) se foi apreendido por não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ter ao momento certeza a posse / propriedade legítima – Art. 120 do CPP; (d) se o bem foi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apreendido em virtude de mandado de busca e apreensão; (e) bem apreendido e sem condições 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restituir a qualquer pessoa (adulterado sem condições de rastreio da origem, incendiado, partes 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veículo, etc),&gt; necessário que sua destinação se faça modalidade de alienação judicial, pelos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fundamentos abaixo consignados.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Polícia Judiciária vem empreendendo grandes esforços para manter, conforme recebido 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momento da apresentação, os bens apreendidos em procedimentos policiais. Ocorre que, os bens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encontram-se sujeitos a toda sorte de intempéries pela ausência de utilização, pelo desgaste 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componentes, bem como da oxidação de peças, gerando sua desvalorização e descaracterização pelo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tempo, defasagem ou simples envelhecimento inevitável.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Além da possibilidade de deterioração e desvalorização destes objetos, existem custos para 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Estado relativos à guarda e manutenção dos bens por longos períodos.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I. DOS FUNDAMENTOS JURÍDICOS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alienação antecipada de bens vinculados a crimes não relacionados ao tráfico de drogas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 previsão legal no art. 144-A do Código de Processo Penal, que dispõe acerca do aludido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procedimento cautelar a fim de evitar a depreciação e/ou deterioração dos bens apreendidos 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procedimentos criminais e que estejam sendo mantidos em depósitos judiciais ou policiais.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Nesse sentido, o Conselho Nacional de Justiça expediu a Recomendação nº 30, de 10 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fevereiro de 2010, com o objetivo de evitar a depreciação natural dos bens apreendidos durante 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curso do processo criminal, tendo em vista as condições quase sempre inadequadas dos depósitos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judiciais e policiais, fomentando, assim, a respectiva alienação cautelar.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Sobre a matéria, o Superior Tribunal de Justiça já decidiu: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PROCESSO PENAL. RECURSO ESPECIAL. MEDIDAS ASSECURATÓRIAS. ALIENAÇÃO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ANTECIPADA DE VEÍCULOS AUTOMOTORES. OPERAÇÃO FURACÃO II. ART. 144-A 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CPP. RISCO DE DETERIORAÇÃO OU DEPRECIAÇÃO NATURAL. PRESERVAÇÃO 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VALOR DO BEM E RECOMPOSIÇÃO DOS DANOS CAUSADOS.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- O art. 144-A do Código de Processo Penal, acrescido ao diploma pela Lei 12.694/12, permite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alienação antecipada de bens que correm risco de perecimento ou desvalorização. II - Existindo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risco de deterioração e desvalorização dos veículos automotores, a solução mais adequada é a venda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antecipada do bem, com posterior depósito do valor arrecadado em conta do Juízo criminal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competente para o julgamento do feito, o que ressalva, inclusive, a preservação dos valores na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hipótese de eventual absolvição. Não há, pois, direito líquido e certo à manutenção dos bens com 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ora recorridos até o trânsito em julgado, ainda que nomeados como depositário fiel. Agravo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regimental desprovido.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(AgRg no REsp 1627395/RJ, Rel. Ministro FELIX FISCHER, QUINTA TURMA, julgado 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06/03/2018, DJe 14/03/2018)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Corroborando com o anseio de otimizar a sistemática de alienação de bens apreendidos, foi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firmado entre o Tribunal de Justiça, a Superintendência da Polícia Civil, o Ministério Público e 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Departamento Estadual de Trânsito, TERMO DE CONVÊNIO DE COOPERAÇÃO TÉCNICA,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visando a aprimorar e agilizar a alienação de veículos automotores apreendidos em razão da prática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 crimes e vinculados a procedimentos e processos judiciais criminais, exceto os relacionados com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delitos de tráfico de drogas (Termo de Convênio nº 68/2019 – TJCE, Publicado Diário da Justiça 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Ceará, no dia 17/10/2019, pág. 33).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alienação antecipada da apreensão em questão deve seguir a ritualística do art.144-A, 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CPP, que em seu §3º, autoriza o magistrado a decidir, no caso de condenação do acusado, sobre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destinação do produto da alienação, convertendo-se seus valores em renda para a União, Estados ou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Distrito Federal, vejamos: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produto da alienação ficará depositado em conta vinculada ao juízo até a decisão final 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processo, procedendo-se à sua conversão em renda para a União, Estado ou Distrito Federal, 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caso de condenação, ou, no caso de absolvição, à sua devolução ao acusado.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Destaque-se, que o procedimento de alienação antecipada tem natureza incidental, devendo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tramitar em autos apartados à ação principal, uma vez que a ação principal tenha sido remetida à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instância recursal, o Juízo Singular continuará competente para decidir o processo incidente que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tramita na instância inicial, evitando, com isso, tumulto processual.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Ao final do processo, em caso de condenação, rogamos a Vossa Excelência que o produto da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alienação antecipada seja convertido em renda para o Estado do Ceará, conforme preceitua o §3º, 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já referido art. 144-A do CPP. Para tanto, foi criado o FUNDO DE SEGURANÇA PÚBLICA 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DEFESA SOCIAL DO ESTADO DO CEARÁ – FSPDS, pela Lei Complementar nº 191/2019,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publicado no DOE de 13 de janeiro de 2019, que dispõe: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LEI COMPLEMENTAR Nº191, 13 de janeiro de 2019.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ALTERA A LEI COMPLEMENTAR Nº47, DE 16 DE JULHO DE 2004, E CRIA O FUNDO 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SEGURANÇA PÚBLICA E DEFESA SOCIAL DO ESTADO DO CEARÁ.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 GOVERNADOR DO ESTADO DO CEARÁ Faço saber que a Assembleia Legislativa decretou 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eu sanciono a seguinte Lei: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Art.1º O Fundo de Defesa Social passa a ser denominado Fundo de Segurança Pública e Defesa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Social do Estado do Ceará – FSPDS.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Art. 2º A Lei Complementar nº 47, de 16 de julho de 2004, passa vigorar com as seguintes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alterações e acréscimos: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“Art. 1º Fica instituído o Fundo de Segurança Pública e Defesa Social do Estado do Ceará –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FSPDS, de natureza contábil-financeira, destinado a financiar o desenvolvimento institucional dos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órgãos que integram a Secretaria da Segurança Pública e Defesa Social, objetivando 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aperfeiçoamento e a modernização da gestão, a elaboração de diagnósticos, formulação,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implementação, desenvolvimento, acompanhamento e monitoramento das políticas, das estratégias,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programas, projetos, reestruturação organizacional, construção e reforma da infraestrutura física, 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reaparelhamento com móveis, máquinas, armas, munições, equipamentos de apoio, veículos,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transporte, comunicação, modernização da tecnologia da informação; formação do capital humano,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redesenho dos processos e programas e o desenvolvimento de novos modelos de gestão destes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órgãos.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[…]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Art. 4º Constituem receitas do Fundo de Segurança Pública e Defesa Social do Estado do Ceará –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FSPDS: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XII – recursos revertidos ao Estado em face da decretação do perdimento de bens pelo cometimento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 crimes.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§ 1º O ingresso dos recursos do Fundo de Segurança Pública e Defesa Social do Estado do Ceará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dar-se-á em conta específica do Fundo, conforme modelo definido em regulamento.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§ 2º As receitas oriundas do inciso XII deste artigo terão destinação conforme definição 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Ministério da Justiça e Segurança Pública. (grifos do autor)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Consta no art. 4º, inciso XII da referida Lei Complementar Estadual, dentre diversas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diretrizes, programas de governo e responsabilidades referentes à Segurança Pública, que uma das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fontes de receitas do respectivo Fundo é proveniente de “… recursos revertidos ao Estado em face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 decretação do perdimento de bens pelo cometimento de crimes”.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Portanto, as conversões em renda dos valores oriundos do produto da alienação antecipada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dos bens apreendidos em procedimentos criminais que forem direcionados ao Fundo de Segurança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Pública e Defesa Social do Estado do Ceará possibilitará o aprimoramento do programa de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segurança pública, bem como reduzirá os custos do Erário.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Visando a dar maior celeridade na tramitação dos procedimentos de alienação judicial 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destinação de bens apreendidos em procedimentos criminais, a Polícia Civil possui órgão 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assessoramento temático, denominado como Comissão Gestora de Ativos Apreendidos (Portaria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Administrativa nº 97/2023/GAB/PCCE, publicada no DOE do dia 23 de outubro de 2023, fl.159),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possuindo atribuição de representar, sanear e opinar acerca da destinação de bens apreendidos sob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responsabilidade da Polícia Civil ou quando solicitado apoio por outros órgãos da Administração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Pública.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III. DO PEDIDO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Ante ao exposto, roga-se a Vossa Excelência que se digne de determinar: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a) a avaliação judicial dos veículos por leiloeiro credenciado ao Tribunal de Justiça;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b) a intimação do(s) proprietário(s), a fim de resguardar os direitos das partes;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c) a alienação cautelar do(s) bens;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d) o produto das alienações, após o trânsito em julgado da sentença condenatória, seja 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valor revertido, conforme Lei Complementar do Estado do Ceará nº 191, de 13 de janeiro de 2019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(D.O.E., de 13/01/2019), ao FUNDO DE SEGURANÇA PÚBLICA E DEFESA SOCIAL, CNPJ nº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07.261.661/0001-10, BANCO: CAIXA ECONÔMICA FEDERAL, AGÊNCIA: 0919, CONTA nº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0280-7 (Doc. anexo).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&lt;CIDADE&gt;, &lt;DATA&gt;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