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PORTARIA Nº &lt;NUMERO_PORTARIA&gt;/&lt;ANO&gt;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O(A) Delegado(a) de Polícia Civil, lotado(a) na &lt;NOME_DELEGACIA&gt;, no uso de suas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atribuições legais, DETERMINA: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VERIFICAÇÃO DA PROCEDÊNCIA DAS INFORMAÇÕES (VPI) Referência: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&lt;TIPO_DOCUMENTO&gt; nº &lt;NUMERO_DOCUMENTO&gt;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Incide o presente ato sobre o exercício das atribuições de Polícia Judiciária, conforme os arts. 144, §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4º, da Constituição Federal, c/c arts. 3º, 4º, 5º, § 3º, 6º, 395, II e III, 647, 648, I, do Código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 Penal, c/c art. 2º, §§ 1º e 2º, da Lei 12.830/13, com fundamento na seguinte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jurisprudência: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"A instauração de VPI (Verificação de Procedência das Informações) não constitui constrangimento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ilegal, eis que tem por escopo investigar a origem de delatio criminis anônima, antes de dar causa 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abertura de inquérito policial." (STJ, HC 103566 RJ)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"A partir de denúncia anônima, pode a polícia realizar diligências preliminares para apurar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veracidade das informações obtidas anonimamente e, então, instaurar o procedimento investigatório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propriamente dito." (STF, HC 95244/PE)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DOS FATOS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&lt;DESCRIÇÃO_DETALHADA_FATOS&gt;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 razão dos fatos acima narrados, onde há carência de elementos significativos capazes 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estabelecer um liame entre autoria, materialidade delitiva e, principalmente, para configuração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destes em face da ocorrência apresentada com possível prejuízo para concepção de fato típico,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antijurídico, culpável e punível, DETERMINO ao(à) Escrivão(ã) de Polícia a adoção das seguintes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providências: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Receber as ocorrências lavradas nesta delegacia e Verificar a Procedência das Informações (Art.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5º, § 3º, do CPP, c/c art. 2º, §§ 1º e 2º, da Lei 12.830/13);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Confeccionar intimações para oitivas 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Vítima(s): &lt;NOME_VITIMAS&gt;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Testemunha(s): &lt;NOME_TESTEMUNHAS&gt;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Suspeito(s): &lt;NOME_SUSPEITOS&gt;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DETERMINO à equipe de investigação as seguintes diligências: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&lt;DILIGENCIAS_A_REALIZAR&gt; [Exemplos: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Levantamento de imagens de câmeras de segurança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Pesquisa em bancos de dados policiais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Levantamento de informações in loco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Outras diligências pertinentes ao caso]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Adotar outras providências necessárias ao esclarecimento final.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PRAZO: 30 (trinta) dias para conclusão das diligências.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Cientifiquem-se os agentes públicos lotados nesta delegacia.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Este documento tem força de ORDEM DE MISSÃO nº &lt;NUMERO_ORDEM&gt;/&lt;ANO&gt;.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Certifique-se e Cumpra-se.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&lt;CIDADE&gt;, &lt;DATA&gt;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CIENTE/DE ACORDO: OIP: _____________________________________ NOME/MATRÍCULA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