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DESPACHO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Referência: B.O. nº &lt;NUMERO_BO&gt; Delito: &lt;NATUREZA_CRIME&gt; Data/Hora: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&lt;DATA_HORA_FATO&gt; Infrator: &lt;NOME_INFRATOR&gt; Vítima: &lt;NOME_VITIMA&gt;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DOS FATOS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Trata-se de Boletim de Ocorrência registrado em &lt;DATA_REGISTRO&gt;, versando sobre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&lt;DESCRIÇÃO_RESUMIDA_FATO&gt;.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FUNDAMENTAÇÃO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CONSIDERANDO que &lt;MOTIVO_ESPECÍFICO_ARQUIVAMENTO&gt;, conforme previsto 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&lt;BASE_LEGAL&gt;;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CONSIDERANDO que os Órgãos Policiais, já tão defasados de pessoal e de condições materiais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variadas, estão sempre sufocados pelo exíguo e insuficiente lapso temporal destinado ao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esclarecimento das ilicitudes de evidente maior gravidade e de gritante maior urgência social;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CONSIDERANDO que em infrações materialmente atípicas, em face da insignificância da ofensa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bem jurídico tutelado, a instauração de eventual procedimento especial não alcançará jamais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vontade do legislador;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CONSIDERANDO a ausência de outros elementos de informação que permitam deflagrar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minimamente uma linha de investigação, conforme &lt;NORMATIVA_LOCAL&gt;, ante a ausência 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elementos mínimos que tocam a autoria delitiva, bem como visando racionalizar os trabalhos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investigativos, maximizando a eficiência das ações desta delegacia de Polícia em crimes de maior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gravidade;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CONSIDERANDO que a simples notícia do ilícito não deve levar a Autoridade Policial 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instauração automática de procedimento investigatório;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[CAMPO_PARA_OBSERVAÇÕES_ESPECIAIS]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&lt;OBSERVAÇÃO_OUTROS_CRIMES_EM_MAIÚSCULO&gt;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DECISÃO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Diante do exposto, DETERMINO: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O ARQUIVAMENTO do presente Boletim de Ocorrência, com fundamento 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&lt;BASE_LEGAL_ESPECÍFICA&gt;;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A remessa de cópia desta decisão ao Ministério Público e ao Poder Judiciário para ciência 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análise;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&lt;OUTRAS_PROVIDÊNCIAS_NECESSÁRIAS&gt;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Após, ARQUIVE-SE com as cautelas de praxe.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&lt;CIDADE&gt;, &lt;DATA&gt;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[FIM_MODELO_DESPACHO]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[INSTRUÇÕES_PREENCHIMENTO]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Campos entre &lt; &gt; devem ser preenchidos com informações específicas do caso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O campo [CAMPO_PARA_OBSERVAÇÕES_ESPECIAIS] deve ser usado quando houver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necessidade de mencionar outros crimes ou procedimentos relacionados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A base legal deve ser atualizada conforme o caso específico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As considerações podem ser adaptadas conforme o motivo do arquivamento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[MOTIVOS_ARQUIVAMENTO_COMUNS]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Ausência de representação: Art. 5º, §4º, CPP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Atipicidade: Art. 17, CPP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Bis in idem: Art. 5º, XXXVIII, CF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Incompetência territorial: Art. 4º, CPP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Suspeição: Art. 107, CPP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[VERIFICAÇÃO_FINAL]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Conferir dados do B.O.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Verificar fundamentação legal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Confirmar motivo do arquivamento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Checar necessidade de providências complementares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Validar encaminhamentos necessários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