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 w:line="240" w:lineRule="auto"/>
        <w:jc w:val="center"/>
      </w:pPr>
      <w:r>
        <w:rPr>
          <w:rFonts w:ascii="Arial" w:hAnsi="Arial"/>
          <w:b/>
          <w:sz w:val="32"/>
        </w:rPr>
        <w:t>MINI GDD — BUSCA NO CATÁLOGO</w:t>
      </w:r>
    </w:p>
    <w:p>
      <w:pPr>
        <w:spacing w:after="30" w:line="240" w:lineRule="auto"/>
        <w:jc w:val="center"/>
      </w:pPr>
      <w:r>
        <w:rPr>
          <w:i/>
          <w:sz w:val="18"/>
        </w:rPr>
        <w:t>Estrutura de Dados II • Árvore Binária de Busca (ABB)</w:t>
      </w:r>
    </w:p>
    <w:p>
      <w:pPr>
        <w:spacing w:before="60" w:after="30" w:line="240" w:lineRule="auto"/>
      </w:pPr>
      <w:r>
        <w:rPr>
          <w:b/>
          <w:sz w:val="22"/>
        </w:rPr>
        <w:t>1. Problema</w:t>
      </w:r>
    </w:p>
    <w:p>
      <w:pPr>
        <w:spacing w:after="30" w:line="240" w:lineRule="auto"/>
      </w:pPr>
      <w:r>
        <w:t>O jogador precisa localizar rapidamente um produto pelo seu código em um catálogo. Em vez de verificar todos os códigos um por um, ele utiliza uma Árvore Binária de Busca (ABB) para decidir, a cada comparação, se deve seguir para a esquerda ou para a direita.</w:t>
      </w:r>
    </w:p>
    <w:p>
      <w:pPr>
        <w:spacing w:before="60" w:after="30" w:line="240" w:lineRule="auto"/>
      </w:pPr>
      <w:r>
        <w:rPr>
          <w:b/>
          <w:sz w:val="22"/>
        </w:rPr>
        <w:t>2. Árvore inicial</w:t>
      </w:r>
    </w:p>
    <w:p>
      <w:pPr>
        <w:spacing w:after="30" w:line="240" w:lineRule="auto"/>
        <w:jc w:val="center"/>
      </w:pPr>
      <w:r>
        <w:rPr>
          <w:rFonts w:ascii="Consolas" w:hAnsi="Consolas"/>
          <w:sz w:val="19"/>
        </w:rPr>
        <w:t xml:space="preserve">                 50</w:t>
        <w:br/>
        <w:t xml:space="preserve">              /      \</w:t>
        <w:br/>
        <w:t xml:space="preserve">            30        70</w:t>
        <w:br/>
        <w:t xml:space="preserve">           /  \      /  \</w:t>
        <w:br/>
        <w:t xml:space="preserve">         20   40    60   80</w:t>
      </w:r>
    </w:p>
    <w:p>
      <w:pPr>
        <w:spacing w:after="30" w:line="240" w:lineRule="auto"/>
      </w:pPr>
      <w:r>
        <w:rPr>
          <w:b/>
        </w:rPr>
        <w:t xml:space="preserve">Regra da ABB: </w:t>
      </w:r>
      <w:r>
        <w:t>valores menores que o nó atual ficam à esquerda; valores maiores ficam à direita. Nesta atividade, não são utilizados valores duplicados.</w:t>
      </w:r>
    </w:p>
    <w:p>
      <w:pPr>
        <w:spacing w:before="60" w:after="30" w:line="240" w:lineRule="auto"/>
      </w:pPr>
      <w:r>
        <w:rPr>
          <w:b/>
          <w:sz w:val="22"/>
        </w:rPr>
        <w:t>3. Core loop (mecânica principal)</w:t>
      </w:r>
    </w:p>
    <w:p>
      <w:pPr>
        <w:pStyle w:val="ListBullet"/>
        <w:spacing w:after="0"/>
        <w:ind w:left="255"/>
      </w:pPr>
      <w:r>
        <w:t>O jogador recebe um código-alvo para localizar.</w:t>
      </w:r>
    </w:p>
    <w:p>
      <w:pPr>
        <w:pStyle w:val="ListBullet"/>
        <w:spacing w:after="0"/>
        <w:ind w:left="255"/>
      </w:pPr>
      <w:r>
        <w:t>Compara o alvo com o valor do nó atual.</w:t>
      </w:r>
    </w:p>
    <w:p>
      <w:pPr>
        <w:pStyle w:val="ListBullet"/>
        <w:spacing w:after="0"/>
        <w:ind w:left="255"/>
      </w:pPr>
      <w:r>
        <w:t>Se forem iguais, a busca termina com sucesso.</w:t>
      </w:r>
    </w:p>
    <w:p>
      <w:pPr>
        <w:pStyle w:val="ListBullet"/>
        <w:spacing w:after="0"/>
        <w:ind w:left="255"/>
      </w:pPr>
      <w:r>
        <w:t>Se o alvo for menor, o jogador escolhe a subárvore esquerda.</w:t>
      </w:r>
    </w:p>
    <w:p>
      <w:pPr>
        <w:pStyle w:val="ListBullet"/>
        <w:spacing w:after="0"/>
        <w:ind w:left="255"/>
      </w:pPr>
      <w:r>
        <w:t>Se o alvo for maior, o jogador escolhe a subárvore direita.</w:t>
      </w:r>
    </w:p>
    <w:p>
      <w:pPr>
        <w:pStyle w:val="ListBullet"/>
        <w:spacing w:after="0"/>
        <w:ind w:left="255"/>
      </w:pPr>
      <w:r>
        <w:t>O processo se repete até encontrar o código ou chegar a uma posição vazia (None).</w:t>
      </w:r>
    </w:p>
    <w:p>
      <w:pPr>
        <w:spacing w:before="60" w:after="30" w:line="240" w:lineRule="auto"/>
      </w:pPr>
      <w:r>
        <w:rPr>
          <w:b/>
          <w:sz w:val="22"/>
        </w:rPr>
        <w:t>4. Feedback</w:t>
      </w:r>
    </w:p>
    <w:p>
      <w:pPr>
        <w:spacing w:after="30" w:line="240" w:lineRule="auto"/>
      </w:pPr>
      <w:r>
        <w:rPr>
          <w:b/>
        </w:rPr>
        <w:t xml:space="preserve">Decisão correta: </w:t>
      </w:r>
      <w:r>
        <w:t>o sistema informa que a direção escolhida está de acordo com a regra da ABB e mostra o próximo nó.</w:t>
      </w:r>
    </w:p>
    <w:p>
      <w:pPr>
        <w:spacing w:after="30" w:line="240" w:lineRule="auto"/>
      </w:pPr>
      <w:r>
        <w:rPr>
          <w:b/>
        </w:rPr>
        <w:t xml:space="preserve">Decisão incorreta: </w:t>
      </w:r>
      <w:r>
        <w:t>o sistema informa que a direção não corresponde à comparação e explica: menor → esquerda; maior → direita.</w:t>
      </w:r>
    </w:p>
    <w:p>
      <w:pPr>
        <w:spacing w:after="30" w:line="240" w:lineRule="auto"/>
      </w:pPr>
      <w:r>
        <w:rPr>
          <w:b/>
        </w:rPr>
        <w:t xml:space="preserve">Busca encerrada: </w:t>
      </w:r>
      <w:r>
        <w:t>o sistema informa se o código foi encontrado ou se a busca chegou a uma posição vazia.</w:t>
      </w:r>
    </w:p>
    <w:p>
      <w:pPr>
        <w:spacing w:before="60" w:after="30" w:line="240" w:lineRule="auto"/>
      </w:pPr>
      <w:r>
        <w:rPr>
          <w:b/>
          <w:sz w:val="22"/>
        </w:rPr>
        <w:t>5. Vitória</w:t>
      </w:r>
    </w:p>
    <w:p>
      <w:pPr>
        <w:spacing w:after="30" w:line="240" w:lineRule="auto"/>
      </w:pPr>
      <w:r>
        <w:t>O jogador vence a rodada quando chega ao nó que contém o código solicitado, realizando corretamente todas as decisões do caminho. A busca também pode ser encerrada sem encontrar o item quando o próximo caminho indicado for uma posição vazia.</w:t>
      </w:r>
    </w:p>
    <w:p>
      <w:pPr>
        <w:spacing w:before="60" w:after="30" w:line="240" w:lineRule="auto"/>
      </w:pPr>
      <w:r>
        <w:rPr>
          <w:b/>
          <w:sz w:val="22"/>
        </w:rPr>
        <w:t>6. Exemplo completo — localizar o código 60</w:t>
      </w:r>
    </w:p>
    <w:tbl>
      <w:tblPr>
        <w:tblW w:type="auto" w:w="0"/>
        <w:jc w:val="center"/>
        <w:tblLayout w:type="autofit"/>
        <w:tblLook w:firstColumn="1" w:firstRow="1" w:lastColumn="0" w:lastRow="0" w:noHBand="0" w:noVBand="1" w:val="04A0"/>
      </w:tblPr>
      <w:tblGrid>
        <w:gridCol w:w="3513"/>
        <w:gridCol w:w="3513"/>
        <w:gridCol w:w="3513"/>
      </w:tblGrid>
      <w:tr>
        <w:tc>
          <w:tcPr>
            <w:tcW w:type="dxa" w:w="3513"/>
          </w:tcPr>
          <w:p>
            <w:r>
              <w:rPr>
                <w:b/>
              </w:rPr>
              <w:t>Etapa</w:t>
            </w:r>
          </w:p>
        </w:tc>
        <w:tc>
          <w:tcPr>
            <w:tcW w:type="dxa" w:w="3513"/>
          </w:tcPr>
          <w:p>
            <w:r>
              <w:rPr>
                <w:b/>
              </w:rPr>
              <w:t>Decisão do jogador</w:t>
            </w:r>
          </w:p>
        </w:tc>
        <w:tc>
          <w:tcPr>
            <w:tcW w:type="dxa" w:w="3513"/>
          </w:tcPr>
          <w:p>
            <w:r>
              <w:rPr>
                <w:b/>
              </w:rPr>
              <w:t>Nó atual</w:t>
            </w:r>
          </w:p>
        </w:tc>
      </w:tr>
      <w:tr>
        <w:tc>
          <w:tcPr>
            <w:tcW w:type="dxa" w:w="3513"/>
            <w:vAlign w:val="center"/>
          </w:tcPr>
          <w:p>
            <w:pPr>
              <w:spacing w:after="0"/>
            </w:pPr>
            <w:r>
              <w:rPr>
                <w:sz w:val="17"/>
              </w:rPr>
              <w:t>Comparação 1</w:t>
            </w:r>
          </w:p>
        </w:tc>
        <w:tc>
          <w:tcPr>
            <w:tcW w:type="dxa" w:w="3513"/>
            <w:vAlign w:val="center"/>
          </w:tcPr>
          <w:p>
            <w:pPr>
              <w:spacing w:after="0"/>
            </w:pPr>
            <w:r>
              <w:rPr>
                <w:sz w:val="17"/>
              </w:rPr>
              <w:t>60 &lt; 50? Não. Como 60 é maior que 50, seguir para a direita.</w:t>
            </w:r>
          </w:p>
        </w:tc>
        <w:tc>
          <w:tcPr>
            <w:tcW w:type="dxa" w:w="3513"/>
            <w:vAlign w:val="center"/>
          </w:tcPr>
          <w:p>
            <w:pPr>
              <w:spacing w:after="0"/>
            </w:pPr>
            <w:r>
              <w:rPr>
                <w:sz w:val="17"/>
              </w:rPr>
              <w:t>50</w:t>
            </w:r>
          </w:p>
        </w:tc>
      </w:tr>
      <w:tr>
        <w:tc>
          <w:tcPr>
            <w:tcW w:type="dxa" w:w="3513"/>
            <w:vAlign w:val="center"/>
          </w:tcPr>
          <w:p>
            <w:pPr>
              <w:spacing w:after="0"/>
            </w:pPr>
            <w:r>
              <w:rPr>
                <w:sz w:val="17"/>
              </w:rPr>
              <w:t>Comparação 2</w:t>
            </w:r>
          </w:p>
        </w:tc>
        <w:tc>
          <w:tcPr>
            <w:tcW w:type="dxa" w:w="3513"/>
            <w:vAlign w:val="center"/>
          </w:tcPr>
          <w:p>
            <w:pPr>
              <w:spacing w:after="0"/>
            </w:pPr>
            <w:r>
              <w:rPr>
                <w:sz w:val="17"/>
              </w:rPr>
              <w:t>60 &gt; 70? Não. Como 60 é menor que 70, seguir para a esquerda.</w:t>
            </w:r>
          </w:p>
        </w:tc>
        <w:tc>
          <w:tcPr>
            <w:tcW w:type="dxa" w:w="3513"/>
            <w:vAlign w:val="center"/>
          </w:tcPr>
          <w:p>
            <w:pPr>
              <w:spacing w:after="0"/>
            </w:pPr>
            <w:r>
              <w:rPr>
                <w:sz w:val="17"/>
              </w:rPr>
              <w:t>70</w:t>
            </w:r>
          </w:p>
        </w:tc>
      </w:tr>
      <w:tr>
        <w:tc>
          <w:tcPr>
            <w:tcW w:type="dxa" w:w="3513"/>
            <w:vAlign w:val="center"/>
          </w:tcPr>
          <w:p>
            <w:pPr>
              <w:spacing w:after="0"/>
            </w:pPr>
            <w:r>
              <w:rPr>
                <w:sz w:val="17"/>
              </w:rPr>
              <w:t>Comparação 3</w:t>
            </w:r>
          </w:p>
        </w:tc>
        <w:tc>
          <w:tcPr>
            <w:tcW w:type="dxa" w:w="3513"/>
            <w:vAlign w:val="center"/>
          </w:tcPr>
          <w:p>
            <w:pPr>
              <w:spacing w:after="0"/>
            </w:pPr>
            <w:r>
              <w:rPr>
                <w:sz w:val="17"/>
              </w:rPr>
              <w:t>60 = 60. Código encontrado.</w:t>
            </w:r>
          </w:p>
        </w:tc>
        <w:tc>
          <w:tcPr>
            <w:tcW w:type="dxa" w:w="3513"/>
            <w:vAlign w:val="center"/>
          </w:tcPr>
          <w:p>
            <w:pPr>
              <w:spacing w:after="0"/>
            </w:pPr>
            <w:r>
              <w:rPr>
                <w:sz w:val="17"/>
              </w:rPr>
              <w:t>60</w:t>
            </w:r>
          </w:p>
        </w:tc>
      </w:tr>
    </w:tbl>
    <w:p>
      <w:pPr>
        <w:spacing w:before="40" w:after="30" w:line="240" w:lineRule="auto"/>
      </w:pPr>
      <w:r>
        <w:rPr>
          <w:b/>
        </w:rPr>
        <w:t xml:space="preserve">Caminho visitado: </w:t>
      </w:r>
      <w:r>
        <w:t>50 → 70 → 60 → encontrado.</w:t>
      </w:r>
    </w:p>
    <w:p>
      <w:pPr>
        <w:spacing w:before="60" w:after="30" w:line="240" w:lineRule="auto"/>
      </w:pPr>
      <w:r>
        <w:rPr>
          <w:b/>
          <w:sz w:val="22"/>
        </w:rPr>
        <w:t>7. Aprendizado</w:t>
      </w:r>
    </w:p>
    <w:p>
      <w:pPr>
        <w:spacing w:after="30" w:line="240" w:lineRule="auto"/>
      </w:pPr>
      <w:r>
        <w:t>A experiência ensina que a ABB reduz as possibilidades a cada comparação: o jogador não precisa percorrer todos os nós, pois a comparação determina qual subárvore deve ser seguida. Assim, a mecânica representa diretamente a regra de busca da estrutura de dados, em vez de apenas exigir a memorização da atividade.</w:t>
      </w:r>
    </w:p>
    <w:sectPr w:rsidR="00FC693F" w:rsidRPr="0006063C" w:rsidSect="00034616">
      <w:footerReference w:type="default" r:id="rId9"/>
      <w:pgSz w:w="12240" w:h="15840"/>
      <w:pgMar w:top="765"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Mini GDD — Busca no Catálogo | Estrutura de Dados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