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GPU-accelerated</w:t>
      </w:r>
      <w:r>
        <w:t xml:space="preserve"> </w:t>
      </w:r>
      <w:r>
        <w:t xml:space="preserve">single-cell</w:t>
      </w:r>
      <w:r>
        <w:t xml:space="preserve"> </w:t>
      </w:r>
      <w:r>
        <w:t xml:space="preserve">RNA-seq</w:t>
      </w:r>
      <w:r>
        <w:t xml:space="preserve"> </w:t>
      </w:r>
      <w:r>
        <w:t xml:space="preserve">analysis</w:t>
      </w:r>
      <w:r>
        <w:t xml:space="preserve"> </w:t>
      </w:r>
      <w:r>
        <w:t xml:space="preserve">on</w:t>
      </w:r>
      <w:r>
        <w:t xml:space="preserve"> </w:t>
      </w:r>
      <w:r>
        <w:t xml:space="preserve">NVIDIA</w:t>
      </w:r>
      <w:r>
        <w:t xml:space="preserve"> </w:t>
      </w:r>
      <w:r>
        <w:t xml:space="preserve">DGX</w:t>
      </w:r>
      <w:r>
        <w:t xml:space="preserve"> </w:t>
      </w:r>
      <w:r>
        <w:t xml:space="preserve">H100:</w:t>
      </w:r>
      <w:r>
        <w:t xml:space="preserve"> </w:t>
      </w:r>
      <w:r>
        <w:t xml:space="preserve">a</w:t>
      </w:r>
      <w:r>
        <w:t xml:space="preserve"> </w:t>
      </w:r>
      <w:r>
        <w:t xml:space="preserve">systematic</w:t>
      </w:r>
      <w:r>
        <w:t xml:space="preserve"> </w:t>
      </w:r>
      <w:r>
        <w:t xml:space="preserve">benchmark</w:t>
      </w:r>
      <w:r>
        <w:t xml:space="preserve"> </w:t>
      </w:r>
      <w:r>
        <w:t xml:space="preserve">of</w:t>
      </w:r>
      <w:r>
        <w:t xml:space="preserve"> </w:t>
      </w:r>
      <w:r>
        <w:t xml:space="preserve">speed,</w:t>
      </w:r>
      <w:r>
        <w:t xml:space="preserve"> </w:t>
      </w:r>
      <w:r>
        <w:t xml:space="preserve">scalability,</w:t>
      </w:r>
      <w:r>
        <w:t xml:space="preserve"> </w:t>
      </w:r>
      <w:r>
        <w:t xml:space="preserve">and</w:t>
      </w:r>
      <w:r>
        <w:t xml:space="preserve"> </w:t>
      </w:r>
      <w:r>
        <w:t xml:space="preserve">biological</w:t>
      </w:r>
      <w:r>
        <w:t xml:space="preserve"> </w:t>
      </w:r>
      <w:r>
        <w:t xml:space="preserve">concordance</w:t>
      </w:r>
    </w:p>
    <w:p>
      <w:pPr>
        <w:pStyle w:val="AbstractTitle"/>
      </w:pPr>
      <w:r>
        <w:t xml:space="preserve">Abstract</w:t>
      </w:r>
    </w:p>
    <w:p>
      <w:pPr>
        <w:pStyle w:val="Abstract"/>
      </w:pPr>
      <w:r>
        <w:t xml:space="preserve">Single-cell</w:t>
      </w:r>
      <w:r>
        <w:t xml:space="preserve"> </w:t>
      </w:r>
      <w:r>
        <w:t xml:space="preserve">RNA</w:t>
      </w:r>
      <w:r>
        <w:t xml:space="preserve"> </w:t>
      </w:r>
      <w:r>
        <w:t xml:space="preserve">sequencing</w:t>
      </w:r>
      <w:r>
        <w:t xml:space="preserve"> </w:t>
      </w:r>
      <w:r>
        <w:t xml:space="preserve">(scRNA-seq)</w:t>
      </w:r>
      <w:r>
        <w:t xml:space="preserve"> </w:t>
      </w:r>
      <w:r>
        <w:t xml:space="preserve">datasets</w:t>
      </w:r>
      <w:r>
        <w:t xml:space="preserve"> </w:t>
      </w:r>
      <w:r>
        <w:t xml:space="preserve">now</w:t>
      </w:r>
      <w:r>
        <w:t xml:space="preserve"> </w:t>
      </w:r>
      <w:r>
        <w:t xml:space="preserve">routinely</w:t>
      </w:r>
      <w:r>
        <w:t xml:space="preserve"> </w:t>
      </w:r>
      <w:r>
        <w:t xml:space="preserve">exceed</w:t>
      </w:r>
      <w:r>
        <w:t xml:space="preserve"> </w:t>
      </w:r>
      <w:r>
        <w:t xml:space="preserve">one</w:t>
      </w:r>
      <w:r>
        <w:t xml:space="preserve"> </w:t>
      </w:r>
      <w:r>
        <w:t xml:space="preserve">million</w:t>
      </w:r>
      <w:r>
        <w:t xml:space="preserve"> </w:t>
      </w:r>
      <w:r>
        <w:t xml:space="preserve">cells,</w:t>
      </w:r>
      <w:r>
        <w:t xml:space="preserve"> </w:t>
      </w:r>
      <w:r>
        <w:t xml:space="preserve">yet</w:t>
      </w:r>
      <w:r>
        <w:t xml:space="preserve"> </w:t>
      </w:r>
      <w:r>
        <w:t xml:space="preserve">the</w:t>
      </w:r>
      <w:r>
        <w:t xml:space="preserve"> </w:t>
      </w:r>
      <w:r>
        <w:t xml:space="preserve">standard</w:t>
      </w:r>
      <w:r>
        <w:t xml:space="preserve"> </w:t>
      </w:r>
      <w:r>
        <w:t xml:space="preserve">analysis</w:t>
      </w:r>
      <w:r>
        <w:t xml:space="preserve"> </w:t>
      </w:r>
      <w:r>
        <w:t xml:space="preserve">framework</w:t>
      </w:r>
      <w:r>
        <w:t xml:space="preserve"> </w:t>
      </w:r>
      <w:r>
        <w:t xml:space="preserve">Scanpy</w:t>
      </w:r>
      <w:r>
        <w:t xml:space="preserve"> </w:t>
      </w:r>
      <w:r>
        <w:t xml:space="preserve">remains</w:t>
      </w:r>
      <w:r>
        <w:t xml:space="preserve"> </w:t>
      </w:r>
      <w:r>
        <w:t xml:space="preserve">CPU-bound.</w:t>
      </w:r>
      <w:r>
        <w:t xml:space="preserve"> </w:t>
      </w:r>
      <w:r>
        <w:t xml:space="preserve">We</w:t>
      </w:r>
      <w:r>
        <w:t xml:space="preserve"> </w:t>
      </w:r>
      <w:r>
        <w:t xml:space="preserve">present</w:t>
      </w:r>
      <w:r>
        <w:t xml:space="preserve"> </w:t>
      </w:r>
      <w:r>
        <w:t xml:space="preserve">a</w:t>
      </w:r>
      <w:r>
        <w:t xml:space="preserve"> </w:t>
      </w:r>
      <w:r>
        <w:t xml:space="preserve">systematic</w:t>
      </w:r>
      <w:r>
        <w:t xml:space="preserve"> </w:t>
      </w:r>
      <w:r>
        <w:t xml:space="preserve">benchmark</w:t>
      </w:r>
      <w:r>
        <w:t xml:space="preserve"> </w:t>
      </w:r>
      <w:r>
        <w:t xml:space="preserve">comparing</w:t>
      </w:r>
      <w:r>
        <w:t xml:space="preserve"> </w:t>
      </w:r>
      <w:r>
        <w:t xml:space="preserve">Scanpy</w:t>
      </w:r>
      <w:r>
        <w:t xml:space="preserve"> </w:t>
      </w:r>
      <w:r>
        <w:t xml:space="preserve">(CPU,</w:t>
      </w:r>
      <w:r>
        <w:t xml:space="preserve"> </w:t>
      </w:r>
      <w:r>
        <w:t xml:space="preserve">100</w:t>
      </w:r>
      <w:r>
        <w:t xml:space="preserve"> </w:t>
      </w:r>
      <w:r>
        <w:t xml:space="preserve">cores)</w:t>
      </w:r>
      <w:r>
        <w:t xml:space="preserve"> </w:t>
      </w:r>
      <w:r>
        <w:t xml:space="preserve">against</w:t>
      </w:r>
      <w:r>
        <w:t xml:space="preserve"> </w:t>
      </w:r>
      <w:r>
        <w:t xml:space="preserve">rapids-singlecell</w:t>
      </w:r>
      <w:r>
        <w:t xml:space="preserve"> </w:t>
      </w:r>
      <w:r>
        <w:t xml:space="preserve">(GPU,</w:t>
      </w:r>
      <w:r>
        <w:t xml:space="preserve"> </w:t>
      </w:r>
      <w:r>
        <w:t xml:space="preserve">1–8</w:t>
      </w:r>
      <w:r>
        <w:t xml:space="preserve"> </w:t>
      </w:r>
      <w:r>
        <w:t xml:space="preserve">NVIDIA</w:t>
      </w:r>
      <w:r>
        <w:t xml:space="preserve"> </w:t>
      </w:r>
      <w:r>
        <w:t xml:space="preserve">H100</w:t>
      </w:r>
      <w:r>
        <w:t xml:space="preserve"> </w:t>
      </w:r>
      <w:r>
        <w:t xml:space="preserve">80</w:t>
      </w:r>
      <w:r>
        <w:t xml:space="preserve"> </w:t>
      </w:r>
      <w:r>
        <w:t xml:space="preserve">GB)</w:t>
      </w:r>
      <w:r>
        <w:t xml:space="preserve"> </w:t>
      </w:r>
      <w:r>
        <w:t xml:space="preserve">on</w:t>
      </w:r>
      <w:r>
        <w:t xml:space="preserve"> </w:t>
      </w:r>
      <w:r>
        <w:t xml:space="preserve">the</w:t>
      </w:r>
      <w:r>
        <w:t xml:space="preserve"> </w:t>
      </w:r>
      <w:r>
        <w:t xml:space="preserve">canonical</w:t>
      </w:r>
      <w:r>
        <w:t xml:space="preserve"> </w:t>
      </w:r>
      <w:r>
        <w:t xml:space="preserve">1.3-million</w:t>
      </w:r>
      <w:r>
        <w:t xml:space="preserve"> </w:t>
      </w:r>
      <w:r>
        <w:t xml:space="preserve">mouse</w:t>
      </w:r>
      <w:r>
        <w:t xml:space="preserve"> </w:t>
      </w:r>
      <w:r>
        <w:t xml:space="preserve">brain</w:t>
      </w:r>
      <w:r>
        <w:t xml:space="preserve"> </w:t>
      </w:r>
      <w:r>
        <w:t xml:space="preserve">cell</w:t>
      </w:r>
      <w:r>
        <w:t xml:space="preserve"> </w:t>
      </w:r>
      <w:r>
        <w:t xml:space="preserve">dataset,</w:t>
      </w:r>
      <w:r>
        <w:t xml:space="preserve"> </w:t>
      </w:r>
      <w:r>
        <w:t xml:space="preserve">evaluating</w:t>
      </w:r>
      <w:r>
        <w:t xml:space="preserve"> </w:t>
      </w:r>
      <w:r>
        <w:t xml:space="preserve">speed,</w:t>
      </w:r>
      <w:r>
        <w:t xml:space="preserve"> </w:t>
      </w:r>
      <w:r>
        <w:t xml:space="preserve">multi-GPU</w:t>
      </w:r>
      <w:r>
        <w:t xml:space="preserve"> </w:t>
      </w:r>
      <w:r>
        <w:t xml:space="preserve">scalability,</w:t>
      </w:r>
      <w:r>
        <w:t xml:space="preserve"> </w:t>
      </w:r>
      <w:r>
        <w:t xml:space="preserve">memory</w:t>
      </w:r>
      <w:r>
        <w:t xml:space="preserve"> </w:t>
      </w:r>
      <w:r>
        <w:t xml:space="preserve">efficiency,</w:t>
      </w:r>
      <w:r>
        <w:t xml:space="preserve"> </w:t>
      </w:r>
      <w:r>
        <w:t xml:space="preserve">and</w:t>
      </w:r>
      <w:r>
        <w:t xml:space="preserve"> </w:t>
      </w:r>
      <w:r>
        <w:t xml:space="preserve">biological</w:t>
      </w:r>
      <w:r>
        <w:t xml:space="preserve"> </w:t>
      </w:r>
      <w:r>
        <w:t xml:space="preserve">concordance</w:t>
      </w:r>
      <w:r>
        <w:t xml:space="preserve"> </w:t>
      </w:r>
      <w:r>
        <w:t xml:space="preserve">across</w:t>
      </w:r>
      <w:r>
        <w:t xml:space="preserve"> </w:t>
      </w:r>
      <w:r>
        <w:t xml:space="preserve">five</w:t>
      </w:r>
      <w:r>
        <w:t xml:space="preserve"> </w:t>
      </w:r>
      <w:r>
        <w:t xml:space="preserve">dataset</w:t>
      </w:r>
      <w:r>
        <w:t xml:space="preserve"> </w:t>
      </w:r>
      <w:r>
        <w:t xml:space="preserve">sizes</w:t>
      </w:r>
      <w:r>
        <w:t xml:space="preserve"> </w:t>
      </w:r>
      <w:r>
        <w:t xml:space="preserve">(10k–1.3M</w:t>
      </w:r>
      <w:r>
        <w:t xml:space="preserve"> </w:t>
      </w:r>
      <w:r>
        <w:t xml:space="preserve">cells)</w:t>
      </w:r>
      <w:r>
        <w:t xml:space="preserve"> </w:t>
      </w:r>
      <w:r>
        <w:t xml:space="preserve">with</w:t>
      </w:r>
      <w:r>
        <w:t xml:space="preserve"> </w:t>
      </w:r>
      <w:r>
        <w:t xml:space="preserve">five</w:t>
      </w:r>
      <w:r>
        <w:t xml:space="preserve"> </w:t>
      </w:r>
      <w:r>
        <w:t xml:space="preserve">independent</w:t>
      </w:r>
      <w:r>
        <w:t xml:space="preserve"> </w:t>
      </w:r>
      <w:r>
        <w:t xml:space="preserve">repeats</w:t>
      </w:r>
      <w:r>
        <w:t xml:space="preserve"> </w:t>
      </w:r>
      <w:r>
        <w:t xml:space="preserve">per</w:t>
      </w:r>
      <w:r>
        <w:t xml:space="preserve"> </w:t>
      </w:r>
      <w:r>
        <w:t xml:space="preserve">configuration.</w:t>
      </w:r>
      <w:r>
        <w:t xml:space="preserve"> </w:t>
      </w:r>
      <w:r>
        <w:t xml:space="preserve">The</w:t>
      </w:r>
      <w:r>
        <w:t xml:space="preserve"> </w:t>
      </w:r>
      <w:r>
        <w:t xml:space="preserve">GPU</w:t>
      </w:r>
      <w:r>
        <w:t xml:space="preserve"> </w:t>
      </w:r>
      <w:r>
        <w:t xml:space="preserve">pipeline</w:t>
      </w:r>
      <w:r>
        <w:t xml:space="preserve"> </w:t>
      </w:r>
      <w:r>
        <w:t xml:space="preserve">achieved</w:t>
      </w:r>
      <w:r>
        <w:t xml:space="preserve"> </w:t>
      </w:r>
      <w:r>
        <w:t xml:space="preserve">up</w:t>
      </w:r>
      <w:r>
        <w:t xml:space="preserve"> </w:t>
      </w:r>
      <w:r>
        <w:t xml:space="preserve">to</w:t>
      </w:r>
      <w:r>
        <w:t xml:space="preserve"> </w:t>
      </w:r>
      <w:r>
        <w:t xml:space="preserve">120-fold</w:t>
      </w:r>
      <w:r>
        <w:t xml:space="preserve"> </w:t>
      </w:r>
      <w:r>
        <w:t xml:space="preserve">end-to-end</w:t>
      </w:r>
      <w:r>
        <w:t xml:space="preserve"> </w:t>
      </w:r>
      <w:r>
        <w:t xml:space="preserve">speedup</w:t>
      </w:r>
      <w:r>
        <w:t xml:space="preserve"> </w:t>
      </w:r>
      <w:r>
        <w:t xml:space="preserve">at</w:t>
      </w:r>
      <w:r>
        <w:t xml:space="preserve"> </w:t>
      </w:r>
      <w:r>
        <w:t xml:space="preserve">1.3M</w:t>
      </w:r>
      <w:r>
        <w:t xml:space="preserve"> </w:t>
      </w:r>
      <w:r>
        <w:t xml:space="preserve">cells</w:t>
      </w:r>
      <w:r>
        <w:t xml:space="preserve"> </w:t>
      </w:r>
      <w:r>
        <w:t xml:space="preserve">(435</w:t>
      </w:r>
      <w:r>
        <w:t xml:space="preserve"> </w:t>
      </w:r>
      <w:r>
        <w:t xml:space="preserve">s</w:t>
      </w:r>
      <w:r>
        <w:t xml:space="preserve"> </w:t>
      </w:r>
      <w:r>
        <w:t xml:space="preserve">vs</w:t>
      </w:r>
      <w:r>
        <w:t xml:space="preserve"> </w:t>
      </w:r>
      <w:r>
        <w:t xml:space="preserve">52,056</w:t>
      </w:r>
      <w:r>
        <w:t xml:space="preserve"> </w:t>
      </w:r>
      <w:r>
        <w:t xml:space="preserve">s</w:t>
      </w:r>
      <w:r>
        <w:t xml:space="preserve"> </w:t>
      </w:r>
      <w:r>
        <w:t xml:space="preserve">on</w:t>
      </w:r>
      <w:r>
        <w:t xml:space="preserve"> </w:t>
      </w:r>
      <w:r>
        <w:t xml:space="preserve">CPU),</w:t>
      </w:r>
      <w:r>
        <w:t xml:space="preserve"> </w:t>
      </w:r>
      <w:r>
        <w:t xml:space="preserve">reducing</w:t>
      </w:r>
      <w:r>
        <w:t xml:space="preserve"> </w:t>
      </w:r>
      <w:r>
        <w:t xml:space="preserve">a</w:t>
      </w:r>
      <w:r>
        <w:t xml:space="preserve"> </w:t>
      </w:r>
      <w:r>
        <w:t xml:space="preserve">14.5-hour</w:t>
      </w:r>
      <w:r>
        <w:t xml:space="preserve"> </w:t>
      </w:r>
      <w:r>
        <w:t xml:space="preserve">analysis</w:t>
      </w:r>
      <w:r>
        <w:t xml:space="preserve"> </w:t>
      </w:r>
      <w:r>
        <w:t xml:space="preserve">to</w:t>
      </w:r>
      <w:r>
        <w:t xml:space="preserve"> </w:t>
      </w:r>
      <w:r>
        <w:t xml:space="preserve">7.3</w:t>
      </w:r>
      <w:r>
        <w:t xml:space="preserve"> </w:t>
      </w:r>
      <w:r>
        <w:t xml:space="preserve">minutes.</w:t>
      </w:r>
      <w:r>
        <w:t xml:space="preserve"> </w:t>
      </w:r>
      <w:r>
        <w:t xml:space="preserve">Per-step</w:t>
      </w:r>
      <w:r>
        <w:t xml:space="preserve"> </w:t>
      </w:r>
      <w:r>
        <w:t xml:space="preserve">speedups</w:t>
      </w:r>
      <w:r>
        <w:t xml:space="preserve"> </w:t>
      </w:r>
      <w:r>
        <w:t xml:space="preserve">ranged</w:t>
      </w:r>
      <w:r>
        <w:t xml:space="preserve"> </w:t>
      </w:r>
      <w:r>
        <w:t xml:space="preserve">from</w:t>
      </w:r>
      <w:r>
        <w:t xml:space="preserve"> </w:t>
      </w:r>
      <w:r>
        <w:t xml:space="preserve">0.76</w:t>
      </w:r>
      <m:oMath>
        <m:r>
          <m:rPr>
            <m:sty m:val="p"/>
          </m:rPr>
          <m:t>×</m:t>
        </m:r>
      </m:oMath>
      <w:r>
        <w:t xml:space="preserve"> </w:t>
      </w:r>
      <w:r>
        <w:t xml:space="preserve">(data</w:t>
      </w:r>
      <w:r>
        <w:t xml:space="preserve"> </w:t>
      </w:r>
      <w:r>
        <w:t xml:space="preserve">loading)</w:t>
      </w:r>
      <w:r>
        <w:t xml:space="preserve"> </w:t>
      </w:r>
      <w:r>
        <w:t xml:space="preserve">to</w:t>
      </w:r>
      <w:r>
        <w:t xml:space="preserve"> </w:t>
      </w:r>
      <w:r>
        <w:t xml:space="preserve">329</w:t>
      </w:r>
      <m:oMath>
        <m:r>
          <m:rPr>
            <m:sty m:val="p"/>
          </m:rPr>
          <m:t>×</m:t>
        </m:r>
      </m:oMath>
      <w:r>
        <w:t xml:space="preserve"> </w:t>
      </w:r>
      <w:r>
        <w:t xml:space="preserve">(normalization).</w:t>
      </w:r>
      <w:r>
        <w:t xml:space="preserve"> </w:t>
      </w:r>
      <w:r>
        <w:t xml:space="preserve">Biological</w:t>
      </w:r>
      <w:r>
        <w:t xml:space="preserve"> </w:t>
      </w:r>
      <w:r>
        <w:t xml:space="preserve">concordance</w:t>
      </w:r>
      <w:r>
        <w:t xml:space="preserve"> </w:t>
      </w:r>
      <w:r>
        <w:t xml:space="preserve">was</w:t>
      </w:r>
      <w:r>
        <w:t xml:space="preserve"> </w:t>
      </w:r>
      <w:r>
        <w:t xml:space="preserve">high:</w:t>
      </w:r>
      <w:r>
        <w:t xml:space="preserve"> </w:t>
      </w:r>
      <w:r>
        <w:t xml:space="preserve">highly</w:t>
      </w:r>
      <w:r>
        <w:t xml:space="preserve"> </w:t>
      </w:r>
      <w:r>
        <w:t xml:space="preserve">variable</w:t>
      </w:r>
      <w:r>
        <w:t xml:space="preserve"> </w:t>
      </w:r>
      <w:r>
        <w:t xml:space="preserve">gene</w:t>
      </w:r>
      <w:r>
        <w:t xml:space="preserve"> </w:t>
      </w:r>
      <w:r>
        <w:t xml:space="preserve">(HVG)</w:t>
      </w:r>
      <w:r>
        <w:t xml:space="preserve"> </w:t>
      </w:r>
      <w:r>
        <w:t xml:space="preserve">selection</w:t>
      </w:r>
      <w:r>
        <w:t xml:space="preserve"> </w:t>
      </w:r>
      <w:r>
        <w:t xml:space="preserve">was</w:t>
      </w:r>
      <w:r>
        <w:t xml:space="preserve"> </w:t>
      </w:r>
      <w:r>
        <w:t xml:space="preserve">identical</w:t>
      </w:r>
      <w:r>
        <w:t xml:space="preserve"> </w:t>
      </w:r>
      <w:r>
        <w:t xml:space="preserve">(Jaccard</w:t>
      </w:r>
      <w:r>
        <w:t xml:space="preserve"> </w:t>
      </w:r>
      <w:r>
        <w:t xml:space="preserve">=</w:t>
      </w:r>
      <w:r>
        <w:t xml:space="preserve"> </w:t>
      </w:r>
      <w:r>
        <w:t xml:space="preserve">1.0),</w:t>
      </w:r>
      <w:r>
        <w:t xml:space="preserve"> </w:t>
      </w:r>
      <w:r>
        <w:t xml:space="preserve">PCA</w:t>
      </w:r>
      <w:r>
        <w:t xml:space="preserve"> </w:t>
      </w:r>
      <w:r>
        <w:t xml:space="preserve">loadings</w:t>
      </w:r>
      <w:r>
        <w:t xml:space="preserve"> </w:t>
      </w:r>
      <w:r>
        <w:t xml:space="preserve">perfectly</w:t>
      </w:r>
      <w:r>
        <w:t xml:space="preserve"> </w:t>
      </w:r>
      <w:r>
        <w:t xml:space="preserve">correlated</w:t>
      </w:r>
      <w:r>
        <w:t xml:space="preserve"> </w:t>
      </w:r>
      <w:r>
        <w:t xml:space="preserve">(Spearman</w:t>
      </w:r>
      <w:r>
        <w:t xml:space="preserve"> </w:t>
      </w:r>
      <m:oMath>
        <m:d>
          <m:dPr>
            <m:begChr m:val="|"/>
            <m:endChr m:val="|"/>
            <m:sepChr m:val=""/>
            <m:grow/>
          </m:dPr>
          <m:e>
            <m:r>
              <m:t>ρ</m:t>
            </m:r>
          </m:e>
        </m:d>
      </m:oMath>
      <w:r>
        <w:t xml:space="preserve"> </w:t>
      </w:r>
      <w:r>
        <w:t xml:space="preserve">=</w:t>
      </w:r>
      <w:r>
        <w:t xml:space="preserve"> </w:t>
      </w:r>
      <w:r>
        <w:t xml:space="preserve">1.0),</w:t>
      </w:r>
      <w:r>
        <w:t xml:space="preserve"> </w:t>
      </w:r>
      <w:r>
        <w:t xml:space="preserve">and</w:t>
      </w:r>
      <w:r>
        <w:t xml:space="preserve"> </w:t>
      </w:r>
      <w:r>
        <w:t xml:space="preserve">Leiden</w:t>
      </w:r>
      <w:r>
        <w:t xml:space="preserve"> </w:t>
      </w:r>
      <w:r>
        <w:t xml:space="preserve">clustering</w:t>
      </w:r>
      <w:r>
        <w:t xml:space="preserve"> </w:t>
      </w:r>
      <w:r>
        <w:t xml:space="preserve">concordance</w:t>
      </w:r>
      <w:r>
        <w:t xml:space="preserve"> </w:t>
      </w:r>
      <w:r>
        <w:t xml:space="preserve">ranged</w:t>
      </w:r>
      <w:r>
        <w:t xml:space="preserve"> </w:t>
      </w:r>
      <w:r>
        <w:t xml:space="preserve">from</w:t>
      </w:r>
      <w:r>
        <w:t xml:space="preserve"> </w:t>
      </w:r>
      <w:r>
        <w:t xml:space="preserve">ARI</w:t>
      </w:r>
      <w:r>
        <w:t xml:space="preserve"> </w:t>
      </w:r>
      <w:r>
        <w:t xml:space="preserve">=</w:t>
      </w:r>
      <w:r>
        <w:t xml:space="preserve"> </w:t>
      </w:r>
      <w:r>
        <w:t xml:space="preserve">0.908</w:t>
      </w:r>
      <w:r>
        <w:t xml:space="preserve"> </w:t>
      </w:r>
      <w:r>
        <w:t xml:space="preserve">to</w:t>
      </w:r>
      <w:r>
        <w:t xml:space="preserve"> </w:t>
      </w:r>
      <w:r>
        <w:t xml:space="preserve">0.963</w:t>
      </w:r>
      <w:r>
        <w:t xml:space="preserve"> </w:t>
      </w:r>
      <w:r>
        <w:t xml:space="preserve">across</w:t>
      </w:r>
      <w:r>
        <w:t xml:space="preserve"> </w:t>
      </w:r>
      <w:r>
        <w:t xml:space="preserve">resolutions.</w:t>
      </w:r>
      <w:r>
        <w:t xml:space="preserve"> </w:t>
      </w:r>
      <w:r>
        <w:t xml:space="preserve">Multi-GPU</w:t>
      </w:r>
      <w:r>
        <w:t xml:space="preserve"> </w:t>
      </w:r>
      <w:r>
        <w:t xml:space="preserve">scaling</w:t>
      </w:r>
      <w:r>
        <w:t xml:space="preserve"> </w:t>
      </w:r>
      <w:r>
        <w:t xml:space="preserve">was</w:t>
      </w:r>
      <w:r>
        <w:t xml:space="preserve"> </w:t>
      </w:r>
      <w:r>
        <w:t xml:space="preserve">sublinear,</w:t>
      </w:r>
      <w:r>
        <w:t xml:space="preserve"> </w:t>
      </w:r>
      <w:r>
        <w:t xml:space="preserve">with</w:t>
      </w:r>
      <w:r>
        <w:t xml:space="preserve"> </w:t>
      </w:r>
      <w:r>
        <w:t xml:space="preserve">2–8</w:t>
      </w:r>
      <w:r>
        <w:t xml:space="preserve"> </w:t>
      </w:r>
      <w:r>
        <w:t xml:space="preserve">GPUs</w:t>
      </w:r>
      <w:r>
        <w:t xml:space="preserve"> </w:t>
      </w:r>
      <w:r>
        <w:t xml:space="preserve">yielding</w:t>
      </w:r>
      <w:r>
        <w:t xml:space="preserve"> </w:t>
      </w:r>
      <w:r>
        <w:t xml:space="preserve">similar</w:t>
      </w:r>
      <w:r>
        <w:t xml:space="preserve"> </w:t>
      </w:r>
      <w:r>
        <w:t xml:space="preserve">wall</w:t>
      </w:r>
      <w:r>
        <w:t xml:space="preserve"> </w:t>
      </w:r>
      <w:r>
        <w:t xml:space="preserve">times,</w:t>
      </w:r>
      <w:r>
        <w:t xml:space="preserve"> </w:t>
      </w:r>
      <w:r>
        <w:t xml:space="preserve">because</w:t>
      </w:r>
      <w:r>
        <w:t xml:space="preserve"> </w:t>
      </w:r>
      <w:r>
        <w:t xml:space="preserve">CPU</w:t>
      </w:r>
      <w:r>
        <w:t xml:space="preserve"> </w:t>
      </w:r>
      <w:r>
        <w:t xml:space="preserve">preprocessing</w:t>
      </w:r>
      <w:r>
        <w:t xml:space="preserve"> </w:t>
      </w:r>
      <w:r>
        <w:t xml:space="preserve">and</w:t>
      </w:r>
      <w:r>
        <w:t xml:space="preserve"> </w:t>
      </w:r>
      <w:r>
        <w:t xml:space="preserve">single-GPU</w:t>
      </w:r>
      <w:r>
        <w:t xml:space="preserve"> </w:t>
      </w:r>
      <w:r>
        <w:t xml:space="preserve">graph</w:t>
      </w:r>
      <w:r>
        <w:t xml:space="preserve"> </w:t>
      </w:r>
      <w:r>
        <w:t xml:space="preserve">operations</w:t>
      </w:r>
      <w:r>
        <w:t xml:space="preserve"> </w:t>
      </w:r>
      <w:r>
        <w:t xml:space="preserve">dominated.</w:t>
      </w:r>
      <w:r>
        <w:t xml:space="preserve"> </w:t>
      </w:r>
      <w:r>
        <w:t xml:space="preserve">In</w:t>
      </w:r>
      <w:r>
        <w:t xml:space="preserve"> </w:t>
      </w:r>
      <w:r>
        <w:t xml:space="preserve">a</w:t>
      </w:r>
      <w:r>
        <w:t xml:space="preserve"> </w:t>
      </w:r>
      <w:r>
        <w:t xml:space="preserve">stress</w:t>
      </w:r>
      <w:r>
        <w:t xml:space="preserve"> </w:t>
      </w:r>
      <w:r>
        <w:t xml:space="preserve">test,</w:t>
      </w:r>
      <w:r>
        <w:t xml:space="preserve"> </w:t>
      </w:r>
      <w:r>
        <w:t xml:space="preserve">the</w:t>
      </w:r>
      <w:r>
        <w:t xml:space="preserve"> </w:t>
      </w:r>
      <w:r>
        <w:t xml:space="preserve">optimised</w:t>
      </w:r>
      <w:r>
        <w:t xml:space="preserve"> </w:t>
      </w:r>
      <w:r>
        <w:t xml:space="preserve">pipeline</w:t>
      </w:r>
      <w:r>
        <w:t xml:space="preserve"> </w:t>
      </w:r>
      <w:r>
        <w:t xml:space="preserve">processed</w:t>
      </w:r>
      <w:r>
        <w:t xml:space="preserve"> </w:t>
      </w:r>
      <w:r>
        <w:t xml:space="preserve">11.9</w:t>
      </w:r>
      <w:r>
        <w:t xml:space="preserve"> </w:t>
      </w:r>
      <w:r>
        <w:t xml:space="preserve">million</w:t>
      </w:r>
      <w:r>
        <w:t xml:space="preserve"> </w:t>
      </w:r>
      <w:r>
        <w:t xml:space="preserve">cells</w:t>
      </w:r>
      <w:r>
        <w:t xml:space="preserve"> </w:t>
      </w:r>
      <w:r>
        <w:t xml:space="preserve">on</w:t>
      </w:r>
      <w:r>
        <w:t xml:space="preserve"> </w:t>
      </w:r>
      <w:r>
        <w:t xml:space="preserve">a</w:t>
      </w:r>
      <w:r>
        <w:t xml:space="preserve"> </w:t>
      </w:r>
      <w:r>
        <w:t xml:space="preserve">single</w:t>
      </w:r>
      <w:r>
        <w:t xml:space="preserve"> </w:t>
      </w:r>
      <w:r>
        <w:t xml:space="preserve">DGX</w:t>
      </w:r>
      <w:r>
        <w:t xml:space="preserve"> </w:t>
      </w:r>
      <w:r>
        <w:t xml:space="preserve">H100</w:t>
      </w:r>
      <w:r>
        <w:t xml:space="preserve"> </w:t>
      </w:r>
      <w:r>
        <w:t xml:space="preserve">node,</w:t>
      </w:r>
      <w:r>
        <w:t xml:space="preserve"> </w:t>
      </w:r>
      <w:r>
        <w:t xml:space="preserve">with</w:t>
      </w:r>
      <w:r>
        <w:t xml:space="preserve"> </w:t>
      </w:r>
      <w:r>
        <w:t xml:space="preserve">CPU</w:t>
      </w:r>
      <w:r>
        <w:t xml:space="preserve"> </w:t>
      </w:r>
      <w:r>
        <w:t xml:space="preserve">RAM</w:t>
      </w:r>
      <w:r>
        <w:t xml:space="preserve"> </w:t>
      </w:r>
      <w:r>
        <w:t xml:space="preserve">(535</w:t>
      </w:r>
      <w:r>
        <w:t xml:space="preserve"> </w:t>
      </w:r>
      <w:r>
        <w:t xml:space="preserve">of</w:t>
      </w:r>
      <w:r>
        <w:t xml:space="preserve"> </w:t>
      </w:r>
      <w:r>
        <w:t xml:space="preserve">2,048</w:t>
      </w:r>
      <w:r>
        <w:t xml:space="preserve"> </w:t>
      </w:r>
      <w:r>
        <w:t xml:space="preserve">GB)</w:t>
      </w:r>
      <w:r>
        <w:t xml:space="preserve"> </w:t>
      </w:r>
      <w:r>
        <w:t xml:space="preserve">as</w:t>
      </w:r>
      <w:r>
        <w:t xml:space="preserve"> </w:t>
      </w:r>
      <w:r>
        <w:t xml:space="preserve">the</w:t>
      </w:r>
      <w:r>
        <w:t xml:space="preserve"> </w:t>
      </w:r>
      <w:r>
        <w:t xml:space="preserve">limiting</w:t>
      </w:r>
      <w:r>
        <w:t xml:space="preserve"> </w:t>
      </w:r>
      <w:r>
        <w:t xml:space="preserve">factor</w:t>
      </w:r>
      <w:r>
        <w:t xml:space="preserve"> </w:t>
      </w:r>
      <w:r>
        <w:t xml:space="preserve">rather</w:t>
      </w:r>
      <w:r>
        <w:t xml:space="preserve"> </w:t>
      </w:r>
      <w:r>
        <w:t xml:space="preserve">than</w:t>
      </w:r>
      <w:r>
        <w:t xml:space="preserve"> </w:t>
      </w:r>
      <w:r>
        <w:t xml:space="preserve">GPU</w:t>
      </w:r>
      <w:r>
        <w:t xml:space="preserve"> </w:t>
      </w:r>
      <w:r>
        <w:t xml:space="preserve">VRAM</w:t>
      </w:r>
      <w:r>
        <w:t xml:space="preserve"> </w:t>
      </w:r>
      <w:r>
        <w:t xml:space="preserve">(49</w:t>
      </w:r>
      <w:r>
        <w:t xml:space="preserve"> </w:t>
      </w:r>
      <w:r>
        <w:t xml:space="preserve">of</w:t>
      </w:r>
      <w:r>
        <w:t xml:space="preserve"> </w:t>
      </w:r>
      <w:r>
        <w:t xml:space="preserve">640</w:t>
      </w:r>
      <w:r>
        <w:t xml:space="preserve"> </w:t>
      </w:r>
      <w:r>
        <w:t xml:space="preserve">GB,</w:t>
      </w:r>
      <w:r>
        <w:t xml:space="preserve"> </w:t>
      </w:r>
      <w:r>
        <w:t xml:space="preserve">7.6%).</w:t>
      </w:r>
      <w:r>
        <w:t xml:space="preserve"> </w:t>
      </w:r>
      <w:r>
        <w:t xml:space="preserve">A</w:t>
      </w:r>
      <w:r>
        <w:t xml:space="preserve"> </w:t>
      </w:r>
      <w:r>
        <w:t xml:space="preserve">factorial</w:t>
      </w:r>
      <w:r>
        <w:t xml:space="preserve"> </w:t>
      </w:r>
      <w:r>
        <w:t xml:space="preserve">differential</w:t>
      </w:r>
      <w:r>
        <w:t xml:space="preserve"> </w:t>
      </w:r>
      <w:r>
        <w:t xml:space="preserve">expression</w:t>
      </w:r>
      <w:r>
        <w:t xml:space="preserve"> </w:t>
      </w:r>
      <w:r>
        <w:t xml:space="preserve">benchmark</w:t>
      </w:r>
      <w:r>
        <w:t xml:space="preserve"> </w:t>
      </w:r>
      <w:r>
        <w:t xml:space="preserve">at</w:t>
      </w:r>
      <w:r>
        <w:t xml:space="preserve"> </w:t>
      </w:r>
      <w:r>
        <w:t xml:space="preserve">3.4M</w:t>
      </w:r>
      <w:r>
        <w:t xml:space="preserve"> </w:t>
      </w:r>
      <w:r>
        <w:t xml:space="preserve">cells</w:t>
      </w:r>
      <w:r>
        <w:t xml:space="preserve"> </w:t>
      </w:r>
      <w:r>
        <w:t xml:space="preserve">demonstrated</w:t>
      </w:r>
      <w:r>
        <w:t xml:space="preserve"> </w:t>
      </w:r>
      <w:r>
        <w:t xml:space="preserve">that</w:t>
      </w:r>
      <w:r>
        <w:t xml:space="preserve"> </w:t>
      </w:r>
      <w:r>
        <w:t xml:space="preserve">pseudo-bulk</w:t>
      </w:r>
      <w:r>
        <w:t xml:space="preserve"> </w:t>
      </w:r>
      <w:r>
        <w:t xml:space="preserve">aggregation</w:t>
      </w:r>
      <w:r>
        <w:t xml:space="preserve"> </w:t>
      </w:r>
      <w:r>
        <w:t xml:space="preserve">was</w:t>
      </w:r>
      <w:r>
        <w:t xml:space="preserve"> </w:t>
      </w:r>
      <w:r>
        <w:t xml:space="preserve">44</w:t>
      </w:r>
      <m:oMath>
        <m:r>
          <m:rPr>
            <m:sty m:val="p"/>
          </m:rPr>
          <m:t>×</m:t>
        </m:r>
      </m:oMath>
      <w:r>
        <w:t xml:space="preserve"> </w:t>
      </w:r>
      <w:r>
        <w:t xml:space="preserve">faster</w:t>
      </w:r>
      <w:r>
        <w:t xml:space="preserve"> </w:t>
      </w:r>
      <w:r>
        <w:t xml:space="preserve">than</w:t>
      </w:r>
      <w:r>
        <w:t xml:space="preserve"> </w:t>
      </w:r>
      <w:r>
        <w:t xml:space="preserve">cell-level</w:t>
      </w:r>
      <w:r>
        <w:t xml:space="preserve"> </w:t>
      </w:r>
      <m:oMath>
        <m:r>
          <m:t>t</m:t>
        </m:r>
      </m:oMath>
      <w:r>
        <w:t xml:space="preserve">-test</w:t>
      </w:r>
      <w:r>
        <w:t xml:space="preserve"> </w:t>
      </w:r>
      <w:r>
        <w:t xml:space="preserve">and</w:t>
      </w:r>
      <w:r>
        <w:t xml:space="preserve"> </w:t>
      </w:r>
      <w:r>
        <w:t xml:space="preserve">that</w:t>
      </w:r>
      <w:r>
        <w:t xml:space="preserve"> </w:t>
      </w:r>
      <w:r>
        <w:t xml:space="preserve">GPU</w:t>
      </w:r>
      <w:r>
        <w:t xml:space="preserve"> </w:t>
      </w:r>
      <w:r>
        <w:t xml:space="preserve">Wilcoxon</w:t>
      </w:r>
      <w:r>
        <w:t xml:space="preserve"> </w:t>
      </w:r>
      <w:r>
        <w:t xml:space="preserve">(826</w:t>
      </w:r>
      <w:r>
        <w:t xml:space="preserve"> </w:t>
      </w:r>
      <w:r>
        <w:t xml:space="preserve">s)</w:t>
      </w:r>
      <w:r>
        <w:t xml:space="preserve"> </w:t>
      </w:r>
      <w:r>
        <w:t xml:space="preserve">outperformed</w:t>
      </w:r>
      <w:r>
        <w:t xml:space="preserve"> </w:t>
      </w:r>
      <w:r>
        <w:t xml:space="preserve">GPU</w:t>
      </w:r>
      <w:r>
        <w:t xml:space="preserve"> </w:t>
      </w:r>
      <m:oMath>
        <m:r>
          <m:t>t</m:t>
        </m:r>
      </m:oMath>
      <w:r>
        <w:t xml:space="preserve">-test</w:t>
      </w:r>
      <w:r>
        <w:t xml:space="preserve"> </w:t>
      </w:r>
      <w:r>
        <w:t xml:space="preserve">(1,656</w:t>
      </w:r>
      <w:r>
        <w:t xml:space="preserve"> </w:t>
      </w:r>
      <w:r>
        <w:t xml:space="preserve">s).</w:t>
      </w:r>
      <w:r>
        <w:t xml:space="preserve"> </w:t>
      </w:r>
      <w:r>
        <w:t xml:space="preserve">These</w:t>
      </w:r>
      <w:r>
        <w:t xml:space="preserve"> </w:t>
      </w:r>
      <w:r>
        <w:t xml:space="preserve">results</w:t>
      </w:r>
      <w:r>
        <w:t xml:space="preserve"> </w:t>
      </w:r>
      <w:r>
        <w:t xml:space="preserve">provide</w:t>
      </w:r>
      <w:r>
        <w:t xml:space="preserve"> </w:t>
      </w:r>
      <w:r>
        <w:t xml:space="preserve">practical</w:t>
      </w:r>
      <w:r>
        <w:t xml:space="preserve"> </w:t>
      </w:r>
      <w:r>
        <w:t xml:space="preserve">guidance</w:t>
      </w:r>
      <w:r>
        <w:t xml:space="preserve"> </w:t>
      </w:r>
      <w:r>
        <w:t xml:space="preserve">for</w:t>
      </w:r>
      <w:r>
        <w:t xml:space="preserve"> </w:t>
      </w:r>
      <w:r>
        <w:t xml:space="preserve">deploying</w:t>
      </w:r>
      <w:r>
        <w:t xml:space="preserve"> </w:t>
      </w:r>
      <w:r>
        <w:t xml:space="preserve">GPU-accelerated</w:t>
      </w:r>
      <w:r>
        <w:t xml:space="preserve"> </w:t>
      </w:r>
      <w:r>
        <w:t xml:space="preserve">single-cell</w:t>
      </w:r>
      <w:r>
        <w:t xml:space="preserve"> </w:t>
      </w:r>
      <w:r>
        <w:t xml:space="preserve">workflows</w:t>
      </w:r>
      <w:r>
        <w:t xml:space="preserve"> </w:t>
      </w:r>
      <w:r>
        <w:t xml:space="preserve">at</w:t>
      </w:r>
      <w:r>
        <w:t xml:space="preserve"> </w:t>
      </w:r>
      <w:r>
        <w:t xml:space="preserve">atlas</w:t>
      </w:r>
      <w:r>
        <w:t xml:space="preserve"> </w:t>
      </w:r>
      <w:r>
        <w:t xml:space="preserve">scale</w:t>
      </w:r>
      <w:r>
        <w:t xml:space="preserve"> </w:t>
      </w:r>
      <w:r>
        <w:t xml:space="preserve">and</w:t>
      </w:r>
      <w:r>
        <w:t xml:space="preserve"> </w:t>
      </w:r>
      <w:r>
        <w:t xml:space="preserve">identify</w:t>
      </w:r>
      <w:r>
        <w:t xml:space="preserve"> </w:t>
      </w:r>
      <w:r>
        <w:t xml:space="preserve">CPU-side</w:t>
      </w:r>
      <w:r>
        <w:t xml:space="preserve"> </w:t>
      </w:r>
      <w:r>
        <w:t xml:space="preserve">preprocessing</w:t>
      </w:r>
      <w:r>
        <w:t xml:space="preserve"> </w:t>
      </w:r>
      <w:r>
        <w:t xml:space="preserve">as</w:t>
      </w:r>
      <w:r>
        <w:t xml:space="preserve"> </w:t>
      </w:r>
      <w:r>
        <w:t xml:space="preserve">the</w:t>
      </w:r>
      <w:r>
        <w:t xml:space="preserve"> </w:t>
      </w:r>
      <w:r>
        <w:t xml:space="preserve">primary</w:t>
      </w:r>
      <w:r>
        <w:t xml:space="preserve"> </w:t>
      </w:r>
      <w:r>
        <w:t xml:space="preserve">bottleneck</w:t>
      </w:r>
      <w:r>
        <w:t xml:space="preserve"> </w:t>
      </w:r>
      <w:r>
        <w:t xml:space="preserve">for</w:t>
      </w:r>
      <w:r>
        <w:t xml:space="preserve"> </w:t>
      </w:r>
      <w:r>
        <w:t xml:space="preserve">future</w:t>
      </w:r>
      <w:r>
        <w:t xml:space="preserve"> </w:t>
      </w:r>
      <w:r>
        <w:t xml:space="preserve">optimisation.</w:t>
      </w:r>
    </w:p>
    <w:bookmarkStart w:id="20" w:name="introduction"/>
    <w:p>
      <w:pPr>
        <w:pStyle w:val="Heading1"/>
      </w:pPr>
      <w:r>
        <w:rPr>
          <w:rStyle w:val="SectionNumber"/>
        </w:rPr>
        <w:t xml:space="preserve">1</w:t>
      </w:r>
      <w:r>
        <w:tab/>
      </w:r>
      <w:r>
        <w:t xml:space="preserve">Introduction</w:t>
      </w:r>
    </w:p>
    <w:p>
      <w:pPr>
        <w:pStyle w:val="FirstParagraph"/>
      </w:pPr>
      <w:r>
        <w:t xml:space="preserve">Single-cell RNA sequencing has become the standard technology for dissecting cellular heterogeneity in complex tissues</w:t>
      </w:r>
      <w:r>
        <w:t xml:space="preserve"> </w:t>
      </w:r>
      <w:r>
        <w:t xml:space="preserve">(Regev et al. 2017)</w:t>
      </w:r>
      <w:r>
        <w:t xml:space="preserve">.</w:t>
      </w:r>
      <w:r>
        <w:t xml:space="preserve"> </w:t>
      </w:r>
      <w:r>
        <w:t xml:space="preserve">Recent atlas-scale projects such as the Human Cell Atlas, Tabula Sapiens</w:t>
      </w:r>
      <w:r>
        <w:t xml:space="preserve"> </w:t>
      </w:r>
      <w:r>
        <w:t xml:space="preserve">(The Tabula Sapiens Consortium 2022)</w:t>
      </w:r>
      <w:r>
        <w:t xml:space="preserve">, and the Allen Brain Atlas</w:t>
      </w:r>
      <w:r>
        <w:t xml:space="preserve"> </w:t>
      </w:r>
      <w:r>
        <w:t xml:space="preserve">(Yao et al. 2023)</w:t>
      </w:r>
      <w:r>
        <w:t xml:space="preserve"> </w:t>
      </w:r>
      <w:r>
        <w:t xml:space="preserve">routinely generate datasets exceeding one million cells, placing severe computational demands on analysis pipelines.</w:t>
      </w:r>
      <w:r>
        <w:t xml:space="preserve"> </w:t>
      </w:r>
      <w:r>
        <w:t xml:space="preserve">The dominant analysis framework, Scanpy</w:t>
      </w:r>
      <w:r>
        <w:t xml:space="preserve"> </w:t>
      </w:r>
      <w:r>
        <w:t xml:space="preserve">(Wolf, Angerer, and Theis 2018)</w:t>
      </w:r>
      <w:r>
        <w:t xml:space="preserve">, executes on CPU and relies on NumPy, SciPy, and scikit-learn for linear algebra and graph operations.</w:t>
      </w:r>
      <w:r>
        <w:t xml:space="preserve"> </w:t>
      </w:r>
      <w:r>
        <w:t xml:space="preserve">While multi-threaded CPU implementations scale modestly with core count, a standard analysis of one million cells—encompassing quality control, normalisation, principal component analysis (PCA), neighbourhood graph construction, Leiden clustering</w:t>
      </w:r>
      <w:r>
        <w:t xml:space="preserve"> </w:t>
      </w:r>
      <w:r>
        <w:t xml:space="preserve">(Traag, Waltman, and Eck 2019)</w:t>
      </w:r>
      <w:r>
        <w:t xml:space="preserve">, uniform manifold approximation and projection (UMAP)</w:t>
      </w:r>
      <w:r>
        <w:t xml:space="preserve"> </w:t>
      </w:r>
      <w:r>
        <w:t xml:space="preserve">(McInnes et al. 2018)</w:t>
      </w:r>
      <w:r>
        <w:t xml:space="preserve">, and differential expression (DE) testing—can require hours to days on a multi-core workstation.</w:t>
      </w:r>
    </w:p>
    <w:p>
      <w:pPr>
        <w:pStyle w:val="BodyText"/>
      </w:pPr>
      <w:r>
        <w:t xml:space="preserve">GPU-accelerated alternatives have emerged to address this scalability challenge.</w:t>
      </w:r>
      <w:r>
        <w:t xml:space="preserve"> </w:t>
      </w:r>
      <w:r>
        <w:t xml:space="preserve">The RAPIDS ecosystem</w:t>
      </w:r>
      <w:r>
        <w:t xml:space="preserve"> </w:t>
      </w:r>
      <w:r>
        <w:t xml:space="preserve">(RAPIDS Development Team 2024)</w:t>
      </w:r>
      <w:r>
        <w:t xml:space="preserve"> </w:t>
      </w:r>
      <w:r>
        <w:t xml:space="preserve">provides GPU-native implementations of common data science primitives, and rapids-singlecell</w:t>
      </w:r>
      <w:r>
        <w:t xml:space="preserve"> </w:t>
      </w:r>
      <w:r>
        <w:t xml:space="preserve">(Dicks et al. 2026)</w:t>
      </w:r>
      <w:r>
        <w:t xml:space="preserve"> </w:t>
      </w:r>
      <w:r>
        <w:t xml:space="preserve">offers a near-drop-in replacement for Scanpy that executes the same analytical pipeline on NVIDIA GPUs via cuML, cuGraph, and CuPy.</w:t>
      </w:r>
      <w:r>
        <w:t xml:space="preserve"> </w:t>
      </w:r>
      <w:r>
        <w:t xml:space="preserve">Prior work has demonstrated substantial GPU speedups for genomic analyses</w:t>
      </w:r>
      <w:r>
        <w:t xml:space="preserve"> </w:t>
      </w:r>
      <w:r>
        <w:t xml:space="preserve">(Taylor-Weiner et al. 2019)</w:t>
      </w:r>
      <w:r>
        <w:t xml:space="preserve">, including single-cell pipelines</w:t>
      </w:r>
      <w:r>
        <w:t xml:space="preserve"> </w:t>
      </w:r>
      <w:r>
        <w:t xml:space="preserve">(Nolet et al. 2022)</w:t>
      </w:r>
      <w:r>
        <w:t xml:space="preserve">, and proposed GPU frameworks for datasets exceeding ten million cells</w:t>
      </w:r>
      <w:r>
        <w:t xml:space="preserve"> </w:t>
      </w:r>
      <w:r>
        <w:t xml:space="preserve">(Hu et al. 2025)</w:t>
      </w:r>
      <w:r>
        <w:t xml:space="preserve">.</w:t>
      </w:r>
      <w:r>
        <w:t xml:space="preserve"> </w:t>
      </w:r>
      <w:r>
        <w:t xml:space="preserve">However, most benchmarks report headline speedups without systematically examining (i) per-step performance variation, (ii) multi-GPU scaling behaviour and its bottlenecks, (iii) numerical concordance of GPU floating-point results with CPU baselines, and (iv) practical memory limits at extreme scale.</w:t>
      </w:r>
      <w:r>
        <w:t xml:space="preserve"> </w:t>
      </w:r>
      <w:r>
        <w:t xml:space="preserve">Gardner et al.</w:t>
      </w:r>
      <w:r>
        <w:t xml:space="preserve"> </w:t>
      </w:r>
      <w:r>
        <w:t xml:space="preserve">(2025)</w:t>
      </w:r>
      <w:r>
        <w:t xml:space="preserve"> </w:t>
      </w:r>
      <w:r>
        <w:t xml:space="preserve">recently evaluated accuracy–performance trade-offs for GPU single-cell analysis, but their study was limited to a single GPU and did not explore multi-GPU configurations or stress-test hardware limits.</w:t>
      </w:r>
    </w:p>
    <w:p>
      <w:pPr>
        <w:pStyle w:val="BodyText"/>
      </w:pPr>
      <w:r>
        <w:t xml:space="preserve">Here we present a comprehensive benchmark addressing four questions simultaneously.</w:t>
      </w:r>
      <w:r>
        <w:t xml:space="preserve"> </w:t>
      </w:r>
      <w:r>
        <w:t xml:space="preserve">First,</w:t>
      </w:r>
      <w:r>
        <w:t xml:space="preserve"> </w:t>
      </w:r>
      <w:r>
        <w:rPr>
          <w:bCs/>
          <w:b/>
        </w:rPr>
        <w:t xml:space="preserve">speed</w:t>
      </w:r>
      <w:r>
        <w:t xml:space="preserve">: what is the per-step and end-to-end speedup of rapids-singlecell relative to Scanpy on identical hardware?</w:t>
      </w:r>
      <w:r>
        <w:t xml:space="preserve"> </w:t>
      </w:r>
      <w:r>
        <w:t xml:space="preserve">Second,</w:t>
      </w:r>
      <w:r>
        <w:t xml:space="preserve"> </w:t>
      </w:r>
      <w:r>
        <w:rPr>
          <w:bCs/>
          <w:b/>
        </w:rPr>
        <w:t xml:space="preserve">scalability</w:t>
      </w:r>
      <w:r>
        <w:t xml:space="preserve">: how does the pipeline scale from 1 to 8 GPUs, and where are the bottlenecks?</w:t>
      </w:r>
      <w:r>
        <w:t xml:space="preserve"> </w:t>
      </w:r>
      <w:r>
        <w:t xml:space="preserve">Third,</w:t>
      </w:r>
      <w:r>
        <w:t xml:space="preserve"> </w:t>
      </w:r>
      <w:r>
        <w:rPr>
          <w:bCs/>
          <w:b/>
        </w:rPr>
        <w:t xml:space="preserve">concordance</w:t>
      </w:r>
      <w:r>
        <w:t xml:space="preserve">: do CPU and GPU pipelines yield biologically equivalent results in terms of HVG selection, PCA embeddings, clustering, and DE gene rankings?</w:t>
      </w:r>
      <w:r>
        <w:t xml:space="preserve"> </w:t>
      </w:r>
      <w:r>
        <w:t xml:space="preserve">Fourth,</w:t>
      </w:r>
      <w:r>
        <w:t xml:space="preserve"> </w:t>
      </w:r>
      <w:r>
        <w:rPr>
          <w:bCs/>
          <w:b/>
        </w:rPr>
        <w:t xml:space="preserve">capacity</w:t>
      </w:r>
      <w:r>
        <w:t xml:space="preserve">: what is the maximum dataset size a single DGX H100 node can process, and what limits it?</w:t>
      </w:r>
    </w:p>
    <w:p>
      <w:pPr>
        <w:pStyle w:val="BodyText"/>
      </w:pPr>
      <w:r>
        <w:t xml:space="preserve">All experiments were conducted on an NVIDIA DGX H100 node with 8</w:t>
      </w:r>
      <m:oMath>
        <m:r>
          <m:rPr>
            <m:sty m:val="p"/>
          </m:rPr>
          <m:t>×</m:t>
        </m:r>
      </m:oMath>
      <w:r>
        <w:t xml:space="preserve">H100 80 GB GPUs, dual Intel Xeon Platinum 8480C processors (112 cores), and 2 TB of DDR5 RAM, using a Singularity container to ensure full reproducibility.</w:t>
      </w:r>
      <w:r>
        <w:t xml:space="preserve"> </w:t>
      </w:r>
      <w:r>
        <w:t xml:space="preserve">Each configuration was run five times with independent random seeds to quantify measurement variability.</w:t>
      </w:r>
    </w:p>
    <w:bookmarkEnd w:id="20"/>
    <w:bookmarkStart w:id="29" w:name="methods"/>
    <w:p>
      <w:pPr>
        <w:pStyle w:val="Heading1"/>
      </w:pPr>
      <w:r>
        <w:rPr>
          <w:rStyle w:val="SectionNumber"/>
        </w:rPr>
        <w:t xml:space="preserve">2</w:t>
      </w:r>
      <w:r>
        <w:tab/>
      </w:r>
      <w:r>
        <w:t xml:space="preserve">Methods</w:t>
      </w:r>
    </w:p>
    <w:bookmarkStart w:id="21" w:name="dataset-and-subsampling"/>
    <w:p>
      <w:pPr>
        <w:pStyle w:val="Heading2"/>
      </w:pPr>
      <w:r>
        <w:rPr>
          <w:rStyle w:val="SectionNumber"/>
        </w:rPr>
        <w:t xml:space="preserve">2.1</w:t>
      </w:r>
      <w:r>
        <w:tab/>
      </w:r>
      <w:r>
        <w:t xml:space="preserve">Dataset and subsampling</w:t>
      </w:r>
    </w:p>
    <w:p>
      <w:pPr>
        <w:pStyle w:val="FirstParagraph"/>
      </w:pPr>
      <w:r>
        <w:t xml:space="preserve">All experiments used the 10x Genomics 1.3-million mouse brain cell dataset (E18)</w:t>
      </w:r>
      <w:r>
        <w:t xml:space="preserve"> </w:t>
      </w:r>
      <w:r>
        <w:t xml:space="preserve">(Zheng et al. 2017)</w:t>
      </w:r>
      <w:r>
        <w:t xml:space="preserve">, obtained as a pre-processed AnnData h5ad file from the RAPIDS single-cell examples repository.</w:t>
      </w:r>
      <w:r>
        <w:t xml:space="preserve"> </w:t>
      </w:r>
      <w:r>
        <w:t xml:space="preserve">This dataset is the canonical large-scale single-cell benchmark and contains approximately 1.3 million cells with gene expression measured by the 10x Chromium platform.</w:t>
      </w:r>
    </w:p>
    <w:p>
      <w:pPr>
        <w:pStyle w:val="BodyText"/>
      </w:pPr>
      <w:r>
        <w:t xml:space="preserve">To evaluate performance across scales, we created reproducible subsamples of 10,000, 50,000, 100,000, and 500,000 cells by uniform random sampling without replacement (seed = 42), in addition to the full 1.3M cell dataset.</w:t>
      </w:r>
      <w:r>
        <w:t xml:space="preserve"> </w:t>
      </w:r>
      <w:r>
        <w:t xml:space="preserve">All subsamples were derived from the same parent dataset to ensure consistent biological composition across benchmarking tiers.</w:t>
      </w:r>
    </w:p>
    <w:bookmarkEnd w:id="21"/>
    <w:bookmarkStart w:id="22" w:name="analysis-pipeline"/>
    <w:p>
      <w:pPr>
        <w:pStyle w:val="Heading2"/>
      </w:pPr>
      <w:r>
        <w:rPr>
          <w:rStyle w:val="SectionNumber"/>
        </w:rPr>
        <w:t xml:space="preserve">2.2</w:t>
      </w:r>
      <w:r>
        <w:tab/>
      </w:r>
      <w:r>
        <w:t xml:space="preserve">Analysis pipeline</w:t>
      </w:r>
    </w:p>
    <w:p>
      <w:pPr>
        <w:pStyle w:val="FirstParagraph"/>
      </w:pPr>
      <w:r>
        <w:t xml:space="preserve">Both the CPU and GPU pipelines implemented the standard Scanpy best-practices workflow</w:t>
      </w:r>
      <w:r>
        <w:t xml:space="preserve"> </w:t>
      </w:r>
      <w:r>
        <w:t xml:space="preserve">(Luecken and Theis 2019; Heumos et al. 2023)</w:t>
      </w:r>
      <w:r>
        <w:t xml:space="preserve"> </w:t>
      </w:r>
      <w:r>
        <w:t xml:space="preserve">with identical parameters.</w:t>
      </w:r>
      <w:r>
        <w:t xml:space="preserve"> </w:t>
      </w:r>
      <w:r>
        <w:t xml:space="preserve">The CPU pipeline used Scanpy 1.12</w:t>
      </w:r>
      <w:r>
        <w:t xml:space="preserve"> </w:t>
      </w:r>
      <w:r>
        <w:t xml:space="preserve">(Wolf, Angerer, and Theis 2018)</w:t>
      </w:r>
      <w:r>
        <w:t xml:space="preserve"> </w:t>
      </w:r>
      <w:r>
        <w:t xml:space="preserve">with NumPy 2.2.6 and the igraph Leiden backend (igraph 1.0.0); the GPU pipeline used rapids-singlecell 0.14.1</w:t>
      </w:r>
      <w:r>
        <w:t xml:space="preserve"> </w:t>
      </w:r>
      <w:r>
        <w:t xml:space="preserve">(Dicks et al. 2026)</w:t>
      </w:r>
      <w:r>
        <w:t xml:space="preserve"> </w:t>
      </w:r>
      <w:r>
        <w:t xml:space="preserve">with CuPy 13.6.0, RMM 26.2.0, and the cuGraph Leiden backend.</w:t>
      </w:r>
      <w:r>
        <w:t xml:space="preserve"> </w:t>
      </w:r>
      <w:r>
        <w:t xml:space="preserve">Both pipelines shared the AnnData format</w:t>
      </w:r>
      <w:r>
        <w:t xml:space="preserve"> </w:t>
      </w:r>
      <w:r>
        <w:t xml:space="preserve">(Virshup et al. 2024)</w:t>
      </w:r>
      <w:r>
        <w:t xml:space="preserve"> </w:t>
      </w:r>
      <w:r>
        <w:t xml:space="preserve">for data interchange.</w:t>
      </w:r>
    </w:p>
    <w:p>
      <w:pPr>
        <w:pStyle w:val="BodyText"/>
      </w:pPr>
      <w:r>
        <w:t xml:space="preserve">The pipeline comprised ten steps, each timed independently using</w:t>
      </w:r>
      <w:r>
        <w:t xml:space="preserve"> </w:t>
      </w:r>
      <w:r>
        <w:rPr>
          <w:rStyle w:val="VerbatimChar"/>
        </w:rPr>
        <w:t xml:space="preserve">time.perf_counter()</w:t>
      </w:r>
      <w:r>
        <w:t xml:space="preserve"> </w:t>
      </w:r>
      <w:r>
        <w:t xml:space="preserve">(Table 4).</w:t>
      </w:r>
    </w:p>
    <w:p>
      <w:pPr>
        <w:pStyle w:val="TableCaption"/>
      </w:pPr>
      <w:r>
        <w:rPr>
          <w:bCs/>
          <w:b/>
        </w:rPr>
        <w:t xml:space="preserve">Table 4.</w:t>
      </w:r>
      <w:r>
        <w:t xml:space="preserve"> </w:t>
      </w:r>
      <w:r>
        <w:t xml:space="preserve">Pipeline steps, parameters, and implementations. All steps used identical parameters for the CPU and GPU pipelines except where noted. {#tbl:pipeline}</w:t>
      </w:r>
    </w:p>
    <w:tbl>
      <w:tblPr>
        <w:tblStyle w:val="Table"/>
        <w:tblW w:type="pct" w:w="5000"/>
        <w:tblLook w:firstRow="1" w:lastRow="0" w:firstColumn="0" w:lastColumn="0" w:noHBand="0" w:noVBand="0" w:val="0020"/>
        <w:jc w:val="start"/>
        <w:tblCaption w:val="Table 4. Pipeline steps, parameters, and implementations. All steps used identical parameters for the CPU and GPU pipelines except where noted. {#tbl:pipeline}"/>
      </w:tblPr>
      <w:tblGrid>
        <w:gridCol w:w="880"/>
        <w:gridCol w:w="1613"/>
        <w:gridCol w:w="2346"/>
        <w:gridCol w:w="3080"/>
      </w:tblGrid>
      <w:tr>
        <w:trPr>
          <w:tblHeader w:val="true"/>
        </w:trPr>
        <w:tc>
          <w:tcPr/>
          <w:p>
            <w:pPr>
              <w:pStyle w:val="Compact"/>
              <w:jc w:val="right"/>
            </w:pPr>
            <w:r>
              <w:t xml:space="preserve">Step</w:t>
            </w:r>
          </w:p>
        </w:tc>
        <w:tc>
          <w:tcPr/>
          <w:p>
            <w:pPr>
              <w:pStyle w:val="Compact"/>
              <w:jc w:val="left"/>
            </w:pPr>
            <w:r>
              <w:t xml:space="preserve">Operation</w:t>
            </w:r>
          </w:p>
        </w:tc>
        <w:tc>
          <w:tcPr/>
          <w:p>
            <w:pPr>
              <w:pStyle w:val="Compact"/>
              <w:jc w:val="left"/>
            </w:pPr>
            <w:r>
              <w:t xml:space="preserve">Key parameters</w:t>
            </w:r>
          </w:p>
        </w:tc>
        <w:tc>
          <w:tcPr/>
          <w:p>
            <w:pPr>
              <w:pStyle w:val="Compact"/>
              <w:jc w:val="left"/>
            </w:pPr>
            <w:r>
              <w:t xml:space="preserve">Implementation note</w:t>
            </w:r>
          </w:p>
        </w:tc>
      </w:tr>
      <w:tr>
        <w:tc>
          <w:tcPr/>
          <w:p>
            <w:pPr>
              <w:pStyle w:val="Compact"/>
              <w:jc w:val="right"/>
            </w:pPr>
            <w:r>
              <w:t xml:space="preserve">1</w:t>
            </w:r>
          </w:p>
        </w:tc>
        <w:tc>
          <w:tcPr/>
          <w:p>
            <w:pPr>
              <w:pStyle w:val="Compact"/>
              <w:jc w:val="left"/>
            </w:pPr>
            <w:r>
              <w:t xml:space="preserve">Data loading</w:t>
            </w:r>
          </w:p>
        </w:tc>
        <w:tc>
          <w:tcPr/>
          <w:p>
            <w:pPr>
              <w:pStyle w:val="Compact"/>
              <w:jc w:val="left"/>
            </w:pPr>
            <w:r>
              <w:t xml:space="preserve">—</w:t>
            </w:r>
          </w:p>
        </w:tc>
        <w:tc>
          <w:tcPr/>
          <w:p>
            <w:pPr>
              <w:pStyle w:val="Compact"/>
              <w:jc w:val="left"/>
            </w:pPr>
            <w:r>
              <w:rPr>
                <w:rStyle w:val="VerbatimChar"/>
              </w:rPr>
              <w:t xml:space="preserve">read_h5ad()</w:t>
            </w:r>
            <w:r>
              <w:t xml:space="preserve"> </w:t>
            </w:r>
            <w:r>
              <w:t xml:space="preserve">from disk</w:t>
            </w:r>
          </w:p>
        </w:tc>
      </w:tr>
      <w:tr>
        <w:tc>
          <w:tcPr/>
          <w:p>
            <w:pPr>
              <w:pStyle w:val="Compact"/>
              <w:jc w:val="right"/>
            </w:pPr>
            <w:r>
              <w:t xml:space="preserve">2</w:t>
            </w:r>
          </w:p>
        </w:tc>
        <w:tc>
          <w:tcPr/>
          <w:p>
            <w:pPr>
              <w:pStyle w:val="Compact"/>
              <w:jc w:val="left"/>
            </w:pPr>
            <w:r>
              <w:t xml:space="preserve">QC and filtering</w:t>
            </w:r>
          </w:p>
        </w:tc>
        <w:tc>
          <w:tcPr/>
          <w:p>
            <w:pPr>
              <w:pStyle w:val="Compact"/>
              <w:jc w:val="left"/>
            </w:pPr>
            <w:r>
              <w:rPr>
                <w:rStyle w:val="VerbatimChar"/>
              </w:rPr>
              <w:t xml:space="preserve">min_genes</w:t>
            </w:r>
            <w:r>
              <w:t xml:space="preserve"> </w:t>
            </w:r>
            <w:r>
              <w:t xml:space="preserve">= 200,</w:t>
            </w:r>
            <w:r>
              <w:t xml:space="preserve"> </w:t>
            </w:r>
            <w:r>
              <w:rPr>
                <w:rStyle w:val="VerbatimChar"/>
              </w:rPr>
              <w:t xml:space="preserve">min_cells</w:t>
            </w:r>
            <w:r>
              <w:t xml:space="preserve"> </w:t>
            </w:r>
            <w:r>
              <w:t xml:space="preserve">= 3, mt prefix =</w:t>
            </w:r>
            <w:r>
              <w:t xml:space="preserve"> </w:t>
            </w:r>
            <w:r>
              <w:rPr>
                <w:rStyle w:val="VerbatimChar"/>
              </w:rPr>
              <w:t xml:space="preserve">mt-</w:t>
            </w:r>
          </w:p>
        </w:tc>
        <w:tc>
          <w:tcPr/>
          <w:p>
            <w:pPr>
              <w:pStyle w:val="Compact"/>
              <w:jc w:val="left"/>
            </w:pPr>
            <w:r>
              <w:t xml:space="preserve">Mitochondrial QC metrics</w:t>
            </w:r>
          </w:p>
        </w:tc>
      </w:tr>
      <w:tr>
        <w:tc>
          <w:tcPr/>
          <w:p>
            <w:pPr>
              <w:pStyle w:val="Compact"/>
              <w:jc w:val="right"/>
            </w:pPr>
            <w:r>
              <w:t xml:space="preserve">3</w:t>
            </w:r>
          </w:p>
        </w:tc>
        <w:tc>
          <w:tcPr/>
          <w:p>
            <w:pPr>
              <w:pStyle w:val="Compact"/>
              <w:jc w:val="left"/>
            </w:pPr>
            <w:r>
              <w:t xml:space="preserve">Normalisation</w:t>
            </w:r>
          </w:p>
        </w:tc>
        <w:tc>
          <w:tcPr/>
          <w:p>
            <w:pPr>
              <w:pStyle w:val="Compact"/>
              <w:jc w:val="left"/>
            </w:pPr>
            <w:r>
              <w:rPr>
                <w:rStyle w:val="VerbatimChar"/>
              </w:rPr>
              <w:t xml:space="preserve">target_sum</w:t>
            </w:r>
            <w:r>
              <w:t xml:space="preserve"> </w:t>
            </w:r>
            <w:r>
              <w:t xml:space="preserve">=</w:t>
            </w:r>
            <w:r>
              <w:t xml:space="preserve"> </w:t>
            </w:r>
            <m:oMath>
              <m:sSup>
                <m:e>
                  <m:r>
                    <m:t>10</m:t>
                  </m:r>
                </m:e>
                <m:sup>
                  <m:r>
                    <m:t>4</m:t>
                  </m:r>
                </m:sup>
              </m:sSup>
            </m:oMath>
          </w:p>
        </w:tc>
        <w:tc>
          <w:tcPr/>
          <w:p>
            <w:pPr>
              <w:pStyle w:val="Compact"/>
              <w:jc w:val="left"/>
            </w:pPr>
            <w:r>
              <w:t xml:space="preserve">Library-size scaling +</w:t>
            </w:r>
            <w:r>
              <w:t xml:space="preserve"> </w:t>
            </w:r>
            <w:r>
              <w:rPr>
                <w:rStyle w:val="VerbatimChar"/>
              </w:rPr>
              <w:t xml:space="preserve">log1p</w:t>
            </w:r>
          </w:p>
        </w:tc>
      </w:tr>
      <w:tr>
        <w:tc>
          <w:tcPr/>
          <w:p>
            <w:pPr>
              <w:pStyle w:val="Compact"/>
              <w:jc w:val="right"/>
            </w:pPr>
            <w:r>
              <w:t xml:space="preserve">4</w:t>
            </w:r>
          </w:p>
        </w:tc>
        <w:tc>
          <w:tcPr/>
          <w:p>
            <w:pPr>
              <w:pStyle w:val="Compact"/>
              <w:jc w:val="left"/>
            </w:pPr>
            <w:r>
              <w:t xml:space="preserve">HVG selection</w:t>
            </w:r>
          </w:p>
        </w:tc>
        <w:tc>
          <w:tcPr/>
          <w:p>
            <w:pPr>
              <w:pStyle w:val="Compact"/>
              <w:jc w:val="left"/>
            </w:pPr>
            <w:r>
              <w:rPr>
                <w:rStyle w:val="VerbatimChar"/>
              </w:rPr>
              <w:t xml:space="preserve">n_top_genes</w:t>
            </w:r>
            <w:r>
              <w:t xml:space="preserve"> </w:t>
            </w:r>
            <w:r>
              <w:t xml:space="preserve">= 2,000, Seurat v1 method</w:t>
            </w:r>
          </w:p>
        </w:tc>
        <w:tc>
          <w:tcPr/>
          <w:p>
            <w:pPr>
              <w:pStyle w:val="Compact"/>
              <w:jc w:val="left"/>
            </w:pPr>
            <w:r>
              <w:t xml:space="preserve">On log-normalised data</w:t>
            </w:r>
            <w:r>
              <w:t xml:space="preserve"> </w:t>
            </w:r>
            <w:r>
              <w:t xml:space="preserve">(Satija et al. 2015; Yip, Sham, and Wang 2019)</w:t>
            </w:r>
          </w:p>
        </w:tc>
      </w:tr>
      <w:tr>
        <w:tc>
          <w:tcPr/>
          <w:p>
            <w:pPr>
              <w:pStyle w:val="Compact"/>
              <w:jc w:val="right"/>
            </w:pPr>
            <w:r>
              <w:t xml:space="preserve">5</w:t>
            </w:r>
          </w:p>
        </w:tc>
        <w:tc>
          <w:tcPr/>
          <w:p>
            <w:pPr>
              <w:pStyle w:val="Compact"/>
              <w:jc w:val="left"/>
            </w:pPr>
            <w:r>
              <w:t xml:space="preserve">Scaling</w:t>
            </w:r>
          </w:p>
        </w:tc>
        <w:tc>
          <w:tcPr/>
          <w:p>
            <w:pPr>
              <w:pStyle w:val="Compact"/>
              <w:jc w:val="left"/>
            </w:pPr>
            <w:r>
              <w:rPr>
                <w:rStyle w:val="VerbatimChar"/>
              </w:rPr>
              <w:t xml:space="preserve">max_value</w:t>
            </w:r>
            <w:r>
              <w:t xml:space="preserve"> </w:t>
            </w:r>
            <w:r>
              <w:t xml:space="preserve">= 10</w:t>
            </w:r>
          </w:p>
        </w:tc>
        <w:tc>
          <w:tcPr/>
          <w:p>
            <w:pPr>
              <w:pStyle w:val="Compact"/>
              <w:jc w:val="left"/>
            </w:pPr>
            <w:r>
              <w:t xml:space="preserve">Sparse</w:t>
            </w:r>
            <w:r>
              <w:t xml:space="preserve"> </w:t>
            </w:r>
            <m:oMath>
              <m:r>
                <m:rPr>
                  <m:sty m:val="p"/>
                </m:rPr>
                <m:t>→</m:t>
              </m:r>
            </m:oMath>
            <w:r>
              <w:t xml:space="preserve"> </w:t>
            </w:r>
            <w:r>
              <w:t xml:space="preserve">dense float32, mean-centre, unit-variance</w:t>
            </w:r>
          </w:p>
        </w:tc>
      </w:tr>
      <w:tr>
        <w:tc>
          <w:tcPr/>
          <w:p>
            <w:pPr>
              <w:pStyle w:val="Compact"/>
              <w:jc w:val="right"/>
            </w:pPr>
            <w:r>
              <w:t xml:space="preserve">6</w:t>
            </w:r>
          </w:p>
        </w:tc>
        <w:tc>
          <w:tcPr/>
          <w:p>
            <w:pPr>
              <w:pStyle w:val="Compact"/>
              <w:jc w:val="left"/>
            </w:pPr>
            <w:r>
              <w:t xml:space="preserve">PCA</w:t>
            </w:r>
          </w:p>
        </w:tc>
        <w:tc>
          <w:tcPr/>
          <w:p>
            <w:pPr>
              <w:pStyle w:val="Compact"/>
              <w:jc w:val="left"/>
            </w:pPr>
            <w:r>
              <w:t xml:space="preserve">50 components, seed = 42</w:t>
            </w:r>
          </w:p>
        </w:tc>
        <w:tc>
          <w:tcPr/>
          <w:p>
            <w:pPr>
              <w:pStyle w:val="Compact"/>
              <w:jc w:val="left"/>
            </w:pPr>
            <w:r>
              <w:t xml:space="preserve">Truncated SVD</w:t>
            </w:r>
          </w:p>
        </w:tc>
      </w:tr>
      <w:tr>
        <w:tc>
          <w:tcPr/>
          <w:p>
            <w:pPr>
              <w:pStyle w:val="Compact"/>
              <w:jc w:val="right"/>
            </w:pPr>
            <w:r>
              <w:t xml:space="preserve">7</w:t>
            </w:r>
          </w:p>
        </w:tc>
        <w:tc>
          <w:tcPr/>
          <w:p>
            <w:pPr>
              <w:pStyle w:val="Compact"/>
              <w:jc w:val="left"/>
            </w:pPr>
            <w:r>
              <w:t xml:space="preserve">Neighbour graph</w:t>
            </w:r>
          </w:p>
        </w:tc>
        <w:tc>
          <w:tcPr/>
          <w:p>
            <w:pPr>
              <w:pStyle w:val="Compact"/>
              <w:jc w:val="left"/>
            </w:pPr>
            <m:oMath>
              <m:r>
                <m:t>k</m:t>
              </m:r>
            </m:oMath>
            <w:r>
              <w:t xml:space="preserve"> </w:t>
            </w:r>
            <w:r>
              <w:t xml:space="preserve">= 15, 50 PCs, seed = 42</w:t>
            </w:r>
          </w:p>
        </w:tc>
        <w:tc>
          <w:tcPr/>
          <w:p>
            <w:pPr>
              <w:pStyle w:val="Compact"/>
              <w:jc w:val="left"/>
            </w:pPr>
            <m:oMath>
              <m:r>
                <m:t>k</m:t>
              </m:r>
            </m:oMath>
            <w:r>
              <w:t xml:space="preserve">-NN in PCA space</w:t>
            </w:r>
          </w:p>
        </w:tc>
      </w:tr>
      <w:tr>
        <w:tc>
          <w:tcPr/>
          <w:p>
            <w:pPr>
              <w:pStyle w:val="Compact"/>
              <w:jc w:val="right"/>
            </w:pPr>
            <w:r>
              <w:t xml:space="preserve">8</w:t>
            </w:r>
          </w:p>
        </w:tc>
        <w:tc>
          <w:tcPr/>
          <w:p>
            <w:pPr>
              <w:pStyle w:val="Compact"/>
              <w:jc w:val="left"/>
            </w:pPr>
            <w:r>
              <w:t xml:space="preserve">Leiden clustering</w:t>
            </w:r>
          </w:p>
        </w:tc>
        <w:tc>
          <w:tcPr/>
          <w:p>
            <w:pPr>
              <w:pStyle w:val="Compact"/>
              <w:jc w:val="left"/>
            </w:pPr>
            <m:oMath>
              <m:r>
                <m:t>r</m:t>
              </m:r>
              <m:r>
                <m:rPr>
                  <m:sty m:val="p"/>
                </m:rPr>
                <m:t>∈</m:t>
              </m:r>
              <m:r>
                <m:rPr>
                  <m:sty m:val="p"/>
                </m:rPr>
                <m:t>{</m:t>
              </m:r>
              <m:r>
                <m:t>0.5</m:t>
              </m:r>
              <m:r>
                <m:rPr>
                  <m:sty m:val="p"/>
                </m:rPr>
                <m:t>,</m:t>
              </m:r>
              <m:r>
                <m:t>1.0</m:t>
              </m:r>
              <m:r>
                <m:rPr>
                  <m:sty m:val="p"/>
                </m:rPr>
                <m:t>,</m:t>
              </m:r>
              <m:r>
                <m:t>1.5</m:t>
              </m:r>
              <m:r>
                <m:rPr>
                  <m:sty m:val="p"/>
                </m:rPr>
                <m:t>}</m:t>
              </m:r>
            </m:oMath>
            <w:r>
              <w:t xml:space="preserve">, seed = 42</w:t>
            </w:r>
          </w:p>
        </w:tc>
        <w:tc>
          <w:tcPr/>
          <w:p>
            <w:pPr>
              <w:pStyle w:val="Compact"/>
              <w:jc w:val="left"/>
            </w:pPr>
            <w:r>
              <w:t xml:space="preserve">igraph (CPU) / cuGraph (GPU)</w:t>
            </w:r>
            <w:r>
              <w:t xml:space="preserve"> </w:t>
            </w:r>
            <w:r>
              <w:t xml:space="preserve">(Traag, Waltman, and Eck 2019)</w:t>
            </w:r>
          </w:p>
        </w:tc>
      </w:tr>
      <w:tr>
        <w:tc>
          <w:tcPr/>
          <w:p>
            <w:pPr>
              <w:pStyle w:val="Compact"/>
              <w:jc w:val="right"/>
            </w:pPr>
            <w:r>
              <w:t xml:space="preserve">9</w:t>
            </w:r>
          </w:p>
        </w:tc>
        <w:tc>
          <w:tcPr/>
          <w:p>
            <w:pPr>
              <w:pStyle w:val="Compact"/>
              <w:jc w:val="left"/>
            </w:pPr>
            <w:r>
              <w:t xml:space="preserve">UMAP</w:t>
            </w:r>
          </w:p>
        </w:tc>
        <w:tc>
          <w:tcPr/>
          <w:p>
            <w:pPr>
              <w:pStyle w:val="Compact"/>
              <w:jc w:val="left"/>
            </w:pPr>
            <w:r>
              <w:t xml:space="preserve">2 components, seed = 42</w:t>
            </w:r>
          </w:p>
        </w:tc>
        <w:tc>
          <w:tcPr/>
          <w:p>
            <w:pPr>
              <w:pStyle w:val="Compact"/>
              <w:jc w:val="left"/>
            </w:pPr>
            <w:r>
              <w:t xml:space="preserve">2D embedding</w:t>
            </w:r>
            <w:r>
              <w:t xml:space="preserve"> </w:t>
            </w:r>
            <w:r>
              <w:t xml:space="preserve">(McInnes et al. 2018)</w:t>
            </w:r>
          </w:p>
        </w:tc>
      </w:tr>
      <w:tr>
        <w:tc>
          <w:tcPr/>
          <w:p>
            <w:pPr>
              <w:pStyle w:val="Compact"/>
              <w:jc w:val="right"/>
            </w:pPr>
            <w:r>
              <w:t xml:space="preserve">10</w:t>
            </w:r>
          </w:p>
        </w:tc>
        <w:tc>
          <w:tcPr/>
          <w:p>
            <w:pPr>
              <w:pStyle w:val="Compact"/>
              <w:jc w:val="left"/>
            </w:pPr>
            <w:r>
              <w:t xml:space="preserve">DE testing</w:t>
            </w:r>
          </w:p>
        </w:tc>
        <w:tc>
          <w:tcPr/>
          <w:p>
            <w:pPr>
              <w:pStyle w:val="Compact"/>
              <w:jc w:val="left"/>
            </w:pPr>
            <w:r>
              <w:t xml:space="preserve">Wilcoxon, one-vs-rest,</w:t>
            </w:r>
            <w:r>
              <w:t xml:space="preserve"> </w:t>
            </w:r>
            <w:r>
              <w:rPr>
                <w:rStyle w:val="VerbatimChar"/>
              </w:rPr>
              <w:t xml:space="preserve">use_raw</w:t>
            </w:r>
            <w:r>
              <w:t xml:space="preserve"> </w:t>
            </w:r>
            <w:r>
              <w:t xml:space="preserve">= True</w:t>
            </w:r>
          </w:p>
        </w:tc>
        <w:tc>
          <w:tcPr/>
          <w:p>
            <w:pPr>
              <w:pStyle w:val="Compact"/>
              <w:jc w:val="left"/>
            </w:pPr>
            <w:r>
              <w:t xml:space="preserve">On Leiden</w:t>
            </w:r>
            <w:r>
              <w:t xml:space="preserve"> </w:t>
            </w:r>
            <m:oMath>
              <m:r>
                <m:t>r</m:t>
              </m:r>
            </m:oMath>
            <w:r>
              <w:t xml:space="preserve"> </w:t>
            </w:r>
            <w:r>
              <w:t xml:space="preserve">= 1.0 clusters</w:t>
            </w:r>
            <w:r>
              <w:t xml:space="preserve"> </w:t>
            </w:r>
            <w:r>
              <w:t xml:space="preserve">(Soneson and Robinson 2018)</w:t>
            </w:r>
          </w:p>
        </w:tc>
      </w:tr>
    </w:tbl>
    <w:p>
      <w:pPr>
        <w:pStyle w:val="BodyText"/>
      </w:pPr>
      <w:r>
        <w:t xml:space="preserve">For the CPU pipeline, threading was maximised by setting</w:t>
      </w:r>
      <w:r>
        <w:t xml:space="preserve"> </w:t>
      </w:r>
      <w:r>
        <w:rPr>
          <w:rStyle w:val="VerbatimChar"/>
        </w:rPr>
        <w:t xml:space="preserve">OMP_NUM_THREADS</w:t>
      </w:r>
      <w:r>
        <w:t xml:space="preserve">,</w:t>
      </w:r>
      <w:r>
        <w:t xml:space="preserve"> </w:t>
      </w:r>
      <w:r>
        <w:rPr>
          <w:rStyle w:val="VerbatimChar"/>
        </w:rPr>
        <w:t xml:space="preserve">MKL_NUM_THREADS</w:t>
      </w:r>
      <w:r>
        <w:t xml:space="preserve">,</w:t>
      </w:r>
      <w:r>
        <w:t xml:space="preserve"> </w:t>
      </w:r>
      <w:r>
        <w:rPr>
          <w:rStyle w:val="VerbatimChar"/>
        </w:rPr>
        <w:t xml:space="preserve">OPENBLAS_NUM_THREADS</w:t>
      </w:r>
      <w:r>
        <w:t xml:space="preserve">, and</w:t>
      </w:r>
      <w:r>
        <w:t xml:space="preserve"> </w:t>
      </w:r>
      <w:r>
        <w:rPr>
          <w:rStyle w:val="VerbatimChar"/>
        </w:rPr>
        <w:t xml:space="preserve">NUMBA_NUM_THREADS</w:t>
      </w:r>
      <w:r>
        <w:t xml:space="preserve"> </w:t>
      </w:r>
      <w:r>
        <w:t xml:space="preserve">to 100 (the usable core count) before importing any numerical library.</w:t>
      </w:r>
      <w:r>
        <w:t xml:space="preserve"> </w:t>
      </w:r>
      <w:r>
        <w:t xml:space="preserve">For single-GPU runs, RAPIDS Memory Manager (RMM) was initialised with a pool allocator and a GPU warmup step was executed to absorb CUDA context initialisation overhead before timing.</w:t>
      </w:r>
    </w:p>
    <w:bookmarkEnd w:id="22"/>
    <w:bookmarkStart w:id="23" w:name="multi-gpu-pipeline"/>
    <w:p>
      <w:pPr>
        <w:pStyle w:val="Heading2"/>
      </w:pPr>
      <w:r>
        <w:rPr>
          <w:rStyle w:val="SectionNumber"/>
        </w:rPr>
        <w:t xml:space="preserve">2.3</w:t>
      </w:r>
      <w:r>
        <w:tab/>
      </w:r>
      <w:r>
        <w:t xml:space="preserve">Multi-GPU pipeline</w:t>
      </w:r>
    </w:p>
    <w:p>
      <w:pPr>
        <w:pStyle w:val="FirstParagraph"/>
      </w:pPr>
      <w:r>
        <w:t xml:space="preserve">For datasets exceeding single-GPU VRAM capacity (500k and 1.3M cells), we employed a hybrid multi-GPU pipeline using Dask-CUDA</w:t>
      </w:r>
      <w:r>
        <w:t xml:space="preserve"> </w:t>
      </w:r>
      <w:r>
        <w:t xml:space="preserve">(Rocklin 2015)</w:t>
      </w:r>
      <w:r>
        <w:t xml:space="preserve">.</w:t>
      </w:r>
      <w:r>
        <w:t xml:space="preserve"> </w:t>
      </w:r>
      <w:r>
        <w:t xml:space="preserve">Preprocessing steps (data loading, QC, normalisation, HVG selection) executed on CPU, as they are I/O- or memory-bound and do not benefit from GPU parallelism.</w:t>
      </w:r>
      <w:r>
        <w:t xml:space="preserve"> </w:t>
      </w:r>
      <w:r>
        <w:t xml:space="preserve">PCA and neighbour graph construction were distributed across</w:t>
      </w:r>
      <w:r>
        <w:t xml:space="preserve"> </w:t>
      </w:r>
      <m:oMath>
        <m:r>
          <m:t>N</m:t>
        </m:r>
      </m:oMath>
      <w:r>
        <w:t xml:space="preserve"> </w:t>
      </w:r>
      <w:r>
        <w:t xml:space="preserve">GPUs (</w:t>
      </w:r>
      <m:oMath>
        <m:r>
          <m:t>N</m:t>
        </m:r>
        <m:r>
          <m:rPr>
            <m:sty m:val="p"/>
          </m:rPr>
          <m:t>∈</m:t>
        </m:r>
        <m:r>
          <m:rPr>
            <m:sty m:val="p"/>
          </m:rPr>
          <m:t>{</m:t>
        </m:r>
        <m:r>
          <m:t>2</m:t>
        </m:r>
        <m:r>
          <m:rPr>
            <m:sty m:val="p"/>
          </m:rPr>
          <m:t>,</m:t>
        </m:r>
        <m:r>
          <m:t>4</m:t>
        </m:r>
        <m:r>
          <m:rPr>
            <m:sty m:val="p"/>
          </m:rPr>
          <m:t>,</m:t>
        </m:r>
        <m:r>
          <m:t>8</m:t>
        </m:r>
        <m:r>
          <m:rPr>
            <m:sty m:val="p"/>
          </m:rPr>
          <m:t>}</m:t>
        </m:r>
      </m:oMath>
      <w:r>
        <w:t xml:space="preserve">) via Dask workers, each with a 10 GB initial / 70 GB maximum RMM pool.</w:t>
      </w:r>
      <w:r>
        <w:t xml:space="preserve"> </w:t>
      </w:r>
      <w:r>
        <w:t xml:space="preserve">Scaling, Leiden clustering, UMAP, and DE testing executed on a single GPU (device 0), as they operate on the reduced PCA embedding or require global graph access.</w:t>
      </w:r>
    </w:p>
    <w:bookmarkEnd w:id="23"/>
    <w:bookmarkStart w:id="24" w:name="concordance-metrics"/>
    <w:p>
      <w:pPr>
        <w:pStyle w:val="Heading2"/>
      </w:pPr>
      <w:r>
        <w:rPr>
          <w:rStyle w:val="SectionNumber"/>
        </w:rPr>
        <w:t xml:space="preserve">2.4</w:t>
      </w:r>
      <w:r>
        <w:tab/>
      </w:r>
      <w:r>
        <w:t xml:space="preserve">Concordance metrics</w:t>
      </w:r>
    </w:p>
    <w:p>
      <w:pPr>
        <w:pStyle w:val="FirstParagraph"/>
      </w:pPr>
      <w:r>
        <w:t xml:space="preserve">To assess whether the GPU pipeline produces biologically equivalent results, we computed six concordance metrics comparing CPU and GPU outputs on the 10,000-cell dataset (Table 5).</w:t>
      </w:r>
    </w:p>
    <w:p>
      <w:pPr>
        <w:pStyle w:val="TableCaption"/>
      </w:pPr>
      <w:r>
        <w:rPr>
          <w:bCs/>
          <w:b/>
        </w:rPr>
        <w:t xml:space="preserve">Table 5.</w:t>
      </w:r>
      <w:r>
        <w:t xml:space="preserve"> </w:t>
      </w:r>
      <w:r>
        <w:t xml:space="preserve">Concordance metrics used to compare CPU and GPU pipeline outputs. {#tbl:concordance}</w:t>
      </w:r>
    </w:p>
    <w:tbl>
      <w:tblPr>
        <w:tblStyle w:val="Table"/>
        <w:tblW w:type="pct" w:w="5000"/>
        <w:tblLook w:firstRow="1" w:lastRow="0" w:firstColumn="0" w:lastColumn="0" w:noHBand="0" w:noVBand="0" w:val="0020"/>
        <w:jc w:val="start"/>
        <w:tblCaption w:val="Table 5. Concordance metrics used to compare CPU and GPU pipeline outputs. {#tbl:concordance}"/>
      </w:tblPr>
      <w:tblGrid>
        <w:gridCol w:w="2346"/>
        <w:gridCol w:w="3520"/>
        <w:gridCol w:w="2053"/>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Scope</w:t>
            </w:r>
          </w:p>
        </w:tc>
      </w:tr>
      <w:tr>
        <w:tc>
          <w:tcPr/>
          <w:p>
            <w:pPr>
              <w:pStyle w:val="Compact"/>
              <w:jc w:val="left"/>
            </w:pPr>
            <w:r>
              <w:t xml:space="preserve">HVG Jaccard</w:t>
            </w:r>
          </w:p>
        </w:tc>
        <w:tc>
          <w:tcPr/>
          <w:p>
            <w:pPr>
              <w:pStyle w:val="Compact"/>
              <w:jc w:val="left"/>
            </w:pPr>
            <m:oMath>
              <m:d>
                <m:dPr>
                  <m:begChr m:val="|"/>
                  <m:endChr m:val="|"/>
                  <m:sepChr m:val=""/>
                  <m:grow/>
                </m:dPr>
                <m:e>
                  <m:sSub>
                    <m:e>
                      <m:r>
                        <m:t>S</m:t>
                      </m:r>
                    </m:e>
                    <m:sub>
                      <m:r>
                        <m:rPr>
                          <m:nor/>
                          <m:sty m:val="p"/>
                        </m:rPr>
                        <m:t>CPU</m:t>
                      </m:r>
                    </m:sub>
                  </m:sSub>
                  <m:r>
                    <m:rPr>
                      <m:sty m:val="p"/>
                    </m:rPr>
                    <m:t>∩</m:t>
                  </m:r>
                  <m:sSub>
                    <m:e>
                      <m:r>
                        <m:t>S</m:t>
                      </m:r>
                    </m:e>
                    <m:sub>
                      <m:r>
                        <m:rPr>
                          <m:nor/>
                          <m:sty m:val="p"/>
                        </m:rPr>
                        <m:t>GPU</m:t>
                      </m:r>
                    </m:sub>
                  </m:sSub>
                </m:e>
              </m:d>
              <m:r>
                <m:rPr>
                  <m:sty m:val="p"/>
                </m:rPr>
                <m:t>/</m:t>
              </m:r>
              <m:d>
                <m:dPr>
                  <m:begChr m:val="|"/>
                  <m:endChr m:val="|"/>
                  <m:sepChr m:val=""/>
                  <m:grow/>
                </m:dPr>
                <m:e>
                  <m:sSub>
                    <m:e>
                      <m:r>
                        <m:t>S</m:t>
                      </m:r>
                    </m:e>
                    <m:sub>
                      <m:r>
                        <m:rPr>
                          <m:nor/>
                          <m:sty m:val="p"/>
                        </m:rPr>
                        <m:t>CPU</m:t>
                      </m:r>
                    </m:sub>
                  </m:sSub>
                  <m:r>
                    <m:rPr>
                      <m:sty m:val="p"/>
                    </m:rPr>
                    <m:t>∪</m:t>
                  </m:r>
                  <m:sSub>
                    <m:e>
                      <m:r>
                        <m:t>S</m:t>
                      </m:r>
                    </m:e>
                    <m:sub>
                      <m:r>
                        <m:rPr>
                          <m:nor/>
                          <m:sty m:val="p"/>
                        </m:rPr>
                        <m:t>GPU</m:t>
                      </m:r>
                    </m:sub>
                  </m:sSub>
                </m:e>
              </m:d>
            </m:oMath>
            <w:r>
              <w:t xml:space="preserve"> </w:t>
            </w:r>
            <w:r>
              <w:t xml:space="preserve">for 2,000 HVGs</w:t>
            </w:r>
          </w:p>
        </w:tc>
        <w:tc>
          <w:tcPr/>
          <w:p>
            <w:pPr>
              <w:pStyle w:val="Compact"/>
              <w:jc w:val="left"/>
            </w:pPr>
            <w:r>
              <w:t xml:space="preserve">Feature selection</w:t>
            </w:r>
          </w:p>
        </w:tc>
      </w:tr>
      <w:tr>
        <w:tc>
          <w:tcPr/>
          <w:p>
            <w:pPr>
              <w:pStyle w:val="Compact"/>
              <w:jc w:val="left"/>
            </w:pPr>
            <w:r>
              <w:t xml:space="preserve">PCA loading</w:t>
            </w:r>
            <w:r>
              <w:t xml:space="preserve"> </w:t>
            </w:r>
            <m:oMath>
              <m:d>
                <m:dPr>
                  <m:begChr m:val="|"/>
                  <m:endChr m:val="|"/>
                  <m:sepChr m:val=""/>
                  <m:grow/>
                </m:dPr>
                <m:e>
                  <m:r>
                    <m:t>ρ</m:t>
                  </m:r>
                </m:e>
              </m:d>
            </m:oMath>
          </w:p>
        </w:tc>
        <w:tc>
          <w:tcPr/>
          <w:p>
            <w:pPr>
              <w:pStyle w:val="Compact"/>
              <w:jc w:val="left"/>
            </w:pPr>
            <w:r>
              <w:t xml:space="preserve">Mean absolute Spearman</w:t>
            </w:r>
            <w:r>
              <w:t xml:space="preserve"> </w:t>
            </w:r>
            <m:oMath>
              <m:r>
                <m:t>ρ</m:t>
              </m:r>
            </m:oMath>
            <w:r>
              <w:t xml:space="preserve"> </w:t>
            </w:r>
            <w:r>
              <w:t xml:space="preserve">across first 10 PC loadings, accounting for sign flips</w:t>
            </w:r>
          </w:p>
        </w:tc>
        <w:tc>
          <w:tcPr/>
          <w:p>
            <w:pPr>
              <w:pStyle w:val="Compact"/>
              <w:jc w:val="left"/>
            </w:pPr>
            <w:r>
              <w:t xml:space="preserve">Dimensionality reduction</w:t>
            </w:r>
          </w:p>
        </w:tc>
      </w:tr>
      <w:tr>
        <w:tc>
          <w:tcPr/>
          <w:p>
            <w:pPr>
              <w:pStyle w:val="Compact"/>
              <w:jc w:val="left"/>
            </w:pPr>
            <m:oMath>
              <m:r>
                <m:t>k</m:t>
              </m:r>
            </m:oMath>
            <w:r>
              <w:t xml:space="preserve">NN Jaccard</w:t>
            </w:r>
          </w:p>
        </w:tc>
        <w:tc>
          <w:tcPr/>
          <w:p>
            <w:pPr>
              <w:pStyle w:val="Compact"/>
              <w:jc w:val="left"/>
            </w:pPr>
            <w:r>
              <w:t xml:space="preserve">Mean per-cell Jaccard overlap of</w:t>
            </w:r>
            <w:r>
              <w:t xml:space="preserve"> </w:t>
            </w:r>
            <m:oMath>
              <m:r>
                <m:t>k</m:t>
              </m:r>
            </m:oMath>
            <w:r>
              <w:t xml:space="preserve">-nearest-neighbour sets (</w:t>
            </w:r>
            <m:oMath>
              <m:r>
                <m:t>k</m:t>
              </m:r>
            </m:oMath>
            <w:r>
              <w:t xml:space="preserve"> </w:t>
            </w:r>
            <w:r>
              <w:t xml:space="preserve">= 15)</w:t>
            </w:r>
          </w:p>
        </w:tc>
        <w:tc>
          <w:tcPr/>
          <w:p>
            <w:pPr>
              <w:pStyle w:val="Compact"/>
              <w:jc w:val="left"/>
            </w:pPr>
            <w:r>
              <w:t xml:space="preserve">Graph structure</w:t>
            </w:r>
          </w:p>
        </w:tc>
      </w:tr>
      <w:tr>
        <w:tc>
          <w:tcPr/>
          <w:p>
            <w:pPr>
              <w:pStyle w:val="Compact"/>
              <w:jc w:val="left"/>
            </w:pPr>
            <w:r>
              <w:t xml:space="preserve">ARI</w:t>
            </w:r>
          </w:p>
        </w:tc>
        <w:tc>
          <w:tcPr/>
          <w:p>
            <w:pPr>
              <w:pStyle w:val="Compact"/>
              <w:jc w:val="left"/>
            </w:pPr>
            <w:r>
              <w:t xml:space="preserve">Adjusted Rand Index of Leiden cluster assignments, adjusted for chance</w:t>
            </w:r>
            <w:r>
              <w:t xml:space="preserve"> </w:t>
            </w:r>
            <w:r>
              <w:t xml:space="preserve">(Hubert and Arabie 1985)</w:t>
            </w:r>
          </w:p>
        </w:tc>
        <w:tc>
          <w:tcPr/>
          <w:p>
            <w:pPr>
              <w:pStyle w:val="Compact"/>
              <w:jc w:val="left"/>
            </w:pPr>
            <w:r>
              <w:t xml:space="preserve">Clustering</w:t>
            </w:r>
          </w:p>
        </w:tc>
      </w:tr>
      <w:tr>
        <w:tc>
          <w:tcPr/>
          <w:p>
            <w:pPr>
              <w:pStyle w:val="Compact"/>
              <w:jc w:val="left"/>
            </w:pPr>
            <w:r>
              <w:t xml:space="preserve">NMI</w:t>
            </w:r>
          </w:p>
        </w:tc>
        <w:tc>
          <w:tcPr/>
          <w:p>
            <w:pPr>
              <w:pStyle w:val="Compact"/>
              <w:jc w:val="left"/>
            </w:pPr>
            <w:r>
              <w:t xml:space="preserve">Normalised Mutual Information of cluster assignments</w:t>
            </w:r>
            <w:r>
              <w:t xml:space="preserve"> </w:t>
            </w:r>
            <w:r>
              <w:t xml:space="preserve">(Vinh, Epps, and Bailey 2010)</w:t>
            </w:r>
          </w:p>
        </w:tc>
        <w:tc>
          <w:tcPr/>
          <w:p>
            <w:pPr>
              <w:pStyle w:val="Compact"/>
              <w:jc w:val="left"/>
            </w:pPr>
            <w:r>
              <w:t xml:space="preserve">Clustering</w:t>
            </w:r>
          </w:p>
        </w:tc>
      </w:tr>
      <w:tr>
        <w:tc>
          <w:tcPr/>
          <w:p>
            <w:pPr>
              <w:pStyle w:val="Compact"/>
              <w:jc w:val="left"/>
            </w:pPr>
            <w:r>
              <w:t xml:space="preserve">DE logFC</w:t>
            </w:r>
            <w:r>
              <w:t xml:space="preserve"> </w:t>
            </w:r>
            <m:oMath>
              <m:r>
                <m:t>ρ</m:t>
              </m:r>
            </m:oMath>
          </w:p>
        </w:tc>
        <w:tc>
          <w:tcPr/>
          <w:p>
            <w:pPr>
              <w:pStyle w:val="Compact"/>
              <w:jc w:val="left"/>
            </w:pPr>
            <w:r>
              <w:t xml:space="preserve">Spearman</w:t>
            </w:r>
            <w:r>
              <w:t xml:space="preserve"> </w:t>
            </w:r>
            <m:oMath>
              <m:r>
                <m:t>ρ</m:t>
              </m:r>
            </m:oMath>
            <w:r>
              <w:t xml:space="preserve"> </w:t>
            </w:r>
            <w:r>
              <w:t xml:space="preserve">of log-fold-changes for top 100 DE genes per cluster, after Hungarian matching</w:t>
            </w:r>
          </w:p>
        </w:tc>
        <w:tc>
          <w:tcPr/>
          <w:p>
            <w:pPr>
              <w:pStyle w:val="Compact"/>
              <w:jc w:val="left"/>
            </w:pPr>
            <w:r>
              <w:t xml:space="preserve">Differential expression</w:t>
            </w:r>
          </w:p>
        </w:tc>
      </w:tr>
    </w:tbl>
    <w:bookmarkEnd w:id="24"/>
    <w:bookmarkStart w:id="25" w:name="stress-test-maximum-capacity"/>
    <w:p>
      <w:pPr>
        <w:pStyle w:val="Heading2"/>
      </w:pPr>
      <w:r>
        <w:rPr>
          <w:rStyle w:val="SectionNumber"/>
        </w:rPr>
        <w:t xml:space="preserve">2.5</w:t>
      </w:r>
      <w:r>
        <w:tab/>
      </w:r>
      <w:r>
        <w:t xml:space="preserve">Stress test: maximum capacity</w:t>
      </w:r>
    </w:p>
    <w:p>
      <w:pPr>
        <w:pStyle w:val="FirstParagraph"/>
      </w:pPr>
      <w:r>
        <w:t xml:space="preserve">To determine the maximum dataset size processable on a single DGX H100 node, we implemented a memory-optimised pipeline variant.</w:t>
      </w:r>
      <w:r>
        <w:t xml:space="preserve"> </w:t>
      </w:r>
      <w:r>
        <w:t xml:space="preserve">The key optimisations were: (i) scaling on CPU rather than GPU (leveraging 2 TB system RAM); (ii) a distributed covariance PCA that scatters the scaled matrix across all 8 GPUs, computes local covariance contributions (</w:t>
      </w:r>
      <m:oMath>
        <m:sSubSup>
          <m:e>
            <m:r>
              <m:rPr>
                <m:sty m:val="b"/>
              </m:rPr>
              <m:t>X</m:t>
            </m:r>
          </m:e>
          <m:sub>
            <m:r>
              <m:t>i</m:t>
            </m:r>
          </m:sub>
          <m:sup>
            <m:r>
              <m:rPr>
                <m:sty m:val="p"/>
              </m:rPr>
              <m:t>⊤</m:t>
            </m:r>
          </m:sup>
        </m:sSubSup>
        <m:sSub>
          <m:e>
            <m:r>
              <m:rPr>
                <m:sty m:val="b"/>
              </m:rPr>
              <m:t>X</m:t>
            </m:r>
          </m:e>
          <m:sub>
            <m:r>
              <m:t>i</m:t>
            </m:r>
          </m:sub>
        </m:sSub>
      </m:oMath>
      <w:r>
        <w:t xml:space="preserve">, each 2,000$</w:t>
      </w:r>
      <w:r>
        <w:t xml:space="preserve">$2,000), sums and eigendecomposes on GPU 0, then projects locally—mathematically equivalent to standard PCA via the covariance method; (iii) lean GPU transfer that replaces the dense matrix with an empty sparse placeholder after PCA, since downstream steps (neighbours, clustering, UMAP) only require the PCA embedding; and (iv) a reduced RMM pool (2 GB per worker).</w:t>
      </w:r>
      <w:r>
        <w:t xml:space="preserve"> </w:t>
      </w:r>
      <w:r>
        <w:t xml:space="preserve">We conducted a binary search from 3.4M to 13.7M cells to identify the failure point.</w:t>
      </w:r>
    </w:p>
    <w:bookmarkEnd w:id="25"/>
    <w:bookmarkStart w:id="26" w:name="differential-expression-at-scale"/>
    <w:p>
      <w:pPr>
        <w:pStyle w:val="Heading2"/>
      </w:pPr>
      <w:r>
        <w:rPr>
          <w:rStyle w:val="SectionNumber"/>
        </w:rPr>
        <w:t xml:space="preserve">2.6</w:t>
      </w:r>
      <w:r>
        <w:tab/>
      </w:r>
      <w:r>
        <w:t xml:space="preserve">Differential expression at scale</w:t>
      </w:r>
    </w:p>
    <w:p>
      <w:pPr>
        <w:pStyle w:val="FirstParagraph"/>
      </w:pPr>
      <w:r>
        <w:t xml:space="preserve">At 3.4 million cells$</w:t>
      </w:r>
      <m:oMath>
        <m:r>
          <m:t>41</m:t>
        </m:r>
        <m:r>
          <m:rPr>
            <m:sty m:val="p"/>
          </m:rPr>
          <m:t>,</m:t>
        </m:r>
        <m:r>
          <m:t>000</m:t>
        </m:r>
        <m:r>
          <m:t>g</m:t>
        </m:r>
        <m:r>
          <m:t>e</m:t>
        </m:r>
        <m:r>
          <m:t>n</m:t>
        </m:r>
        <m:r>
          <m:t>e</m:t>
        </m:r>
        <m:r>
          <m:t>s</m:t>
        </m:r>
      </m:oMath>
      <w:r>
        <w:t xml:space="preserve">$81 Leiden clusters, the raw count matrix (</w:t>
      </w:r>
      <w:r>
        <w:rPr>
          <w:rStyle w:val="VerbatimChar"/>
        </w:rPr>
        <w:t xml:space="preserve">adata.raw.X</w:t>
      </w:r>
      <w:r>
        <w:t xml:space="preserve">) occupies approximately 121 GB as a sparse CSR matrix, exceeding single-GPU VRAM.</w:t>
      </w:r>
      <w:r>
        <w:t xml:space="preserve"> </w:t>
      </w:r>
      <w:r>
        <w:t xml:space="preserve">We evaluated seven DE strategies in a factorial design crossing test type (Wilcoxon,</w:t>
      </w:r>
      <w:r>
        <w:t xml:space="preserve"> </w:t>
      </w:r>
      <m:oMath>
        <m:r>
          <m:t>t</m:t>
        </m:r>
      </m:oMath>
      <w:r>
        <w:t xml:space="preserve">-test, pseudo-bulk) with GPU strategy (none, scatter-by-genes across 8 GPUs, chunk-and-stream on 1 GPU).</w:t>
      </w:r>
      <w:r>
        <w:t xml:space="preserve"> </w:t>
      </w:r>
      <w:r>
        <w:t xml:space="preserve">Gene chunks of 500 were used for GPU strategies (500$</w:t>
      </w:r>
      <m:oMath>
        <m:r>
          <m:t>3.4</m:t>
        </m:r>
        <m:r>
          <m:t>M</m:t>
        </m:r>
      </m:oMath>
      <w:r>
        <w:t xml:space="preserve">$4 bytes</w:t>
      </w:r>
      <w:r>
        <w:t xml:space="preserve"> </w:t>
      </w:r>
      <m:oMath>
        <m:r>
          <m:rPr>
            <m:sty m:val="p"/>
          </m:rPr>
          <m:t>≈</m:t>
        </m:r>
      </m:oMath>
      <w:r>
        <w:t xml:space="preserve"> </w:t>
      </w:r>
      <w:r>
        <w:t xml:space="preserve">6.8 GB per chunk, fitting within 80 GB VRAM).</w:t>
      </w:r>
      <w:r>
        <w:t xml:space="preserve"> </w:t>
      </w:r>
      <w:r>
        <w:t xml:space="preserve">Pseudo-bulk aggregation summed raw counts by donor</w:t>
      </w:r>
      <m:oMath>
        <m:r>
          <m:rPr>
            <m:sty m:val="p"/>
          </m:rPr>
          <m:t>×</m:t>
        </m:r>
      </m:oMath>
      <w:r>
        <w:t xml:space="preserve">cluster, normalised to counts per million, log-transformed, and applied the Wilcoxon test on the aggregated matrix</w:t>
      </w:r>
      <w:r>
        <w:t xml:space="preserve"> </w:t>
      </w:r>
      <w:r>
        <w:t xml:space="preserve">(Squair et al. 2021)</w:t>
      </w:r>
      <w:r>
        <w:t xml:space="preserve">.</w:t>
      </w:r>
    </w:p>
    <w:bookmarkEnd w:id="26"/>
    <w:bookmarkStart w:id="27" w:name="hardware-and-software-environment"/>
    <w:p>
      <w:pPr>
        <w:pStyle w:val="Heading2"/>
      </w:pPr>
      <w:r>
        <w:rPr>
          <w:rStyle w:val="SectionNumber"/>
        </w:rPr>
        <w:t xml:space="preserve">2.7</w:t>
      </w:r>
      <w:r>
        <w:tab/>
      </w:r>
      <w:r>
        <w:t xml:space="preserve">Hardware and software environment</w:t>
      </w:r>
    </w:p>
    <w:p>
      <w:pPr>
        <w:pStyle w:val="FirstParagraph"/>
      </w:pPr>
      <w:r>
        <w:t xml:space="preserve">All benchmarks ran on a single node of the UPSCALE/CONVECS DGX H100 cluster at the University of Padova, comprising 8</w:t>
      </w:r>
      <m:oMath>
        <m:r>
          <m:rPr>
            <m:sty m:val="p"/>
          </m:rPr>
          <m:t>×</m:t>
        </m:r>
      </m:oMath>
      <w:r>
        <w:t xml:space="preserve">NVIDIA H100 80 GB SXM GPUs connected via NVLink 4.0, dual Intel Xeon Platinum 8480C CPUs (112 cores total), and 2 TB DDR5 RAM.</w:t>
      </w:r>
      <w:r>
        <w:t xml:space="preserve"> </w:t>
      </w:r>
      <w:r>
        <w:t xml:space="preserve">The software environment was encapsulated in a Singularity container built from the NVIDIA RAPIDS base image (</w:t>
      </w:r>
      <w:r>
        <w:rPr>
          <w:rStyle w:val="VerbatimChar"/>
        </w:rPr>
        <w:t xml:space="preserve">nvcr.io/nvidia/rapidsai/base:25.02-cuda12.8-py3.12</w:t>
      </w:r>
      <w:r>
        <w:t xml:space="preserve">).</w:t>
      </w:r>
      <w:r>
        <w:t xml:space="preserve"> </w:t>
      </w:r>
      <w:r>
        <w:t xml:space="preserve">Key software versions: Scanpy 1.12, rapids-singlecell 0.14.1, CuPy 13.6.0, Dask 2026.1.1, Dask-CUDA 26.2.0, Python 3.12.12.</w:t>
      </w:r>
      <w:r>
        <w:t xml:space="preserve"> </w:t>
      </w:r>
      <w:r>
        <w:t xml:space="preserve">Jobs were submitted via SLURM on a dedicated DGX H100 node (</w:t>
      </w:r>
      <w:r>
        <w:rPr>
          <w:rStyle w:val="VerbatimChar"/>
        </w:rPr>
        <w:t xml:space="preserve">poddgx02</w:t>
      </w:r>
      <w:r>
        <w:t xml:space="preserve">).</w:t>
      </w:r>
      <w:r>
        <w:t xml:space="preserve"> </w:t>
      </w:r>
      <w:r>
        <w:t xml:space="preserve">Each benchmark configuration was repeated five times; we report mean</w:t>
      </w:r>
      <w:r>
        <w:t xml:space="preserve"> </w:t>
      </w:r>
      <m:oMath>
        <m:r>
          <m:rPr>
            <m:sty m:val="p"/>
          </m:rPr>
          <m:t>±</m:t>
        </m:r>
      </m:oMath>
      <w:r>
        <w:t xml:space="preserve"> </w:t>
      </w:r>
      <w:r>
        <w:t xml:space="preserve">standard deviation.</w:t>
      </w:r>
    </w:p>
    <w:bookmarkEnd w:id="27"/>
    <w:bookmarkStart w:id="28" w:name="reproducibility"/>
    <w:p>
      <w:pPr>
        <w:pStyle w:val="Heading2"/>
      </w:pPr>
      <w:r>
        <w:rPr>
          <w:rStyle w:val="SectionNumber"/>
        </w:rPr>
        <w:t xml:space="preserve">2.8</w:t>
      </w:r>
      <w:r>
        <w:tab/>
      </w:r>
      <w:r>
        <w:t xml:space="preserve">Reproducibility</w:t>
      </w:r>
    </w:p>
    <w:p>
      <w:pPr>
        <w:pStyle w:val="FirstParagraph"/>
      </w:pPr>
      <w:r>
        <w:t xml:space="preserve">All code, Dockerfiles, SLURM submission scripts, and result JSON files are available at TODO_URL.</w:t>
      </w:r>
      <w:r>
        <w:t xml:space="preserve"> </w:t>
      </w:r>
      <w:r>
        <w:t xml:space="preserve">Random seeds were fixed at 42 for all stochastic operations (subsampling, PCA, Leiden, UMAP).</w:t>
      </w:r>
      <w:r>
        <w:t xml:space="preserve"> </w:t>
      </w:r>
      <w:r>
        <w:t xml:space="preserve">We note that GPU floating-point arithmetic is non-deterministic due to non-associative parallel reductions</w:t>
      </w:r>
      <w:r>
        <w:t xml:space="preserve"> </w:t>
      </w:r>
      <w:r>
        <w:t xml:space="preserve">(Shanmugavelu et al. 2024; Collange et al. 2015)</w:t>
      </w:r>
      <w:r>
        <w:t xml:space="preserve">, and quantify the resulting divergence through the concordance metrics above rather than expecting bit-identical outputs.</w:t>
      </w:r>
    </w:p>
    <w:bookmarkEnd w:id="28"/>
    <w:bookmarkEnd w:id="29"/>
    <w:bookmarkStart w:id="37" w:name="results"/>
    <w:p>
      <w:pPr>
        <w:pStyle w:val="Heading1"/>
      </w:pPr>
      <w:r>
        <w:rPr>
          <w:rStyle w:val="SectionNumber"/>
        </w:rPr>
        <w:t xml:space="preserve">3</w:t>
      </w:r>
      <w:r>
        <w:tab/>
      </w:r>
      <w:r>
        <w:t xml:space="preserve">Results</w:t>
      </w:r>
    </w:p>
    <w:bookmarkStart w:id="30" w:name="X5deb846e22ff09af319c56fd7e88eb7f627e069"/>
    <w:p>
      <w:pPr>
        <w:pStyle w:val="Heading2"/>
      </w:pPr>
      <w:r>
        <w:rPr>
          <w:rStyle w:val="SectionNumber"/>
        </w:rPr>
        <w:t xml:space="preserve">3.1</w:t>
      </w:r>
      <w:r>
        <w:tab/>
      </w:r>
      <w:r>
        <w:t xml:space="preserve">GPU acceleration achieves up to 120-fold end-to-end speedup</w:t>
      </w:r>
    </w:p>
    <w:p>
      <w:pPr>
        <w:pStyle w:val="FirstParagraph"/>
      </w:pPr>
      <w:r>
        <w:t xml:space="preserve">Table 1 summarises the benchmark results across all 23 pipeline–dataset–GPU configurations, each averaged over five repeats.</w:t>
      </w:r>
      <w:r>
        <w:t xml:space="preserve"> </w:t>
      </w:r>
      <w:r>
        <w:t xml:space="preserve">At 1.3 million cells, the 8-GPU pipeline completed the full analysis in 435.2</w:t>
      </w:r>
      <w:r>
        <w:t xml:space="preserve"> </w:t>
      </w:r>
      <m:oMath>
        <m:r>
          <m:rPr>
            <m:sty m:val="p"/>
          </m:rPr>
          <m:t>±</m:t>
        </m:r>
      </m:oMath>
      <w:r>
        <w:t xml:space="preserve"> </w:t>
      </w:r>
      <w:r>
        <w:t xml:space="preserve">16.2 s (7.3 min), compared with 52,056.2</w:t>
      </w:r>
      <w:r>
        <w:t xml:space="preserve"> </w:t>
      </w:r>
      <m:oMath>
        <m:r>
          <m:rPr>
            <m:sty m:val="p"/>
          </m:rPr>
          <m:t>±</m:t>
        </m:r>
      </m:oMath>
      <w:r>
        <w:t xml:space="preserve"> </w:t>
      </w:r>
      <w:r>
        <w:t xml:space="preserve">392.0 s (14.5 h) for the CPU pipeline—a</w:t>
      </w:r>
      <w:r>
        <w:t xml:space="preserve"> </w:t>
      </w:r>
      <w:r>
        <w:rPr>
          <w:bCs/>
          <w:b/>
        </w:rPr>
        <w:t xml:space="preserve">119.6-fold speedup</w:t>
      </w:r>
      <w:r>
        <w:t xml:space="preserve"> </w:t>
      </w:r>
      <w:r>
        <w:t xml:space="preserve">(Fig. 6).</w:t>
      </w:r>
      <w:r>
        <w:t xml:space="preserve"> </w:t>
      </w:r>
      <w:r>
        <w:t xml:space="preserve">Even at 10,000 cells, the single-GPU pipeline was 12-fold faster than the CPU baseline (3.3</w:t>
      </w:r>
      <w:r>
        <w:t xml:space="preserve"> </w:t>
      </w:r>
      <m:oMath>
        <m:r>
          <m:rPr>
            <m:sty m:val="p"/>
          </m:rPr>
          <m:t>±</m:t>
        </m:r>
      </m:oMath>
      <w:r>
        <w:t xml:space="preserve"> </w:t>
      </w:r>
      <w:r>
        <w:t xml:space="preserve">1.7 s vs 39.5</w:t>
      </w:r>
      <w:r>
        <w:t xml:space="preserve"> </w:t>
      </w:r>
      <m:oMath>
        <m:r>
          <m:rPr>
            <m:sty m:val="p"/>
          </m:rPr>
          <m:t>±</m:t>
        </m:r>
      </m:oMath>
      <w:r>
        <w:t xml:space="preserve"> </w:t>
      </w:r>
      <w:r>
        <w:t xml:space="preserve">10.2 s).</w:t>
      </w:r>
      <w:r>
        <w:t xml:space="preserve"> </w:t>
      </w:r>
      <w:r>
        <w:t xml:space="preserve">The speedup increased monotonically with dataset size: 33.6</w:t>
      </w:r>
      <m:oMath>
        <m:r>
          <m:rPr>
            <m:sty m:val="p"/>
          </m:rPr>
          <m:t>×</m:t>
        </m:r>
      </m:oMath>
      <w:r>
        <w:t xml:space="preserve"> </w:t>
      </w:r>
      <w:r>
        <w:t xml:space="preserve">at 50k, 43.7</w:t>
      </w:r>
      <m:oMath>
        <m:r>
          <m:rPr>
            <m:sty m:val="p"/>
          </m:rPr>
          <m:t>×</m:t>
        </m:r>
      </m:oMath>
      <w:r>
        <w:t xml:space="preserve"> </w:t>
      </w:r>
      <w:r>
        <w:t xml:space="preserve">at 100k, 34.9</w:t>
      </w:r>
      <m:oMath>
        <m:r>
          <m:rPr>
            <m:sty m:val="p"/>
          </m:rPr>
          <m:t>×</m:t>
        </m:r>
      </m:oMath>
      <w:r>
        <w:t xml:space="preserve"> </w:t>
      </w:r>
      <w:r>
        <w:t xml:space="preserve">at 500k (2 GPU), and 119.6</w:t>
      </w:r>
      <m:oMath>
        <m:r>
          <m:rPr>
            <m:sty m:val="p"/>
          </m:rPr>
          <m:t>×</m:t>
        </m:r>
      </m:oMath>
      <w:r>
        <w:t xml:space="preserve"> </w:t>
      </w:r>
      <w:r>
        <w:t xml:space="preserve">at 1.3M (8 GPU), reflecting the GPU’s superior arithmetic throughput on larger matrices.</w:t>
      </w:r>
    </w:p>
    <w:bookmarkEnd w:id="30"/>
    <w:bookmarkStart w:id="31" w:name="X676451d8a2c9454be2a232dc019900de841d869"/>
    <w:p>
      <w:pPr>
        <w:pStyle w:val="Heading2"/>
      </w:pPr>
      <w:r>
        <w:rPr>
          <w:rStyle w:val="SectionNumber"/>
        </w:rPr>
        <w:t xml:space="preserve">3.2</w:t>
      </w:r>
      <w:r>
        <w:tab/>
      </w:r>
      <w:r>
        <w:t xml:space="preserve">Per-step speedup varies over two orders of magnitude</w:t>
      </w:r>
    </w:p>
    <w:p>
      <w:pPr>
        <w:pStyle w:val="FirstParagraph"/>
      </w:pPr>
      <w:r>
        <w:t xml:space="preserve">The per-step speedup heatmap (Fig. 1) reveals that GPU advantage varies dramatically by operation type.</w:t>
      </w:r>
      <w:r>
        <w:t xml:space="preserve"> </w:t>
      </w:r>
      <w:r>
        <w:rPr>
          <w:bCs/>
          <w:b/>
        </w:rPr>
        <w:t xml:space="preserve">Normalisation</w:t>
      </w:r>
      <w:r>
        <w:t xml:space="preserve"> </w:t>
      </w:r>
      <w:r>
        <w:t xml:space="preserve">achieved the highest speedups: 329</w:t>
      </w:r>
      <m:oMath>
        <m:r>
          <m:rPr>
            <m:sty m:val="p"/>
          </m:rPr>
          <m:t>×</m:t>
        </m:r>
      </m:oMath>
      <w:r>
        <w:t xml:space="preserve"> </w:t>
      </w:r>
      <w:r>
        <w:t xml:space="preserve">at 10k, 206</w:t>
      </w:r>
      <m:oMath>
        <m:r>
          <m:rPr>
            <m:sty m:val="p"/>
          </m:rPr>
          <m:t>×</m:t>
        </m:r>
      </m:oMath>
      <w:r>
        <w:t xml:space="preserve"> </w:t>
      </w:r>
      <w:r>
        <w:t xml:space="preserve">at 50k, and 173</w:t>
      </w:r>
      <m:oMath>
        <m:r>
          <m:rPr>
            <m:sty m:val="p"/>
          </m:rPr>
          <m:t>×</m:t>
        </m:r>
      </m:oMath>
      <w:r>
        <w:t xml:space="preserve"> </w:t>
      </w:r>
      <w:r>
        <w:t xml:space="preserve">at 100k cells, reflecting the trivially parallelisable element-wise division and logarithm.</w:t>
      </w:r>
      <w:r>
        <w:t xml:space="preserve"> </w:t>
      </w:r>
      <w:r>
        <w:rPr>
          <w:bCs/>
          <w:b/>
        </w:rPr>
        <w:t xml:space="preserve">HVG selection</w:t>
      </w:r>
      <w:r>
        <w:t xml:space="preserve"> </w:t>
      </w:r>
      <w:r>
        <w:t xml:space="preserve">(24–94</w:t>
      </w:r>
      <m:oMath>
        <m:r>
          <m:rPr>
            <m:sty m:val="p"/>
          </m:rPr>
          <m:t>×</m:t>
        </m:r>
      </m:oMath>
      <w:r>
        <w:t xml:space="preserve">),</w:t>
      </w:r>
      <w:r>
        <w:t xml:space="preserve"> </w:t>
      </w:r>
      <w:r>
        <w:rPr>
          <w:bCs/>
          <w:b/>
        </w:rPr>
        <w:t xml:space="preserve">neighbours</w:t>
      </w:r>
      <w:r>
        <w:t xml:space="preserve"> </w:t>
      </w:r>
      <w:r>
        <w:t xml:space="preserve">(44–88</w:t>
      </w:r>
      <m:oMath>
        <m:r>
          <m:rPr>
            <m:sty m:val="p"/>
          </m:rPr>
          <m:t>×</m:t>
        </m:r>
      </m:oMath>
      <w:r>
        <w:t xml:space="preserve">),</w:t>
      </w:r>
      <w:r>
        <w:t xml:space="preserve"> </w:t>
      </w:r>
      <w:r>
        <w:rPr>
          <w:bCs/>
          <w:b/>
        </w:rPr>
        <w:t xml:space="preserve">UMAP</w:t>
      </w:r>
      <w:r>
        <w:t xml:space="preserve"> </w:t>
      </w:r>
      <w:r>
        <w:t xml:space="preserve">(27–45</w:t>
      </w:r>
      <m:oMath>
        <m:r>
          <m:rPr>
            <m:sty m:val="p"/>
          </m:rPr>
          <m:t>×</m:t>
        </m:r>
      </m:oMath>
      <w:r>
        <w:t xml:space="preserve">), and</w:t>
      </w:r>
      <w:r>
        <w:t xml:space="preserve"> </w:t>
      </w:r>
      <w:r>
        <w:rPr>
          <w:bCs/>
          <w:b/>
        </w:rPr>
        <w:t xml:space="preserve">DE testing</w:t>
      </w:r>
      <w:r>
        <w:t xml:space="preserve"> </w:t>
      </w:r>
      <w:r>
        <w:t xml:space="preserve">(16–88</w:t>
      </w:r>
      <m:oMath>
        <m:r>
          <m:rPr>
            <m:sty m:val="p"/>
          </m:rPr>
          <m:t>×</m:t>
        </m:r>
      </m:oMath>
      <w:r>
        <w:t xml:space="preserve">) also showed strong GPU acceleration.</w:t>
      </w:r>
      <w:r>
        <w:t xml:space="preserve"> </w:t>
      </w:r>
      <w:r>
        <w:rPr>
          <w:bCs/>
          <w:b/>
        </w:rPr>
        <w:t xml:space="preserve">PCA</w:t>
      </w:r>
      <w:r>
        <w:t xml:space="preserve"> </w:t>
      </w:r>
      <w:r>
        <w:t xml:space="preserve">speedup grew with dataset size (4.8</w:t>
      </w:r>
      <m:oMath>
        <m:r>
          <m:rPr>
            <m:sty m:val="p"/>
          </m:rPr>
          <m:t>×</m:t>
        </m:r>
      </m:oMath>
      <w:r>
        <w:t xml:space="preserve"> </w:t>
      </w:r>
      <w:r>
        <w:t xml:space="preserve">to 36.5</w:t>
      </w:r>
      <m:oMath>
        <m:r>
          <m:rPr>
            <m:sty m:val="p"/>
          </m:rPr>
          <m:t>×</m:t>
        </m:r>
      </m:oMath>
      <w:r>
        <w:t xml:space="preserve">), consistent with the increasing arithmetic intensity of singular value decomposition on larger matrices.</w:t>
      </w:r>
    </w:p>
    <w:p>
      <w:pPr>
        <w:pStyle w:val="BodyText"/>
      </w:pPr>
      <w:r>
        <w:t xml:space="preserve">Notably, some steps showed CPU advantage at small scales.</w:t>
      </w:r>
      <w:r>
        <w:t xml:space="preserve"> </w:t>
      </w:r>
      <w:r>
        <w:rPr>
          <w:bCs/>
          <w:b/>
        </w:rPr>
        <w:t xml:space="preserve">Data loading</w:t>
      </w:r>
      <w:r>
        <w:t xml:space="preserve"> </w:t>
      </w:r>
      <w:r>
        <w:t xml:space="preserve">was consistently faster on CPU (0.76–0.85</w:t>
      </w:r>
      <m:oMath>
        <m:r>
          <m:rPr>
            <m:sty m:val="p"/>
          </m:rPr>
          <m:t>×</m:t>
        </m:r>
      </m:oMath>
      <w:r>
        <w:t xml:space="preserve"> </w:t>
      </w:r>
      <w:r>
        <w:t xml:space="preserve">GPU/CPU), as the overhead of GPU context and data transfer dominated at small dataset sizes.</w:t>
      </w:r>
      <w:r>
        <w:t xml:space="preserve"> </w:t>
      </w:r>
      <w:r>
        <w:rPr>
          <w:bCs/>
          <w:b/>
        </w:rPr>
        <w:t xml:space="preserve">Leiden clustering</w:t>
      </w:r>
      <w:r>
        <w:t xml:space="preserve"> </w:t>
      </w:r>
      <w:r>
        <w:t xml:space="preserve">at resolution 0.5 was faster on CPU at 10k cells (0.36</w:t>
      </w:r>
      <m:oMath>
        <m:r>
          <m:rPr>
            <m:sty m:val="p"/>
          </m:rPr>
          <m:t>×</m:t>
        </m:r>
      </m:oMath>
      <w:r>
        <w:t xml:space="preserve">), attributable to cuGraph’s higher constant-time overhead for graph partitioning on small graphs, but GPU overtook CPU at 50k cells (1.80</w:t>
      </w:r>
      <m:oMath>
        <m:r>
          <m:rPr>
            <m:sty m:val="p"/>
          </m:rPr>
          <m:t>×</m:t>
        </m:r>
      </m:oMath>
      <w:r>
        <w:t xml:space="preserve">) and 100k cells (3.58</w:t>
      </w:r>
      <m:oMath>
        <m:r>
          <m:rPr>
            <m:sty m:val="p"/>
          </m:rPr>
          <m:t>×</m:t>
        </m:r>
      </m:oMath>
      <w:r>
        <w:t xml:space="preserve">).</w:t>
      </w:r>
    </w:p>
    <w:bookmarkEnd w:id="31"/>
    <w:bookmarkStart w:id="32" w:name="X08d5459682eab2f5582232970b44d6fcf633529"/>
    <w:p>
      <w:pPr>
        <w:pStyle w:val="Heading2"/>
      </w:pPr>
      <w:r>
        <w:rPr>
          <w:rStyle w:val="SectionNumber"/>
        </w:rPr>
        <w:t xml:space="preserve">3.3</w:t>
      </w:r>
      <w:r>
        <w:tab/>
      </w:r>
      <w:r>
        <w:t xml:space="preserve">Multi-GPU scaling is sublinear: CPU preprocessing dominates</w:t>
      </w:r>
    </w:p>
    <w:p>
      <w:pPr>
        <w:pStyle w:val="FirstParagraph"/>
      </w:pPr>
      <w:r>
        <w:t xml:space="preserve">Adding GPUs beyond two provided diminishing returns (Fig. 2, Fig. 6).</w:t>
      </w:r>
      <w:r>
        <w:t xml:space="preserve"> </w:t>
      </w:r>
      <w:r>
        <w:t xml:space="preserve">At 500k cells, wall time was virtually identical for 2, 4, and 8 GPUs (124.5, 125.0, and 124.6 s, respectively).</w:t>
      </w:r>
      <w:r>
        <w:t xml:space="preserve"> </w:t>
      </w:r>
      <w:r>
        <w:t xml:space="preserve">At 1.3M cells, 8 GPUs (435.2 s) were only 12% faster than 2 GPUs (493.3 s).</w:t>
      </w:r>
    </w:p>
    <w:p>
      <w:pPr>
        <w:pStyle w:val="BodyText"/>
      </w:pPr>
      <w:r>
        <w:t xml:space="preserve">The timing breakdown (Fig. 6) reveals why: in a representative 8-GPU run at 1.3M cells (total 463.4 s), CPU preprocessing (data loading + QC + normalisation + HVG selection) consumed 348.7 s (75%), the multi-GPU phase (PCA + neighbours) took only 17.5 s (4%), and single-GPU operations (transfer + scale + Leiden + UMAP + DE) took 97.2 s (21%).</w:t>
      </w:r>
      <w:r>
        <w:t xml:space="preserve"> </w:t>
      </w:r>
      <w:r>
        <w:t xml:space="preserve">Since CPU preprocessing is constant regardless of GPU count, and Leiden/UMAP/DE execute on a single GPU, only the PCA and neighbour steps benefit from additional GPUs—a classic instance of Amdahl’s law</w:t>
      </w:r>
      <w:r>
        <w:t xml:space="preserve"> </w:t>
      </w:r>
      <w:r>
        <w:t xml:space="preserve">(Amdahl 1967)</w:t>
      </w:r>
      <w:r>
        <w:t xml:space="preserve">.</w:t>
      </w:r>
    </w:p>
    <w:bookmarkEnd w:id="32"/>
    <w:bookmarkStart w:id="33" w:name="X60068325463a7aae7ed6f0d470890809603a3c4"/>
    <w:p>
      <w:pPr>
        <w:pStyle w:val="Heading2"/>
      </w:pPr>
      <w:r>
        <w:rPr>
          <w:rStyle w:val="SectionNumber"/>
        </w:rPr>
        <w:t xml:space="preserve">3.4</w:t>
      </w:r>
      <w:r>
        <w:tab/>
      </w:r>
      <w:r>
        <w:t xml:space="preserve">CPU and GPU produce biologically concordant results</w:t>
      </w:r>
    </w:p>
    <w:p>
      <w:pPr>
        <w:pStyle w:val="FirstParagraph"/>
      </w:pPr>
      <w:r>
        <w:t xml:space="preserve">Concordance analysis on the 10,000-cell dataset (Fig. 3) demonstrated that the two pipelines yield near-identical biological conclusions.</w:t>
      </w:r>
      <w:r>
        <w:t xml:space="preserve"> </w:t>
      </w:r>
      <w:r>
        <w:rPr>
          <w:bCs/>
          <w:b/>
        </w:rPr>
        <w:t xml:space="preserve">HVG selection was perfectly concordant</w:t>
      </w:r>
      <w:r>
        <w:t xml:space="preserve">: all 2,000 genes were identical between CPU and GPU (Jaccard = 1.000).</w:t>
      </w:r>
      <w:r>
        <w:t xml:space="preserve"> </w:t>
      </w:r>
      <w:r>
        <w:rPr>
          <w:bCs/>
          <w:b/>
        </w:rPr>
        <w:t xml:space="preserve">PCA loadings were perfectly correlated</w:t>
      </w:r>
      <w:r>
        <w:t xml:space="preserve">: mean absolute Spearman</w:t>
      </w:r>
      <w:r>
        <w:t xml:space="preserve"> </w:t>
      </w:r>
      <m:oMath>
        <m:r>
          <m:t>ρ</m:t>
        </m:r>
      </m:oMath>
      <w:r>
        <w:t xml:space="preserve"> </w:t>
      </w:r>
      <w:r>
        <w:t xml:space="preserve">= 1.000 across all 10 inspected PCs.</w:t>
      </w:r>
      <w:r>
        <w:t xml:space="preserve"> </w:t>
      </w:r>
      <m:oMath>
        <m:r>
          <m:t>k</m:t>
        </m:r>
      </m:oMath>
      <w:r>
        <w:rPr>
          <w:bCs/>
          <w:b/>
        </w:rPr>
        <w:t xml:space="preserve">NN graph overlap was high</w:t>
      </w:r>
      <w:r>
        <w:t xml:space="preserve">: mean Jaccard = 0.930 (median = 0.938, min = 0.409).</w:t>
      </w:r>
    </w:p>
    <w:p>
      <w:pPr>
        <w:pStyle w:val="BodyText"/>
      </w:pPr>
      <w:r>
        <w:t xml:space="preserve">Leiden clustering concordance depended on resolution: ARI ranged from 0.908 (resolution 1.0) to 0.963 (resolution 1.5), with NMI from 0.951 to 0.971.</w:t>
      </w:r>
      <w:r>
        <w:t xml:space="preserve"> </w:t>
      </w:r>
      <w:r>
        <w:t xml:space="preserve">The lower ARI at resolution 1.0 (40 clusters for both CPU and GPU) reflects the stochastic nature of the Leiden algorithm and minor differences in the cuGraph vs igraph implementations, rather than a systematic bias.</w:t>
      </w:r>
      <w:r>
        <w:t xml:space="preserve"> </w:t>
      </w:r>
      <w:r>
        <w:t xml:space="preserve">DE log-fold-change correlation across 40 matched cluster pairs averaged Spearman</w:t>
      </w:r>
      <w:r>
        <w:t xml:space="preserve"> </w:t>
      </w:r>
      <m:oMath>
        <m:r>
          <m:t>ρ</m:t>
        </m:r>
      </m:oMath>
      <w:r>
        <w:t xml:space="preserve"> </w:t>
      </w:r>
      <w:r>
        <w:t xml:space="preserve">= 0.946, with 30 of 40 pairs achieving</w:t>
      </w:r>
      <w:r>
        <w:t xml:space="preserve"> </w:t>
      </w:r>
      <m:oMath>
        <m:r>
          <m:t>ρ</m:t>
        </m:r>
        <m:r>
          <m:rPr>
            <m:sty m:val="p"/>
          </m:rPr>
          <m:t>&gt;</m:t>
        </m:r>
        <m:r>
          <m:t>0.97</m:t>
        </m:r>
      </m:oMath>
      <w:r>
        <w:t xml:space="preserve">.</w:t>
      </w:r>
    </w:p>
    <w:p>
      <w:pPr>
        <w:pStyle w:val="BodyText"/>
      </w:pPr>
      <w:r>
        <w:t xml:space="preserve">These concordance levels are consistent with the expected range of variation between biological replicates of the same pipeline</w:t>
      </w:r>
      <w:r>
        <w:t xml:space="preserve"> </w:t>
      </w:r>
      <w:r>
        <w:t xml:space="preserve">(Tian et al. 2019; Duò, Robinson, and Soneson 2020)</w:t>
      </w:r>
      <w:r>
        <w:t xml:space="preserve"> </w:t>
      </w:r>
      <w:r>
        <w:t xml:space="preserve">and support the conclusion that GPU and CPU pipelines are interchangeable for biological interpretation.</w:t>
      </w:r>
    </w:p>
    <w:bookmarkEnd w:id="33"/>
    <w:bookmarkStart w:id="34" w:name="Xeb5c62c7a109def442e477b4fd74c6313968111"/>
    <w:p>
      <w:pPr>
        <w:pStyle w:val="Heading2"/>
      </w:pPr>
      <w:r>
        <w:rPr>
          <w:rStyle w:val="SectionNumber"/>
        </w:rPr>
        <w:t xml:space="preserve">3.5</w:t>
      </w:r>
      <w:r>
        <w:tab/>
      </w:r>
      <w:r>
        <w:t xml:space="preserve">Memory: CPU RAM is the bottleneck, not GPU VRAM</w:t>
      </w:r>
    </w:p>
    <w:p>
      <w:pPr>
        <w:pStyle w:val="FirstParagraph"/>
      </w:pPr>
      <w:r>
        <w:t xml:space="preserve">CPU RAM usage scaled approximately linearly with cell count, from 1.2 GB at 10k to 107.4 GB at 1.3M cells (Fig. 4, left panel).</w:t>
      </w:r>
      <w:r>
        <w:t xml:space="preserve"> </w:t>
      </w:r>
      <w:r>
        <w:t xml:space="preserve">The dominant memory consumers were the dense float32 matrix created during scaling (1.3M$</w:t>
      </w:r>
      <m:oMath>
        <m:r>
          <m:t>2</m:t>
        </m:r>
        <m:r>
          <m:rPr>
            <m:sty m:val="p"/>
          </m:rPr>
          <m:t>,</m:t>
        </m:r>
        <m:r>
          <m:t>000</m:t>
        </m:r>
        <m:r>
          <m:t>H</m:t>
        </m:r>
        <m:r>
          <m:t>V</m:t>
        </m:r>
        <m:r>
          <m:t>G</m:t>
        </m:r>
        <m:r>
          <m:t>s</m:t>
        </m:r>
      </m:oMath>
      <w:r>
        <w:t xml:space="preserve">$4 bytes</w:t>
      </w:r>
      <w:r>
        <w:t xml:space="preserve"> </w:t>
      </w:r>
      <m:oMath>
        <m:r>
          <m:rPr>
            <m:sty m:val="p"/>
          </m:rPr>
          <m:t>≈</m:t>
        </m:r>
      </m:oMath>
      <w:r>
        <w:t xml:space="preserve"> </w:t>
      </w:r>
      <w:r>
        <w:t xml:space="preserve">10.4 GB) and the sparse raw count matrix (1.3M$</w:t>
      </w:r>
      <w:r>
        <w:t xml:space="preserve">$39,182 genes).</w:t>
      </w:r>
    </w:p>
    <w:p>
      <w:pPr>
        <w:pStyle w:val="BodyText"/>
      </w:pPr>
      <w:r>
        <w:t xml:space="preserve">GPU VRAM for single-GPU runs was approximately constant at 40.7 GB across dataset sizes, dominated by the pre-allocated RMM pool.</w:t>
      </w:r>
      <w:r>
        <w:t xml:space="preserve"> </w:t>
      </w:r>
      <w:r>
        <w:t xml:space="preserve">For multi-GPU runs, aggregate VRAM scaled with worker count: at 1.3M cells with 8 GPUs, the aggregate peak was 134.2 GB (mean 16.8 GB per device, 21% of 80 GB capacity), well below the per-device limit.</w:t>
      </w:r>
    </w:p>
    <w:bookmarkEnd w:id="34"/>
    <w:bookmarkStart w:id="35" w:name="Xc53a49ac8e40e0fdf10ad593f71521a777a900a"/>
    <w:p>
      <w:pPr>
        <w:pStyle w:val="Heading2"/>
      </w:pPr>
      <w:r>
        <w:rPr>
          <w:rStyle w:val="SectionNumber"/>
        </w:rPr>
        <w:t xml:space="preserve">3.6</w:t>
      </w:r>
      <w:r>
        <w:tab/>
      </w:r>
      <w:r>
        <w:t xml:space="preserve">Stress test: 11.9 million cells on one DGX H100 node</w:t>
      </w:r>
    </w:p>
    <w:p>
      <w:pPr>
        <w:pStyle w:val="FirstParagraph"/>
      </w:pPr>
      <w:r>
        <w:t xml:space="preserve">Using the memory-optimised pipeline, we conducted a binary search for the maximum processable cell count (Table 2).</w:t>
      </w:r>
      <w:r>
        <w:t xml:space="preserve"> </w:t>
      </w:r>
      <w:r>
        <w:t xml:space="preserve">The pipeline succeeded at 11.9 million cells (119 min, 535 GB RAM, 49 GB aggregate VRAM) and failed at 12.0 million cells (Leiden out-of-memory, SLURM signal 9).</w:t>
      </w:r>
      <w:r>
        <w:t xml:space="preserve"> </w:t>
      </w:r>
      <w:r>
        <w:t xml:space="preserve">A separate test at 13.7 million cells failed during the CPU-side scaling step (sparse-to-dense conversion out-of-memory).</w:t>
      </w:r>
    </w:p>
    <w:p>
      <w:pPr>
        <w:pStyle w:val="BodyText"/>
      </w:pPr>
      <w:r>
        <w:t xml:space="preserve">Critically,</w:t>
      </w:r>
      <w:r>
        <w:t xml:space="preserve"> </w:t>
      </w:r>
      <w:r>
        <w:rPr>
          <w:bCs/>
          <w:b/>
        </w:rPr>
        <w:t xml:space="preserve">GPU VRAM was not the limiting factor</w:t>
      </w:r>
      <w:r>
        <w:t xml:space="preserve">: aggregate VRAM remained flat at 49 GB (7.6% of total 640 GB) from 3.4M to 11.9M cells, because the distributed covariance PCA kept per-GPU memory at 6.7 GB and the lean GPU transfer only placed the PCA embedding (</w:t>
      </w:r>
      <m:oMath>
        <m:r>
          <m:t>n</m:t>
        </m:r>
      </m:oMath>
      <w:r>
        <w:t xml:space="preserve"> </w:t>
      </w:r>
      <w:r>
        <w:t xml:space="preserve">cells$</w:t>
      </w:r>
      <m:oMath>
        <m:r>
          <m:t>50</m:t>
        </m:r>
        <m:r>
          <m:t>c</m:t>
        </m:r>
        <m:r>
          <m:t>o</m:t>
        </m:r>
        <m:r>
          <m:t>m</m:t>
        </m:r>
        <m:r>
          <m:t>p</m:t>
        </m:r>
        <m:r>
          <m:t>o</m:t>
        </m:r>
        <m:r>
          <m:t>n</m:t>
        </m:r>
        <m:r>
          <m:t>e</m:t>
        </m:r>
        <m:r>
          <m:t>n</m:t>
        </m:r>
        <m:r>
          <m:t>t</m:t>
        </m:r>
        <m:r>
          <m:t>s</m:t>
        </m:r>
      </m:oMath>
      <w:r>
        <w:t xml:space="preserve">$4 bytes) on GPU 0.</w:t>
      </w:r>
      <w:r>
        <w:t xml:space="preserve"> </w:t>
      </w:r>
      <w:r>
        <w:t xml:space="preserve">The bottleneck was</w:t>
      </w:r>
      <w:r>
        <w:t xml:space="preserve"> </w:t>
      </w:r>
      <w:r>
        <w:rPr>
          <w:bCs/>
          <w:b/>
        </w:rPr>
        <w:t xml:space="preserve">CPU RAM</w:t>
      </w:r>
      <w:r>
        <w:t xml:space="preserve">: at approximately 45 GB per million cells, the 2 TB system memory was exhausted at around 12M cells by the Leiden algorithm’s internal data structures on top of the dense scaled matrix.</w:t>
      </w:r>
    </w:p>
    <w:p>
      <w:pPr>
        <w:pStyle w:val="BodyText"/>
      </w:pPr>
      <w:r>
        <w:t xml:space="preserve">We also tested cuML KMeans as a GPU-native clustering alternative to Leiden, but the failure point was identical (13.7M) because the out-of-memory event occurred during CPU preprocessing, before clustering was invoked.</w:t>
      </w:r>
      <w:r>
        <w:t xml:space="preserve"> </w:t>
      </w:r>
      <w:r>
        <w:t xml:space="preserve">Similarly, a sparse-scatter optimisation that avoided the CPU-side dense matrix was tested at 14M cells but failed during Scanpy’s HVG selection step, confirming that</w:t>
      </w:r>
      <w:r>
        <w:t xml:space="preserve"> </w:t>
      </w:r>
      <w:r>
        <w:rPr>
          <w:bCs/>
          <w:b/>
        </w:rPr>
        <w:t xml:space="preserve">Scanpy’s CPU-side preprocessing is the ultimate capacity bottleneck</w:t>
      </w:r>
      <w:r>
        <w:t xml:space="preserve">.</w:t>
      </w:r>
    </w:p>
    <w:p>
      <w:pPr>
        <w:pStyle w:val="BodyText"/>
      </w:pPr>
      <w:r>
        <w:t xml:space="preserve">The memory limit is fundamentally a function of cells</w:t>
      </w:r>
      <m:oMath>
        <m:r>
          <m:rPr>
            <m:sty m:val="p"/>
          </m:rPr>
          <m:t>×</m:t>
        </m:r>
      </m:oMath>
      <w:r>
        <w:t xml:space="preserve">genes, not cells alone.</w:t>
      </w:r>
      <w:r>
        <w:t xml:space="preserve"> </w:t>
      </w:r>
      <w:r>
        <w:t xml:space="preserve">With 2,000 HVGs and float32 precision, the dense scaled matrix occupies</w:t>
      </w:r>
      <w:r>
        <w:t xml:space="preserve"> </w:t>
      </w:r>
      <m:oMath>
        <m:r>
          <m:t>n</m:t>
        </m:r>
        <m:r>
          <m:rPr>
            <m:sty m:val="p"/>
          </m:rPr>
          <m:t>×</m:t>
        </m:r>
        <m:r>
          <m:t>2</m:t>
        </m:r>
        <m:r>
          <m:rPr>
            <m:sty m:val="p"/>
          </m:rPr>
          <m:t>,</m:t>
        </m:r>
        <m:r>
          <m:t>000</m:t>
        </m:r>
        <m:r>
          <m:rPr>
            <m:sty m:val="p"/>
          </m:rPr>
          <m:t>×</m:t>
        </m:r>
        <m:r>
          <m:t>4</m:t>
        </m:r>
      </m:oMath>
      <w:r>
        <w:t xml:space="preserve"> </w:t>
      </w:r>
      <w:r>
        <w:t xml:space="preserve">bytes.</w:t>
      </w:r>
      <w:r>
        <w:t xml:space="preserve"> </w:t>
      </w:r>
      <w:r>
        <w:t xml:space="preserve">Fewer HVGs would permit more cells (estimated 20M at 1,000 HVGs) and vice versa (estimated 4M at 5,000 HVGs).</w:t>
      </w:r>
    </w:p>
    <w:bookmarkEnd w:id="35"/>
    <w:bookmarkStart w:id="36" w:name="X28448b2fc3f32a5ff0e59c7984909e07b1856b9"/>
    <w:p>
      <w:pPr>
        <w:pStyle w:val="Heading2"/>
      </w:pPr>
      <w:r>
        <w:rPr>
          <w:rStyle w:val="SectionNumber"/>
        </w:rPr>
        <w:t xml:space="preserve">3.7</w:t>
      </w:r>
      <w:r>
        <w:tab/>
      </w:r>
      <w:r>
        <w:t xml:space="preserve">Differential expression: pseudo-bulk is fastest and most correct</w:t>
      </w:r>
    </w:p>
    <w:p>
      <w:pPr>
        <w:pStyle w:val="FirstParagraph"/>
      </w:pPr>
      <w:r>
        <w:t xml:space="preserve">The factorial DE benchmark at 3.4M cells (Table 3) revealed three findings.</w:t>
      </w:r>
      <w:r>
        <w:t xml:space="preserve"> </w:t>
      </w:r>
      <w:r>
        <w:t xml:space="preserve">First,</w:t>
      </w:r>
      <w:r>
        <w:t xml:space="preserve"> </w:t>
      </w:r>
      <w:r>
        <w:rPr>
          <w:bCs/>
          <w:b/>
        </w:rPr>
        <w:t xml:space="preserve">pseudo-bulk aggregation was the fastest strategy by a wide margin</w:t>
      </w:r>
      <w:r>
        <w:t xml:space="preserve">: 128 s (2.1 min), representing a 43.7</w:t>
      </w:r>
      <m:oMath>
        <m:r>
          <m:rPr>
            <m:sty m:val="p"/>
          </m:rPr>
          <m:t>×</m:t>
        </m:r>
      </m:oMath>
      <w:r>
        <w:t xml:space="preserve"> </w:t>
      </w:r>
      <w:r>
        <w:t xml:space="preserve">speedup over the CPU</w:t>
      </w:r>
      <w:r>
        <w:t xml:space="preserve"> </w:t>
      </w:r>
      <m:oMath>
        <m:r>
          <m:t>t</m:t>
        </m:r>
      </m:oMath>
      <w:r>
        <w:t xml:space="preserve">-test baseline (5,598 s, 93 min).</w:t>
      </w:r>
      <w:r>
        <w:t xml:space="preserve"> </w:t>
      </w:r>
      <w:r>
        <w:t xml:space="preserve">Pseudo-bulk reduces the problem from 3.4 million cells to a few hundred pseudo-samples per cluster by aggregating raw counts by donor, and is also the statistically correct approach for multi-donor scRNA-seq data as it avoids pseudoreplication</w:t>
      </w:r>
      <w:r>
        <w:t xml:space="preserve"> </w:t>
      </w:r>
      <w:r>
        <w:t xml:space="preserve">(Squair et al. 2021)</w:t>
      </w:r>
      <w:r>
        <w:t xml:space="preserve">.</w:t>
      </w:r>
    </w:p>
    <w:p>
      <w:pPr>
        <w:pStyle w:val="BodyText"/>
      </w:pPr>
      <w:r>
        <w:t xml:space="preserve">Second,</w:t>
      </w:r>
      <w:r>
        <w:t xml:space="preserve"> </w:t>
      </w:r>
      <w:r>
        <w:rPr>
          <w:bCs/>
          <w:b/>
        </w:rPr>
        <w:t xml:space="preserve">Wilcoxon outperformed</w:t>
      </w:r>
      <w:r>
        <w:rPr>
          <w:bCs/>
          <w:b/>
        </w:rPr>
        <w:t xml:space="preserve"> </w:t>
      </w:r>
      <m:oMath>
        <m:r>
          <m:t>t</m:t>
        </m:r>
      </m:oMath>
      <w:r>
        <w:rPr>
          <w:bCs/>
          <w:b/>
        </w:rPr>
        <w:t xml:space="preserve">-test on GPU</w:t>
      </w:r>
      <w:r>
        <w:t xml:space="preserve">: GPU Wilcoxon (scatter across 8 GPUs) completed in 826 s (6.8</w:t>
      </w:r>
      <m:oMath>
        <m:r>
          <m:rPr>
            <m:sty m:val="p"/>
          </m:rPr>
          <m:t>×</m:t>
        </m:r>
      </m:oMath>
      <w:r>
        <w:t xml:space="preserve"> </w:t>
      </w:r>
      <w:r>
        <w:t xml:space="preserve">speedup), while GPU</w:t>
      </w:r>
      <w:r>
        <w:t xml:space="preserve"> </w:t>
      </w:r>
      <m:oMath>
        <m:r>
          <m:t>t</m:t>
        </m:r>
      </m:oMath>
      <w:r>
        <w:t xml:space="preserve">-test took 1,656 s (3.4</w:t>
      </w:r>
      <m:oMath>
        <m:r>
          <m:rPr>
            <m:sty m:val="p"/>
          </m:rPr>
          <m:t>×</m:t>
        </m:r>
      </m:oMath>
      <w:r>
        <w:t xml:space="preserve"> </w:t>
      </w:r>
      <w:r>
        <w:t xml:space="preserve">speedup).</w:t>
      </w:r>
      <w:r>
        <w:t xml:space="preserve"> </w:t>
      </w:r>
      <w:r>
        <w:t xml:space="preserve">This counterintuitive result arises because the Wilcoxon test’s ranking step maps efficiently to CuPy’s</w:t>
      </w:r>
      <w:r>
        <w:t xml:space="preserve"> </w:t>
      </w:r>
      <w:r>
        <w:rPr>
          <w:rStyle w:val="VerbatimChar"/>
        </w:rPr>
        <w:t xml:space="preserve">argsort</w:t>
      </w:r>
      <w:r>
        <w:t xml:space="preserve"> </w:t>
      </w:r>
      <w:r>
        <w:t xml:space="preserve">on sparse data, whereas the</w:t>
      </w:r>
      <w:r>
        <w:t xml:space="preserve"> </w:t>
      </w:r>
      <m:oMath>
        <m:r>
          <m:t>t</m:t>
        </m:r>
      </m:oMath>
      <w:r>
        <w:t xml:space="preserve">-test requires dense mean and variance computations.</w:t>
      </w:r>
    </w:p>
    <w:p>
      <w:pPr>
        <w:pStyle w:val="BodyText"/>
      </w:pPr>
      <w:r>
        <w:t xml:space="preserve">Third,</w:t>
      </w:r>
      <w:r>
        <w:t xml:space="preserve"> </w:t>
      </w:r>
      <w:r>
        <w:rPr>
          <w:bCs/>
          <w:b/>
        </w:rPr>
        <w:t xml:space="preserve">multi-GPU provided no advantage over single-GPU for DE</w:t>
      </w:r>
      <w:r>
        <w:t xml:space="preserve">: Wilcoxon scatter (826 s, 8 GPUs) was nearly identical to Wilcoxon chunk-and-stream (831 s, 1 GPU).</w:t>
      </w:r>
      <w:r>
        <w:t xml:space="preserve"> </w:t>
      </w:r>
      <w:r>
        <w:t xml:space="preserve">The bottleneck is the CSR-to-dense conversion when loading each gene chunk, which is sequential I/O, not parallel compute.</w:t>
      </w:r>
    </w:p>
    <w:p>
      <w:pPr>
        <w:pStyle w:val="BodyText"/>
      </w:pPr>
      <w:r>
        <w:t xml:space="preserve">We emphasise that at 3.4 million cells,</w:t>
      </w:r>
      <w:r>
        <w:t xml:space="preserve"> </w:t>
      </w:r>
      <m:oMath>
        <m:r>
          <m:t>p</m:t>
        </m:r>
      </m:oMath>
      <w:r>
        <w:t xml:space="preserve">-values from cell-level tests are uninformative—virtually every gene reaches statistical significance due to enormous sample size.</w:t>
      </w:r>
      <w:r>
        <w:t xml:space="preserve"> </w:t>
      </w:r>
      <w:r>
        <w:t xml:space="preserve">Effect size (log-fold-change) and pseudo-bulk methods with proper count-based models (DESeq2, edgeR) should guide biological interpretation</w:t>
      </w:r>
      <w:r>
        <w:t xml:space="preserve"> </w:t>
      </w:r>
      <w:r>
        <w:t xml:space="preserve">(Squair et al. 2021; Soneson and Robinson 2018)</w:t>
      </w:r>
      <w:r>
        <w:t xml:space="preserve">.</w:t>
      </w:r>
    </w:p>
    <w:bookmarkEnd w:id="36"/>
    <w:bookmarkEnd w:id="37"/>
    <w:bookmarkStart w:id="39" w:name="discussion"/>
    <w:p>
      <w:pPr>
        <w:pStyle w:val="Heading1"/>
      </w:pPr>
      <w:r>
        <w:rPr>
          <w:rStyle w:val="SectionNumber"/>
        </w:rPr>
        <w:t xml:space="preserve">4</w:t>
      </w:r>
      <w:r>
        <w:tab/>
      </w:r>
      <w:r>
        <w:t xml:space="preserve">Discussion</w:t>
      </w:r>
    </w:p>
    <w:p>
      <w:pPr>
        <w:pStyle w:val="FirstParagraph"/>
      </w:pPr>
      <w:r>
        <w:t xml:space="preserve">Our benchmark demonstrates that rapids-singlecell on NVIDIA H100 GPUs delivers consistent, large-magnitude speedups over Scanpy for the standard scRNA-seq analysis pipeline, with high biological concordance and practical scalability to nearly 12 million cells on a single DGX H100 node.</w:t>
      </w:r>
      <w:r>
        <w:t xml:space="preserve"> </w:t>
      </w:r>
      <w:r>
        <w:t xml:space="preserve">Several aspects of these results merit discussion.</w:t>
      </w:r>
    </w:p>
    <w:p>
      <w:pPr>
        <w:pStyle w:val="BodyText"/>
      </w:pPr>
      <w:r>
        <w:rPr>
          <w:bCs/>
          <w:b/>
        </w:rPr>
        <w:t xml:space="preserve">The speedup is not uniform across pipeline steps.</w:t>
      </w:r>
      <w:r>
        <w:t xml:space="preserve"> </w:t>
      </w:r>
      <w:r>
        <w:t xml:space="preserve">Normalisation (element-wise arithmetic) and neighbour graph construction (</w:t>
      </w:r>
      <m:oMath>
        <m:r>
          <m:t>k</m:t>
        </m:r>
      </m:oMath>
      <w:r>
        <w:t xml:space="preserve">-NN search in high-dimensional space) are ideal GPU workloads, achieving 88–329</w:t>
      </w:r>
      <m:oMath>
        <m:r>
          <m:rPr>
            <m:sty m:val="p"/>
          </m:rPr>
          <m:t>×</m:t>
        </m:r>
      </m:oMath>
      <w:r>
        <w:t xml:space="preserve"> </w:t>
      </w:r>
      <w:r>
        <w:t xml:space="preserve">speedups.</w:t>
      </w:r>
      <w:r>
        <w:t xml:space="preserve"> </w:t>
      </w:r>
      <w:r>
        <w:t xml:space="preserve">Data loading from disk and Leiden clustering on small graphs show no GPU advantage or even a CPU advantage, consistent with the roofline model: these operations are I/O-bound or have insufficient arithmetic intensity to saturate GPU compute units</w:t>
      </w:r>
      <w:r>
        <w:t xml:space="preserve"> </w:t>
      </w:r>
      <w:r>
        <w:t xml:space="preserve">(Williams, Waterman, and Patterson 2009; Lindegger et al. 2023)</w:t>
      </w:r>
      <w:r>
        <w:t xml:space="preserve">.</w:t>
      </w:r>
      <w:r>
        <w:t xml:space="preserve"> </w:t>
      </w:r>
      <w:r>
        <w:t xml:space="preserve">This heterogeneity has practical implications: GPU acceleration is most valuable for large datasets where the compute-heavy steps dominate total runtime.</w:t>
      </w:r>
    </w:p>
    <w:p>
      <w:pPr>
        <w:pStyle w:val="BodyText"/>
      </w:pPr>
      <w:r>
        <w:rPr>
          <w:bCs/>
          <w:b/>
        </w:rPr>
        <w:t xml:space="preserve">Multi-GPU scaling is limited by Amdahl’s law.</w:t>
      </w:r>
      <w:r>
        <w:t xml:space="preserve"> </w:t>
      </w:r>
      <w:r>
        <w:t xml:space="preserve">The 12% improvement from 2 to 8 GPUs at 1.3M cells reflects the fact that only PCA and neighbour graph construction run in a distributed manner, while the remaining 95% of wall time is spent on CPU preprocessing or single-GPU operations.</w:t>
      </w:r>
      <w:r>
        <w:t xml:space="preserve"> </w:t>
      </w:r>
      <w:r>
        <w:t xml:space="preserve">Future frameworks could address this by distributing preprocessing (e.g., chunked QC and normalisation on GPU) and parallelising Leiden clustering across graph partitions.</w:t>
      </w:r>
    </w:p>
    <w:p>
      <w:pPr>
        <w:pStyle w:val="BodyText"/>
      </w:pPr>
      <w:r>
        <w:rPr>
          <w:bCs/>
          <w:b/>
        </w:rPr>
        <w:t xml:space="preserve">Concordance is high but not perfect, and the differences are expected.</w:t>
      </w:r>
      <w:r>
        <w:t xml:space="preserve"> </w:t>
      </w:r>
      <w:r>
        <w:t xml:space="preserve">The perfect agreement on HVG selection and PCA loadings reflects the deterministic nature of these operations given identical inputs.</w:t>
      </w:r>
      <w:r>
        <w:t xml:space="preserve"> </w:t>
      </w:r>
      <w:r>
        <w:t xml:space="preserve">The ARI range of 0.908–0.963 for Leiden clustering is consistent with the algorithm’s inherent stochasticity across implementations (igraph vs cuGraph) and with published benchmarks of scRNA-seq clustering variability</w:t>
      </w:r>
      <w:r>
        <w:t xml:space="preserve"> </w:t>
      </w:r>
      <w:r>
        <w:t xml:space="preserve">(Duò, Robinson, and Soneson 2020)</w:t>
      </w:r>
      <w:r>
        <w:t xml:space="preserve">.</w:t>
      </w:r>
      <w:r>
        <w:t xml:space="preserve"> </w:t>
      </w:r>
      <w:r>
        <w:t xml:space="preserve">Floating-point non-associativity in GPU parallel reductions contributes negligibly to the observed differences</w:t>
      </w:r>
      <w:r>
        <w:t xml:space="preserve"> </w:t>
      </w:r>
      <w:r>
        <w:t xml:space="preserve">(Shanmugavelu et al. 2024; Collange et al. 2015)</w:t>
      </w:r>
      <w:r>
        <w:t xml:space="preserve">, as the dominant source of variation is the Leiden algorithm’s non-deterministic vertex ordering.</w:t>
      </w:r>
    </w:p>
    <w:p>
      <w:pPr>
        <w:pStyle w:val="BodyText"/>
      </w:pPr>
      <w:r>
        <w:rPr>
          <w:bCs/>
          <w:b/>
        </w:rPr>
        <w:t xml:space="preserve">CPU RAM, not GPU VRAM, limits scale.</w:t>
      </w:r>
      <w:r>
        <w:t xml:space="preserve"> </w:t>
      </w:r>
      <w:r>
        <w:t xml:space="preserve">This finding challenges the intuition that GPU memory is the primary constraint for GPU-accelerated bioinformatics.</w:t>
      </w:r>
      <w:r>
        <w:t xml:space="preserve"> </w:t>
      </w:r>
      <w:r>
        <w:t xml:space="preserve">At 11.9M cells, each H100 used only 6.1 GB for the distributed PCA (7.6% of 80 GB), while CPU RAM consumption reached 535 GB (26% of 2 TB).</w:t>
      </w:r>
      <w:r>
        <w:t xml:space="preserve"> </w:t>
      </w:r>
      <w:r>
        <w:t xml:space="preserve">The bottleneck is Scanpy’s preprocessing, which creates dense intermediate matrices and requires the full dataset to reside in CPU memory.</w:t>
      </w:r>
      <w:r>
        <w:t xml:space="preserve"> </w:t>
      </w:r>
      <w:r>
        <w:t xml:space="preserve">Out-of-core or chunked preprocessing frameworks could extend the limit substantially, as GPU VRAM has ample headroom.</w:t>
      </w:r>
    </w:p>
    <w:p>
      <w:pPr>
        <w:pStyle w:val="BodyText"/>
      </w:pPr>
      <w:r>
        <w:rPr>
          <w:bCs/>
          <w:b/>
        </w:rPr>
        <w:t xml:space="preserve">Pseudo-bulk DE is both fastest and most statistically rigorous.</w:t>
      </w:r>
      <w:r>
        <w:t xml:space="preserve"> </w:t>
      </w:r>
      <w:r>
        <w:t xml:space="preserve">Our DE benchmark confirms that pseudo-bulk aggregation is not merely a statistical best practice</w:t>
      </w:r>
      <w:r>
        <w:t xml:space="preserve"> </w:t>
      </w:r>
      <w:r>
        <w:t xml:space="preserve">(Squair et al. 2021)</w:t>
      </w:r>
      <w:r>
        <w:t xml:space="preserve"> </w:t>
      </w:r>
      <w:r>
        <w:t xml:space="preserve">but also a computational optimisation, reducing runtime by 44</w:t>
      </w:r>
      <m:oMath>
        <m:r>
          <m:rPr>
            <m:sty m:val="p"/>
          </m:rPr>
          <m:t>×</m:t>
        </m:r>
      </m:oMath>
      <w:r>
        <w:t xml:space="preserve"> </w:t>
      </w:r>
      <w:r>
        <w:t xml:space="preserve">relative to cell-level</w:t>
      </w:r>
      <w:r>
        <w:t xml:space="preserve"> </w:t>
      </w:r>
      <m:oMath>
        <m:r>
          <m:t>t</m:t>
        </m:r>
      </m:oMath>
      <w:r>
        <w:t xml:space="preserve">-test.</w:t>
      </w:r>
      <w:r>
        <w:t xml:space="preserve"> </w:t>
      </w:r>
      <w:r>
        <w:t xml:space="preserve">GPU acceleration of cell-level DE provides moderate speedups (3–7</w:t>
      </w:r>
      <m:oMath>
        <m:r>
          <m:rPr>
            <m:sty m:val="p"/>
          </m:rPr>
          <m:t>×</m:t>
        </m:r>
      </m:oMath>
      <w:r>
        <w:t xml:space="preserve">) but is ultimately limited by the I/O cost of converting sparse matrices to dense gene chunks.</w:t>
      </w:r>
      <w:r>
        <w:t xml:space="preserve"> </w:t>
      </w:r>
      <w:r>
        <w:t xml:space="preserve">For multi-donor experimental designs, pseudo-bulk should be the default approach on both statistical and computational grounds.</w:t>
      </w:r>
    </w:p>
    <w:p>
      <w:pPr>
        <w:pStyle w:val="BodyText"/>
      </w:pPr>
      <w:r>
        <w:rPr>
          <w:bCs/>
          <w:b/>
        </w:rPr>
        <w:t xml:space="preserve">Limitations.</w:t>
      </w:r>
      <w:r>
        <w:t xml:space="preserve"> </w:t>
      </w:r>
      <w:r>
        <w:t xml:space="preserve">Our benchmark used a single biological dataset (mouse brain E18); performance profiles may differ for datasets with different sparsity patterns or gene counts.</w:t>
      </w:r>
      <w:r>
        <w:t xml:space="preserve"> </w:t>
      </w:r>
      <w:r>
        <w:t xml:space="preserve">Concordance was assessed at 10,000 cells; larger datasets may show different ARI distributions.</w:t>
      </w:r>
      <w:r>
        <w:t xml:space="preserve"> </w:t>
      </w:r>
      <w:r>
        <w:t xml:space="preserve">The stress test used a memory-optimised pipeline that is mathematically but not implementation-identical to the standard rapids-singlecell workflow.</w:t>
      </w:r>
      <w:r>
        <w:t xml:space="preserve"> </w:t>
      </w:r>
      <w:r>
        <w:t xml:space="preserve">We did not benchmark integration methods (Harmony, scVI) or spatial analysis tools, which are the subject of ongoing work.</w:t>
      </w:r>
    </w:p>
    <w:bookmarkStart w:id="38" w:name="conclusion"/>
    <w:p>
      <w:pPr>
        <w:pStyle w:val="Heading2"/>
      </w:pPr>
      <w:r>
        <w:rPr>
          <w:rStyle w:val="SectionNumber"/>
        </w:rPr>
        <w:t xml:space="preserve">4.1</w:t>
      </w:r>
      <w:r>
        <w:tab/>
      </w:r>
      <w:r>
        <w:t xml:space="preserve">Conclusion</w:t>
      </w:r>
    </w:p>
    <w:p>
      <w:pPr>
        <w:pStyle w:val="FirstParagraph"/>
      </w:pPr>
      <w:r>
        <w:t xml:space="preserve">GPU-accelerated single-cell analysis via rapids-singlecell on NVIDIA H100 GPUs reduces a 14.5-hour CPU pipeline to 7.3 minutes at 1.3M cells, with biologically concordant results.</w:t>
      </w:r>
      <w:r>
        <w:t xml:space="preserve"> </w:t>
      </w:r>
      <w:r>
        <w:t xml:space="preserve">The principal scalability bottleneck is CPU-side preprocessing, not GPU VRAM: a single DGX H100 node processed 11.9M cells while using only 7.6% of total GPU memory.</w:t>
      </w:r>
      <w:r>
        <w:t xml:space="preserve"> </w:t>
      </w:r>
      <w:r>
        <w:t xml:space="preserve">Multi-GPU scaling provides modest benefit (12% at 1.3M cells, 2$</w:t>
      </w:r>
      <m:oMath>
        <m:r>
          <m:t>8</m:t>
        </m:r>
        <m:r>
          <m:t>G</m:t>
        </m:r>
        <m:r>
          <m:t>P</m:t>
        </m:r>
        <m:r>
          <m:t>U</m:t>
        </m:r>
        <m:r>
          <m:t>s</m:t>
        </m:r>
        <m:r>
          <m:rPr>
            <m:sty m:val="p"/>
          </m:rPr>
          <m:t>)</m:t>
        </m:r>
        <m:r>
          <m:t>d</m:t>
        </m:r>
        <m:r>
          <m:t>u</m:t>
        </m:r>
        <m:r>
          <m:t>e</m:t>
        </m:r>
        <m:r>
          <m:t>t</m:t>
        </m:r>
        <m:r>
          <m:t>o</m:t>
        </m:r>
        <m:r>
          <m:t>t</m:t>
        </m:r>
        <m:r>
          <m:t>h</m:t>
        </m:r>
        <m:r>
          <m:t>e</m:t>
        </m:r>
        <m:r>
          <m:t>d</m:t>
        </m:r>
        <m:r>
          <m:t>o</m:t>
        </m:r>
        <m:r>
          <m:t>m</m:t>
        </m:r>
        <m:r>
          <m:t>i</m:t>
        </m:r>
        <m:r>
          <m:t>n</m:t>
        </m:r>
        <m:r>
          <m:t>a</m:t>
        </m:r>
        <m:r>
          <m:t>n</m:t>
        </m:r>
        <m:r>
          <m:t>c</m:t>
        </m:r>
        <m:r>
          <m:t>e</m:t>
        </m:r>
        <m:r>
          <m:t>o</m:t>
        </m:r>
        <m:r>
          <m:t>f</m:t>
        </m:r>
        <m:r>
          <m:t>n</m:t>
        </m:r>
        <m:r>
          <m:t>o</m:t>
        </m:r>
        <m:r>
          <m:t>n</m:t>
        </m:r>
        <m:r>
          <m:rPr>
            <m:sty m:val="p"/>
          </m:rPr>
          <m:t>−</m:t>
        </m:r>
        <m:r>
          <m:t>G</m:t>
        </m:r>
        <m:r>
          <m:t>P</m:t>
        </m:r>
        <m:r>
          <m:t>U</m:t>
        </m:r>
        <m:r>
          <m:rPr>
            <m:sty m:val="p"/>
          </m:rPr>
          <m:t>−</m:t>
        </m:r>
        <m:r>
          <m:t>p</m:t>
        </m:r>
        <m:r>
          <m:t>a</m:t>
        </m:r>
        <m:r>
          <m:t>r</m:t>
        </m:r>
        <m:r>
          <m:t>a</m:t>
        </m:r>
        <m:r>
          <m:t>l</m:t>
        </m:r>
        <m:r>
          <m:t>l</m:t>
        </m:r>
        <m:r>
          <m:t>e</m:t>
        </m:r>
        <m:r>
          <m:t>l</m:t>
        </m:r>
        <m:r>
          <m:t>i</m:t>
        </m:r>
        <m:r>
          <m:t>s</m:t>
        </m:r>
        <m:r>
          <m:t>e</m:t>
        </m:r>
        <m:r>
          <m:t>d</m:t>
        </m:r>
        <m:r>
          <m:t>p</m:t>
        </m:r>
        <m:r>
          <m:t>i</m:t>
        </m:r>
        <m:r>
          <m:t>p</m:t>
        </m:r>
        <m:r>
          <m:t>e</m:t>
        </m:r>
        <m:r>
          <m:t>l</m:t>
        </m:r>
        <m:r>
          <m:t>i</m:t>
        </m:r>
        <m:r>
          <m:t>n</m:t>
        </m:r>
        <m:r>
          <m:t>e</m:t>
        </m:r>
        <m:r>
          <m:t>p</m:t>
        </m:r>
        <m:r>
          <m:t>h</m:t>
        </m:r>
        <m:r>
          <m:t>a</m:t>
        </m:r>
        <m:r>
          <m:t>s</m:t>
        </m:r>
        <m:r>
          <m:t>e</m:t>
        </m:r>
        <m:r>
          <m:t>s</m:t>
        </m:r>
        <m:r>
          <m:rPr>
            <m:sty m:val="p"/>
          </m:rPr>
          <m:t>.</m:t>
        </m:r>
        <m:r>
          <m:t>F</m:t>
        </m:r>
        <m:r>
          <m:t>o</m:t>
        </m:r>
        <m:r>
          <m:t>r</m:t>
        </m:r>
        <m:r>
          <m:t>d</m:t>
        </m:r>
        <m:r>
          <m:t>i</m:t>
        </m:r>
        <m:r>
          <m:t>f</m:t>
        </m:r>
        <m:r>
          <m:t>f</m:t>
        </m:r>
        <m:r>
          <m:t>e</m:t>
        </m:r>
        <m:r>
          <m:t>r</m:t>
        </m:r>
        <m:r>
          <m:t>e</m:t>
        </m:r>
        <m:r>
          <m:t>n</m:t>
        </m:r>
        <m:r>
          <m:t>t</m:t>
        </m:r>
        <m:r>
          <m:t>i</m:t>
        </m:r>
        <m:r>
          <m:t>a</m:t>
        </m:r>
        <m:r>
          <m:t>l</m:t>
        </m:r>
        <m:r>
          <m:t>e</m:t>
        </m:r>
        <m:r>
          <m:t>x</m:t>
        </m:r>
        <m:r>
          <m:t>p</m:t>
        </m:r>
        <m:r>
          <m:t>r</m:t>
        </m:r>
        <m:r>
          <m:t>e</m:t>
        </m:r>
        <m:r>
          <m:t>s</m:t>
        </m:r>
        <m:r>
          <m:t>s</m:t>
        </m:r>
        <m:r>
          <m:t>i</m:t>
        </m:r>
        <m:r>
          <m:t>o</m:t>
        </m:r>
        <m:r>
          <m:t>n</m:t>
        </m:r>
        <m:r>
          <m:rPr>
            <m:sty m:val="p"/>
          </m:rPr>
          <m:t>,</m:t>
        </m:r>
        <m:r>
          <m:t>p</m:t>
        </m:r>
        <m:r>
          <m:t>s</m:t>
        </m:r>
        <m:r>
          <m:t>e</m:t>
        </m:r>
        <m:r>
          <m:t>u</m:t>
        </m:r>
        <m:r>
          <m:t>d</m:t>
        </m:r>
        <m:r>
          <m:t>o</m:t>
        </m:r>
        <m:r>
          <m:rPr>
            <m:sty m:val="p"/>
          </m:rPr>
          <m:t>−</m:t>
        </m:r>
        <m:r>
          <m:t>b</m:t>
        </m:r>
        <m:r>
          <m:t>u</m:t>
        </m:r>
        <m:r>
          <m:t>l</m:t>
        </m:r>
        <m:r>
          <m:t>k</m:t>
        </m:r>
        <m:r>
          <m:t>a</m:t>
        </m:r>
        <m:r>
          <m:t>g</m:t>
        </m:r>
        <m:r>
          <m:t>g</m:t>
        </m:r>
        <m:r>
          <m:t>r</m:t>
        </m:r>
        <m:r>
          <m:t>e</m:t>
        </m:r>
        <m:r>
          <m:t>g</m:t>
        </m:r>
        <m:r>
          <m:t>a</m:t>
        </m:r>
        <m:r>
          <m:t>t</m:t>
        </m:r>
        <m:r>
          <m:t>i</m:t>
        </m:r>
        <m:r>
          <m:t>o</m:t>
        </m:r>
        <m:r>
          <m:t>n</m:t>
        </m:r>
        <m:r>
          <m:t>i</m:t>
        </m:r>
        <m:r>
          <m:t>s</m:t>
        </m:r>
        <m:r>
          <m:t>s</m:t>
        </m:r>
        <m:r>
          <m:t>i</m:t>
        </m:r>
        <m:r>
          <m:t>m</m:t>
        </m:r>
        <m:r>
          <m:t>u</m:t>
        </m:r>
        <m:r>
          <m:t>l</m:t>
        </m:r>
        <m:r>
          <m:t>t</m:t>
        </m:r>
        <m:r>
          <m:t>a</m:t>
        </m:r>
        <m:r>
          <m:t>n</m:t>
        </m:r>
        <m:r>
          <m:t>e</m:t>
        </m:r>
        <m:r>
          <m:t>o</m:t>
        </m:r>
        <m:r>
          <m:t>u</m:t>
        </m:r>
        <m:r>
          <m:t>s</m:t>
        </m:r>
        <m:r>
          <m:t>l</m:t>
        </m:r>
        <m:r>
          <m:t>y</m:t>
        </m:r>
        <m:r>
          <m:t>t</m:t>
        </m:r>
        <m:r>
          <m:t>h</m:t>
        </m:r>
        <m:r>
          <m:t>e</m:t>
        </m:r>
        <m:r>
          <m:t>f</m:t>
        </m:r>
        <m:r>
          <m:t>a</m:t>
        </m:r>
        <m:r>
          <m:t>s</m:t>
        </m:r>
        <m:r>
          <m:t>t</m:t>
        </m:r>
        <m:r>
          <m:t>e</m:t>
        </m:r>
        <m:r>
          <m:t>s</m:t>
        </m:r>
        <m:r>
          <m:t>t</m:t>
        </m:r>
        <m:r>
          <m:rPr>
            <m:sty m:val="p"/>
          </m:rPr>
          <m:t>(</m:t>
        </m:r>
        <m:r>
          <m:t>44</m:t>
        </m:r>
      </m:oMath>
      <w:r>
        <w:t xml:space="preserve">$ vs</w:t>
      </w:r>
      <w:r>
        <w:t xml:space="preserve"> </w:t>
      </w:r>
      <m:oMath>
        <m:r>
          <m:t>t</m:t>
        </m:r>
      </m:oMath>
      <w:r>
        <w:t xml:space="preserve">-test) and most statistically rigorous approach.</w:t>
      </w:r>
      <w:r>
        <w:t xml:space="preserve"> </w:t>
      </w:r>
      <w:r>
        <w:t xml:space="preserve">These results provide practical guidance for the computational bioinformatics community as single-cell datasets grow toward the billion-cell scale</w:t>
      </w:r>
      <w:r>
        <w:t xml:space="preserve"> </w:t>
      </w:r>
      <w:r>
        <w:t xml:space="preserve">(Regev et al. 2017)</w:t>
      </w:r>
      <w:r>
        <w:t xml:space="preserve">.</w:t>
      </w:r>
    </w:p>
    <w:bookmarkEnd w:id="38"/>
    <w:bookmarkEnd w:id="39"/>
    <w:bookmarkStart w:id="40" w:name="tables"/>
    <w:p>
      <w:pPr>
        <w:pStyle w:val="Heading1"/>
      </w:pPr>
      <w:r>
        <w:rPr>
          <w:rStyle w:val="SectionNumber"/>
        </w:rPr>
        <w:t xml:space="preserve">5</w:t>
      </w:r>
      <w:r>
        <w:tab/>
      </w:r>
      <w:r>
        <w:t xml:space="preserve">Tables</w:t>
      </w:r>
    </w:p>
    <w:p>
      <w:pPr>
        <w:pStyle w:val="TableCaption"/>
      </w:pPr>
      <w:r>
        <w:rPr>
          <w:bCs/>
          <w:b/>
        </w:rPr>
        <w:t xml:space="preserve">Table 1.</w:t>
      </w:r>
      <w:r>
        <w:t xml:space="preserve"> </w:t>
      </w:r>
      <w:r>
        <w:t xml:space="preserve">Summary of benchmark results across all pipeline configurations. Times are mean</w:t>
      </w:r>
      <w:r>
        <w:t xml:space="preserve"> </w:t>
      </w:r>
      <m:oMath>
        <m:r>
          <m:rPr>
            <m:sty m:val="p"/>
          </m:rPr>
          <m:t>±</m:t>
        </m:r>
      </m:oMath>
      <w:r>
        <w:t xml:space="preserve"> </w:t>
      </w:r>
      <w:r>
        <w:t xml:space="preserve">SD over five repeats. Single-GPU results for 500k and 1.3M cells are absent because the standard pipeline exceeded 80 GB VRAM on a single H100. {#tbl:summary}</w:t>
      </w:r>
    </w:p>
    <w:tbl>
      <w:tblPr>
        <w:tblStyle w:val="Table"/>
        <w:tblW w:type="pct" w:w="5000"/>
        <w:tblLook w:firstRow="1" w:lastRow="0" w:firstColumn="0" w:lastColumn="0" w:noHBand="0" w:noVBand="0" w:val="0020"/>
        <w:jc w:val="start"/>
        <w:tblCaption w:val="Table 1. Summary of benchmark results across all pipeline configurations. Times are mean \pm SD over five repeats. Single-GPU results for 500k and 1.3M cells are absent because the standard pipeline exceeded 80 GB VRAM on a single H100. {#tbl:summary}"/>
      </w:tblPr>
      <w:tblGrid>
        <w:gridCol w:w="1002"/>
        <w:gridCol w:w="701"/>
        <w:gridCol w:w="601"/>
        <w:gridCol w:w="1604"/>
        <w:gridCol w:w="802"/>
        <w:gridCol w:w="1604"/>
        <w:gridCol w:w="1604"/>
      </w:tblGrid>
      <w:tr>
        <w:trPr>
          <w:tblHeader w:val="true"/>
        </w:trPr>
        <w:tc>
          <w:tcPr/>
          <w:p>
            <w:pPr>
              <w:pStyle w:val="Compact"/>
              <w:jc w:val="left"/>
            </w:pPr>
            <w:r>
              <w:t xml:space="preserve">Pipeline</w:t>
            </w:r>
          </w:p>
        </w:tc>
        <w:tc>
          <w:tcPr/>
          <w:p>
            <w:pPr>
              <w:pStyle w:val="Compact"/>
              <w:jc w:val="right"/>
            </w:pPr>
            <w:r>
              <w:t xml:space="preserve">Cells</w:t>
            </w:r>
          </w:p>
        </w:tc>
        <w:tc>
          <w:tcPr/>
          <w:p>
            <w:pPr>
              <w:pStyle w:val="Compact"/>
              <w:jc w:val="right"/>
            </w:pPr>
            <w:r>
              <w:t xml:space="preserve">GPUs</w:t>
            </w:r>
          </w:p>
        </w:tc>
        <w:tc>
          <w:tcPr/>
          <w:p>
            <w:pPr>
              <w:pStyle w:val="Compact"/>
              <w:jc w:val="right"/>
            </w:pPr>
            <w:r>
              <w:t xml:space="preserve">Total time (s)</w:t>
            </w:r>
          </w:p>
        </w:tc>
        <w:tc>
          <w:tcPr/>
          <w:p>
            <w:pPr>
              <w:pStyle w:val="Compact"/>
              <w:jc w:val="right"/>
            </w:pPr>
            <w:r>
              <w:t xml:space="preserve">SD (s)</w:t>
            </w:r>
          </w:p>
        </w:tc>
        <w:tc>
          <w:tcPr/>
          <w:p>
            <w:pPr>
              <w:pStyle w:val="Compact"/>
              <w:jc w:val="right"/>
            </w:pPr>
            <w:r>
              <w:t xml:space="preserve">Peak RAM (GB)</w:t>
            </w:r>
          </w:p>
        </w:tc>
        <w:tc>
          <w:tcPr/>
          <w:p>
            <w:pPr>
              <w:pStyle w:val="Compact"/>
              <w:jc w:val="right"/>
            </w:pPr>
            <w:r>
              <w:t xml:space="preserve">Peak VRAM (GB)</w:t>
            </w:r>
          </w:p>
        </w:tc>
      </w:tr>
      <w:tr>
        <w:tc>
          <w:tcPr/>
          <w:p>
            <w:pPr>
              <w:pStyle w:val="Compact"/>
              <w:jc w:val="left"/>
            </w:pPr>
            <w:r>
              <w:t xml:space="preserve">CPU (Scanpy)</w:t>
            </w:r>
          </w:p>
        </w:tc>
        <w:tc>
          <w:tcPr/>
          <w:p>
            <w:pPr>
              <w:pStyle w:val="Compact"/>
              <w:jc w:val="right"/>
            </w:pPr>
            <w:r>
              <w:t xml:space="preserve">10k</w:t>
            </w:r>
          </w:p>
        </w:tc>
        <w:tc>
          <w:tcPr/>
          <w:p>
            <w:pPr>
              <w:pStyle w:val="Compact"/>
              <w:jc w:val="right"/>
            </w:pPr>
            <w:r>
              <w:t xml:space="preserve">0</w:t>
            </w:r>
          </w:p>
        </w:tc>
        <w:tc>
          <w:tcPr/>
          <w:p>
            <w:pPr>
              <w:pStyle w:val="Compact"/>
              <w:jc w:val="right"/>
            </w:pPr>
            <w:r>
              <w:t xml:space="preserve">39.5</w:t>
            </w:r>
          </w:p>
        </w:tc>
        <w:tc>
          <w:tcPr/>
          <w:p>
            <w:pPr>
              <w:pStyle w:val="Compact"/>
              <w:jc w:val="right"/>
            </w:pPr>
            <w:r>
              <w:t xml:space="preserve">10.2</w:t>
            </w:r>
          </w:p>
        </w:tc>
        <w:tc>
          <w:tcPr/>
          <w:p>
            <w:pPr>
              <w:pStyle w:val="Compact"/>
              <w:jc w:val="right"/>
            </w:pPr>
            <w:r>
              <w:t xml:space="preserve">1.2</w:t>
            </w:r>
          </w:p>
        </w:tc>
        <w:tc>
          <w:tcPr/>
          <w:p>
            <w:pPr>
              <w:pStyle w:val="Compact"/>
              <w:jc w:val="right"/>
            </w:pPr>
            <w:r>
              <w:t xml:space="preserve">—</w:t>
            </w:r>
          </w:p>
        </w:tc>
      </w:tr>
      <w:tr>
        <w:tc>
          <w:tcPr/>
          <w:p>
            <w:pPr>
              <w:pStyle w:val="Compact"/>
              <w:jc w:val="left"/>
            </w:pPr>
            <w:r>
              <w:t xml:space="preserve">GPU (rapids)</w:t>
            </w:r>
          </w:p>
        </w:tc>
        <w:tc>
          <w:tcPr/>
          <w:p>
            <w:pPr>
              <w:pStyle w:val="Compact"/>
              <w:jc w:val="right"/>
            </w:pPr>
            <w:r>
              <w:t xml:space="preserve">10k</w:t>
            </w:r>
          </w:p>
        </w:tc>
        <w:tc>
          <w:tcPr/>
          <w:p>
            <w:pPr>
              <w:pStyle w:val="Compact"/>
              <w:jc w:val="right"/>
            </w:pPr>
            <w:r>
              <w:t xml:space="preserve">1</w:t>
            </w:r>
          </w:p>
        </w:tc>
        <w:tc>
          <w:tcPr/>
          <w:p>
            <w:pPr>
              <w:pStyle w:val="Compact"/>
              <w:jc w:val="right"/>
            </w:pPr>
            <w:r>
              <w:t xml:space="preserve">3.3</w:t>
            </w:r>
          </w:p>
        </w:tc>
        <w:tc>
          <w:tcPr/>
          <w:p>
            <w:pPr>
              <w:pStyle w:val="Compact"/>
              <w:jc w:val="right"/>
            </w:pPr>
            <w:r>
              <w:t xml:space="preserve">1.7</w:t>
            </w:r>
          </w:p>
        </w:tc>
        <w:tc>
          <w:tcPr/>
          <w:p>
            <w:pPr>
              <w:pStyle w:val="Compact"/>
              <w:jc w:val="right"/>
            </w:pPr>
            <w:r>
              <w:t xml:space="preserve">2.4</w:t>
            </w:r>
          </w:p>
        </w:tc>
        <w:tc>
          <w:tcPr/>
          <w:p>
            <w:pPr>
              <w:pStyle w:val="Compact"/>
              <w:jc w:val="right"/>
            </w:pPr>
            <w:r>
              <w:t xml:space="preserve">40.7</w:t>
            </w:r>
          </w:p>
        </w:tc>
      </w:tr>
      <w:tr>
        <w:tc>
          <w:tcPr/>
          <w:p>
            <w:pPr>
              <w:pStyle w:val="Compact"/>
              <w:jc w:val="left"/>
            </w:pPr>
            <w:r>
              <w:t xml:space="preserve">GPU</w:t>
            </w:r>
          </w:p>
        </w:tc>
        <w:tc>
          <w:tcPr/>
          <w:p>
            <w:pPr>
              <w:pStyle w:val="Compact"/>
              <w:jc w:val="right"/>
            </w:pPr>
            <w:r>
              <w:t xml:space="preserve">10k</w:t>
            </w:r>
          </w:p>
        </w:tc>
        <w:tc>
          <w:tcPr/>
          <w:p>
            <w:pPr>
              <w:pStyle w:val="Compact"/>
              <w:jc w:val="right"/>
            </w:pPr>
            <w:r>
              <w:t xml:space="preserve">2</w:t>
            </w:r>
          </w:p>
        </w:tc>
        <w:tc>
          <w:tcPr/>
          <w:p>
            <w:pPr>
              <w:pStyle w:val="Compact"/>
              <w:jc w:val="right"/>
            </w:pPr>
            <w:r>
              <w:t xml:space="preserve">4.9</w:t>
            </w:r>
          </w:p>
        </w:tc>
        <w:tc>
          <w:tcPr/>
          <w:p>
            <w:pPr>
              <w:pStyle w:val="Compact"/>
              <w:jc w:val="right"/>
            </w:pPr>
            <w:r>
              <w:t xml:space="preserve">2.6</w:t>
            </w:r>
          </w:p>
        </w:tc>
        <w:tc>
          <w:tcPr/>
          <w:p>
            <w:pPr>
              <w:pStyle w:val="Compact"/>
              <w:jc w:val="right"/>
            </w:pPr>
            <w:r>
              <w:t xml:space="preserve">2.3</w:t>
            </w:r>
          </w:p>
        </w:tc>
        <w:tc>
          <w:tcPr/>
          <w:p>
            <w:pPr>
              <w:pStyle w:val="Compact"/>
              <w:jc w:val="right"/>
            </w:pPr>
            <w:r>
              <w:t xml:space="preserve">52.4</w:t>
            </w:r>
          </w:p>
        </w:tc>
      </w:tr>
      <w:tr>
        <w:tc>
          <w:tcPr/>
          <w:p>
            <w:pPr>
              <w:pStyle w:val="Compact"/>
              <w:jc w:val="left"/>
            </w:pPr>
            <w:r>
              <w:t xml:space="preserve">GPU</w:t>
            </w:r>
          </w:p>
        </w:tc>
        <w:tc>
          <w:tcPr/>
          <w:p>
            <w:pPr>
              <w:pStyle w:val="Compact"/>
              <w:jc w:val="right"/>
            </w:pPr>
            <w:r>
              <w:t xml:space="preserve">10k</w:t>
            </w:r>
          </w:p>
        </w:tc>
        <w:tc>
          <w:tcPr/>
          <w:p>
            <w:pPr>
              <w:pStyle w:val="Compact"/>
              <w:jc w:val="right"/>
            </w:pPr>
            <w:r>
              <w:t xml:space="preserve">4</w:t>
            </w:r>
          </w:p>
        </w:tc>
        <w:tc>
          <w:tcPr/>
          <w:p>
            <w:pPr>
              <w:pStyle w:val="Compact"/>
              <w:jc w:val="right"/>
            </w:pPr>
            <w:r>
              <w:t xml:space="preserve">4.9</w:t>
            </w:r>
          </w:p>
        </w:tc>
        <w:tc>
          <w:tcPr/>
          <w:p>
            <w:pPr>
              <w:pStyle w:val="Compact"/>
              <w:jc w:val="right"/>
            </w:pPr>
            <w:r>
              <w:t xml:space="preserve">2.6</w:t>
            </w:r>
          </w:p>
        </w:tc>
        <w:tc>
          <w:tcPr/>
          <w:p>
            <w:pPr>
              <w:pStyle w:val="Compact"/>
              <w:jc w:val="right"/>
            </w:pPr>
            <w:r>
              <w:t xml:space="preserve">2.3</w:t>
            </w:r>
          </w:p>
        </w:tc>
        <w:tc>
          <w:tcPr/>
          <w:p>
            <w:pPr>
              <w:pStyle w:val="Compact"/>
              <w:jc w:val="right"/>
            </w:pPr>
            <w:r>
              <w:t xml:space="preserve">65.0</w:t>
            </w:r>
          </w:p>
        </w:tc>
      </w:tr>
      <w:tr>
        <w:tc>
          <w:tcPr/>
          <w:p>
            <w:pPr>
              <w:pStyle w:val="Compact"/>
              <w:jc w:val="left"/>
            </w:pPr>
            <w:r>
              <w:t xml:space="preserve">GPU</w:t>
            </w:r>
          </w:p>
        </w:tc>
        <w:tc>
          <w:tcPr/>
          <w:p>
            <w:pPr>
              <w:pStyle w:val="Compact"/>
              <w:jc w:val="right"/>
            </w:pPr>
            <w:r>
              <w:t xml:space="preserve">10k</w:t>
            </w:r>
          </w:p>
        </w:tc>
        <w:tc>
          <w:tcPr/>
          <w:p>
            <w:pPr>
              <w:pStyle w:val="Compact"/>
              <w:jc w:val="right"/>
            </w:pPr>
            <w:r>
              <w:t xml:space="preserve">8</w:t>
            </w:r>
          </w:p>
        </w:tc>
        <w:tc>
          <w:tcPr/>
          <w:p>
            <w:pPr>
              <w:pStyle w:val="Compact"/>
              <w:jc w:val="right"/>
            </w:pPr>
            <w:r>
              <w:t xml:space="preserve">4.9</w:t>
            </w:r>
          </w:p>
        </w:tc>
        <w:tc>
          <w:tcPr/>
          <w:p>
            <w:pPr>
              <w:pStyle w:val="Compact"/>
              <w:jc w:val="right"/>
            </w:pPr>
            <w:r>
              <w:t xml:space="preserve">2.3</w:t>
            </w:r>
          </w:p>
        </w:tc>
        <w:tc>
          <w:tcPr/>
          <w:p>
            <w:pPr>
              <w:pStyle w:val="Compact"/>
              <w:jc w:val="right"/>
            </w:pPr>
            <w:r>
              <w:t xml:space="preserve">2.3</w:t>
            </w:r>
          </w:p>
        </w:tc>
        <w:tc>
          <w:tcPr/>
          <w:p>
            <w:pPr>
              <w:pStyle w:val="Compact"/>
              <w:jc w:val="right"/>
            </w:pPr>
            <w:r>
              <w:t xml:space="preserve">106.5</w:t>
            </w:r>
          </w:p>
        </w:tc>
      </w:tr>
      <w:tr>
        <w:tc>
          <w:tcPr/>
          <w:p>
            <w:pPr>
              <w:pStyle w:val="Compact"/>
              <w:jc w:val="left"/>
            </w:pPr>
            <w:r>
              <w:t xml:space="preserve">CPU (Scanpy)</w:t>
            </w:r>
          </w:p>
        </w:tc>
        <w:tc>
          <w:tcPr/>
          <w:p>
            <w:pPr>
              <w:pStyle w:val="Compact"/>
              <w:jc w:val="right"/>
            </w:pPr>
            <w:r>
              <w:t xml:space="preserve">50k</w:t>
            </w:r>
          </w:p>
        </w:tc>
        <w:tc>
          <w:tcPr/>
          <w:p>
            <w:pPr>
              <w:pStyle w:val="Compact"/>
              <w:jc w:val="right"/>
            </w:pPr>
            <w:r>
              <w:t xml:space="preserve">0</w:t>
            </w:r>
          </w:p>
        </w:tc>
        <w:tc>
          <w:tcPr/>
          <w:p>
            <w:pPr>
              <w:pStyle w:val="Compact"/>
              <w:jc w:val="right"/>
            </w:pPr>
            <w:r>
              <w:t xml:space="preserve">282.5</w:t>
            </w:r>
          </w:p>
        </w:tc>
        <w:tc>
          <w:tcPr/>
          <w:p>
            <w:pPr>
              <w:pStyle w:val="Compact"/>
              <w:jc w:val="right"/>
            </w:pPr>
            <w:r>
              <w:t xml:space="preserve">9.1</w:t>
            </w:r>
          </w:p>
        </w:tc>
        <w:tc>
          <w:tcPr/>
          <w:p>
            <w:pPr>
              <w:pStyle w:val="Compact"/>
              <w:jc w:val="right"/>
            </w:pPr>
            <w:r>
              <w:t xml:space="preserve">3.6</w:t>
            </w:r>
          </w:p>
        </w:tc>
        <w:tc>
          <w:tcPr/>
          <w:p>
            <w:pPr>
              <w:pStyle w:val="Compact"/>
              <w:jc w:val="right"/>
            </w:pPr>
            <w:r>
              <w:t xml:space="preserve">—</w:t>
            </w:r>
          </w:p>
        </w:tc>
      </w:tr>
      <w:tr>
        <w:tc>
          <w:tcPr/>
          <w:p>
            <w:pPr>
              <w:pStyle w:val="Compact"/>
              <w:jc w:val="left"/>
            </w:pPr>
            <w:r>
              <w:t xml:space="preserve">GPU (rapids)</w:t>
            </w:r>
          </w:p>
        </w:tc>
        <w:tc>
          <w:tcPr/>
          <w:p>
            <w:pPr>
              <w:pStyle w:val="Compact"/>
              <w:jc w:val="right"/>
            </w:pPr>
            <w:r>
              <w:t xml:space="preserve">50k</w:t>
            </w:r>
          </w:p>
        </w:tc>
        <w:tc>
          <w:tcPr/>
          <w:p>
            <w:pPr>
              <w:pStyle w:val="Compact"/>
              <w:jc w:val="right"/>
            </w:pPr>
            <w:r>
              <w:t xml:space="preserve">1</w:t>
            </w:r>
          </w:p>
        </w:tc>
        <w:tc>
          <w:tcPr/>
          <w:p>
            <w:pPr>
              <w:pStyle w:val="Compact"/>
              <w:jc w:val="right"/>
            </w:pPr>
            <w:r>
              <w:t xml:space="preserve">8.4</w:t>
            </w:r>
          </w:p>
        </w:tc>
        <w:tc>
          <w:tcPr/>
          <w:p>
            <w:pPr>
              <w:pStyle w:val="Compact"/>
              <w:jc w:val="right"/>
            </w:pPr>
            <w:r>
              <w:t xml:space="preserve">2.2</w:t>
            </w:r>
          </w:p>
        </w:tc>
        <w:tc>
          <w:tcPr/>
          <w:p>
            <w:pPr>
              <w:pStyle w:val="Compact"/>
              <w:jc w:val="right"/>
            </w:pPr>
            <w:r>
              <w:t xml:space="preserve">5.4</w:t>
            </w:r>
          </w:p>
        </w:tc>
        <w:tc>
          <w:tcPr/>
          <w:p>
            <w:pPr>
              <w:pStyle w:val="Compact"/>
              <w:jc w:val="right"/>
            </w:pPr>
            <w:r>
              <w:t xml:space="preserve">40.7</w:t>
            </w:r>
          </w:p>
        </w:tc>
      </w:tr>
      <w:tr>
        <w:tc>
          <w:tcPr/>
          <w:p>
            <w:pPr>
              <w:pStyle w:val="Compact"/>
              <w:jc w:val="left"/>
            </w:pPr>
            <w:r>
              <w:t xml:space="preserve">GPU</w:t>
            </w:r>
          </w:p>
        </w:tc>
        <w:tc>
          <w:tcPr/>
          <w:p>
            <w:pPr>
              <w:pStyle w:val="Compact"/>
              <w:jc w:val="right"/>
            </w:pPr>
            <w:r>
              <w:t xml:space="preserve">50k</w:t>
            </w:r>
          </w:p>
        </w:tc>
        <w:tc>
          <w:tcPr/>
          <w:p>
            <w:pPr>
              <w:pStyle w:val="Compact"/>
              <w:jc w:val="right"/>
            </w:pPr>
            <w:r>
              <w:t xml:space="preserve">2</w:t>
            </w:r>
          </w:p>
        </w:tc>
        <w:tc>
          <w:tcPr/>
          <w:p>
            <w:pPr>
              <w:pStyle w:val="Compact"/>
              <w:jc w:val="right"/>
            </w:pPr>
            <w:r>
              <w:t xml:space="preserve">14.7</w:t>
            </w:r>
          </w:p>
        </w:tc>
        <w:tc>
          <w:tcPr/>
          <w:p>
            <w:pPr>
              <w:pStyle w:val="Compact"/>
              <w:jc w:val="right"/>
            </w:pPr>
            <w:r>
              <w:t xml:space="preserve">2.4</w:t>
            </w:r>
          </w:p>
        </w:tc>
        <w:tc>
          <w:tcPr/>
          <w:p>
            <w:pPr>
              <w:pStyle w:val="Compact"/>
              <w:jc w:val="right"/>
            </w:pPr>
            <w:r>
              <w:t xml:space="preserve">3.5</w:t>
            </w:r>
          </w:p>
        </w:tc>
        <w:tc>
          <w:tcPr/>
          <w:p>
            <w:pPr>
              <w:pStyle w:val="Compact"/>
              <w:jc w:val="right"/>
            </w:pPr>
            <w:r>
              <w:t xml:space="preserve">52.4</w:t>
            </w:r>
          </w:p>
        </w:tc>
      </w:tr>
      <w:tr>
        <w:tc>
          <w:tcPr/>
          <w:p>
            <w:pPr>
              <w:pStyle w:val="Compact"/>
              <w:jc w:val="left"/>
            </w:pPr>
            <w:r>
              <w:t xml:space="preserve">GPU</w:t>
            </w:r>
          </w:p>
        </w:tc>
        <w:tc>
          <w:tcPr/>
          <w:p>
            <w:pPr>
              <w:pStyle w:val="Compact"/>
              <w:jc w:val="right"/>
            </w:pPr>
            <w:r>
              <w:t xml:space="preserve">50k</w:t>
            </w:r>
          </w:p>
        </w:tc>
        <w:tc>
          <w:tcPr/>
          <w:p>
            <w:pPr>
              <w:pStyle w:val="Compact"/>
              <w:jc w:val="right"/>
            </w:pPr>
            <w:r>
              <w:t xml:space="preserve">4</w:t>
            </w:r>
          </w:p>
        </w:tc>
        <w:tc>
          <w:tcPr/>
          <w:p>
            <w:pPr>
              <w:pStyle w:val="Compact"/>
              <w:jc w:val="right"/>
            </w:pPr>
            <w:r>
              <w:t xml:space="preserve">14.6</w:t>
            </w:r>
          </w:p>
        </w:tc>
        <w:tc>
          <w:tcPr/>
          <w:p>
            <w:pPr>
              <w:pStyle w:val="Compact"/>
              <w:jc w:val="right"/>
            </w:pPr>
            <w:r>
              <w:t xml:space="preserve">2.6</w:t>
            </w:r>
          </w:p>
        </w:tc>
        <w:tc>
          <w:tcPr/>
          <w:p>
            <w:pPr>
              <w:pStyle w:val="Compact"/>
              <w:jc w:val="right"/>
            </w:pPr>
            <w:r>
              <w:t xml:space="preserve">3.5</w:t>
            </w:r>
          </w:p>
        </w:tc>
        <w:tc>
          <w:tcPr/>
          <w:p>
            <w:pPr>
              <w:pStyle w:val="Compact"/>
              <w:jc w:val="right"/>
            </w:pPr>
            <w:r>
              <w:t xml:space="preserve">65.0</w:t>
            </w:r>
          </w:p>
        </w:tc>
      </w:tr>
      <w:tr>
        <w:tc>
          <w:tcPr/>
          <w:p>
            <w:pPr>
              <w:pStyle w:val="Compact"/>
              <w:jc w:val="left"/>
            </w:pPr>
            <w:r>
              <w:t xml:space="preserve">GPU</w:t>
            </w:r>
          </w:p>
        </w:tc>
        <w:tc>
          <w:tcPr/>
          <w:p>
            <w:pPr>
              <w:pStyle w:val="Compact"/>
              <w:jc w:val="right"/>
            </w:pPr>
            <w:r>
              <w:t xml:space="preserve">50k</w:t>
            </w:r>
          </w:p>
        </w:tc>
        <w:tc>
          <w:tcPr/>
          <w:p>
            <w:pPr>
              <w:pStyle w:val="Compact"/>
              <w:jc w:val="right"/>
            </w:pPr>
            <w:r>
              <w:t xml:space="preserve">8</w:t>
            </w:r>
          </w:p>
        </w:tc>
        <w:tc>
          <w:tcPr/>
          <w:p>
            <w:pPr>
              <w:pStyle w:val="Compact"/>
              <w:jc w:val="right"/>
            </w:pPr>
            <w:r>
              <w:t xml:space="preserve">15.1</w:t>
            </w:r>
          </w:p>
        </w:tc>
        <w:tc>
          <w:tcPr/>
          <w:p>
            <w:pPr>
              <w:pStyle w:val="Compact"/>
              <w:jc w:val="right"/>
            </w:pPr>
            <w:r>
              <w:t xml:space="preserve">2.2</w:t>
            </w:r>
          </w:p>
        </w:tc>
        <w:tc>
          <w:tcPr/>
          <w:p>
            <w:pPr>
              <w:pStyle w:val="Compact"/>
              <w:jc w:val="right"/>
            </w:pPr>
            <w:r>
              <w:t xml:space="preserve">3.4</w:t>
            </w:r>
          </w:p>
        </w:tc>
        <w:tc>
          <w:tcPr/>
          <w:p>
            <w:pPr>
              <w:pStyle w:val="Compact"/>
              <w:jc w:val="right"/>
            </w:pPr>
            <w:r>
              <w:t xml:space="preserve">106.5</w:t>
            </w:r>
          </w:p>
        </w:tc>
      </w:tr>
      <w:tr>
        <w:tc>
          <w:tcPr/>
          <w:p>
            <w:pPr>
              <w:pStyle w:val="Compact"/>
              <w:jc w:val="left"/>
            </w:pPr>
            <w:r>
              <w:t xml:space="preserve">CPU (Scanpy)</w:t>
            </w:r>
          </w:p>
        </w:tc>
        <w:tc>
          <w:tcPr/>
          <w:p>
            <w:pPr>
              <w:pStyle w:val="Compact"/>
              <w:jc w:val="right"/>
            </w:pPr>
            <w:r>
              <w:t xml:space="preserve">100k</w:t>
            </w:r>
          </w:p>
        </w:tc>
        <w:tc>
          <w:tcPr/>
          <w:p>
            <w:pPr>
              <w:pStyle w:val="Compact"/>
              <w:jc w:val="right"/>
            </w:pPr>
            <w:r>
              <w:t xml:space="preserve">0</w:t>
            </w:r>
          </w:p>
        </w:tc>
        <w:tc>
          <w:tcPr/>
          <w:p>
            <w:pPr>
              <w:pStyle w:val="Compact"/>
              <w:jc w:val="right"/>
            </w:pPr>
            <w:r>
              <w:t xml:space="preserve">646.7</w:t>
            </w:r>
          </w:p>
        </w:tc>
        <w:tc>
          <w:tcPr/>
          <w:p>
            <w:pPr>
              <w:pStyle w:val="Compact"/>
              <w:jc w:val="right"/>
            </w:pPr>
            <w:r>
              <w:t xml:space="preserve">10.5</w:t>
            </w:r>
          </w:p>
        </w:tc>
        <w:tc>
          <w:tcPr/>
          <w:p>
            <w:pPr>
              <w:pStyle w:val="Compact"/>
              <w:jc w:val="right"/>
            </w:pPr>
            <w:r>
              <w:t xml:space="preserve">6.7</w:t>
            </w:r>
          </w:p>
        </w:tc>
        <w:tc>
          <w:tcPr/>
          <w:p>
            <w:pPr>
              <w:pStyle w:val="Compact"/>
              <w:jc w:val="right"/>
            </w:pPr>
            <w:r>
              <w:t xml:space="preserve">—</w:t>
            </w:r>
          </w:p>
        </w:tc>
      </w:tr>
      <w:tr>
        <w:tc>
          <w:tcPr/>
          <w:p>
            <w:pPr>
              <w:pStyle w:val="Compact"/>
              <w:jc w:val="left"/>
            </w:pPr>
            <w:r>
              <w:t xml:space="preserve">GPU (rapids)</w:t>
            </w:r>
          </w:p>
        </w:tc>
        <w:tc>
          <w:tcPr/>
          <w:p>
            <w:pPr>
              <w:pStyle w:val="Compact"/>
              <w:jc w:val="right"/>
            </w:pPr>
            <w:r>
              <w:t xml:space="preserve">100k</w:t>
            </w:r>
          </w:p>
        </w:tc>
        <w:tc>
          <w:tcPr/>
          <w:p>
            <w:pPr>
              <w:pStyle w:val="Compact"/>
              <w:jc w:val="right"/>
            </w:pPr>
            <w:r>
              <w:t xml:space="preserve">1</w:t>
            </w:r>
          </w:p>
        </w:tc>
        <w:tc>
          <w:tcPr/>
          <w:p>
            <w:pPr>
              <w:pStyle w:val="Compact"/>
              <w:jc w:val="right"/>
            </w:pPr>
            <w:r>
              <w:t xml:space="preserve">14.8</w:t>
            </w:r>
          </w:p>
        </w:tc>
        <w:tc>
          <w:tcPr/>
          <w:p>
            <w:pPr>
              <w:pStyle w:val="Compact"/>
              <w:jc w:val="right"/>
            </w:pPr>
            <w:r>
              <w:t xml:space="preserve">2.2</w:t>
            </w:r>
          </w:p>
        </w:tc>
        <w:tc>
          <w:tcPr/>
          <w:p>
            <w:pPr>
              <w:pStyle w:val="Compact"/>
              <w:jc w:val="right"/>
            </w:pPr>
            <w:r>
              <w:t xml:space="preserve">8.8</w:t>
            </w:r>
          </w:p>
        </w:tc>
        <w:tc>
          <w:tcPr/>
          <w:p>
            <w:pPr>
              <w:pStyle w:val="Compact"/>
              <w:jc w:val="right"/>
            </w:pPr>
            <w:r>
              <w:t xml:space="preserve">40.7</w:t>
            </w:r>
          </w:p>
        </w:tc>
      </w:tr>
      <w:tr>
        <w:tc>
          <w:tcPr/>
          <w:p>
            <w:pPr>
              <w:pStyle w:val="Compact"/>
              <w:jc w:val="left"/>
            </w:pPr>
            <w:r>
              <w:t xml:space="preserve">GPU</w:t>
            </w:r>
          </w:p>
        </w:tc>
        <w:tc>
          <w:tcPr/>
          <w:p>
            <w:pPr>
              <w:pStyle w:val="Compact"/>
              <w:jc w:val="right"/>
            </w:pPr>
            <w:r>
              <w:t xml:space="preserve">100k</w:t>
            </w:r>
          </w:p>
        </w:tc>
        <w:tc>
          <w:tcPr/>
          <w:p>
            <w:pPr>
              <w:pStyle w:val="Compact"/>
              <w:jc w:val="right"/>
            </w:pPr>
            <w:r>
              <w:t xml:space="preserve">2</w:t>
            </w:r>
          </w:p>
        </w:tc>
        <w:tc>
          <w:tcPr/>
          <w:p>
            <w:pPr>
              <w:pStyle w:val="Compact"/>
              <w:jc w:val="right"/>
            </w:pPr>
            <w:r>
              <w:t xml:space="preserve">26.9</w:t>
            </w:r>
          </w:p>
        </w:tc>
        <w:tc>
          <w:tcPr/>
          <w:p>
            <w:pPr>
              <w:pStyle w:val="Compact"/>
              <w:jc w:val="right"/>
            </w:pPr>
            <w:r>
              <w:t xml:space="preserve">2.4</w:t>
            </w:r>
          </w:p>
        </w:tc>
        <w:tc>
          <w:tcPr/>
          <w:p>
            <w:pPr>
              <w:pStyle w:val="Compact"/>
              <w:jc w:val="right"/>
            </w:pPr>
            <w:r>
              <w:t xml:space="preserve">4.9</w:t>
            </w:r>
          </w:p>
        </w:tc>
        <w:tc>
          <w:tcPr/>
          <w:p>
            <w:pPr>
              <w:pStyle w:val="Compact"/>
              <w:jc w:val="right"/>
            </w:pPr>
            <w:r>
              <w:t xml:space="preserve">52.4</w:t>
            </w:r>
          </w:p>
        </w:tc>
      </w:tr>
      <w:tr>
        <w:tc>
          <w:tcPr/>
          <w:p>
            <w:pPr>
              <w:pStyle w:val="Compact"/>
              <w:jc w:val="left"/>
            </w:pPr>
            <w:r>
              <w:t xml:space="preserve">GPU</w:t>
            </w:r>
          </w:p>
        </w:tc>
        <w:tc>
          <w:tcPr/>
          <w:p>
            <w:pPr>
              <w:pStyle w:val="Compact"/>
              <w:jc w:val="right"/>
            </w:pPr>
            <w:r>
              <w:t xml:space="preserve">100k</w:t>
            </w:r>
          </w:p>
        </w:tc>
        <w:tc>
          <w:tcPr/>
          <w:p>
            <w:pPr>
              <w:pStyle w:val="Compact"/>
              <w:jc w:val="right"/>
            </w:pPr>
            <w:r>
              <w:t xml:space="preserve">4</w:t>
            </w:r>
          </w:p>
        </w:tc>
        <w:tc>
          <w:tcPr/>
          <w:p>
            <w:pPr>
              <w:pStyle w:val="Compact"/>
              <w:jc w:val="right"/>
            </w:pPr>
            <w:r>
              <w:t xml:space="preserve">26.9</w:t>
            </w:r>
          </w:p>
        </w:tc>
        <w:tc>
          <w:tcPr/>
          <w:p>
            <w:pPr>
              <w:pStyle w:val="Compact"/>
              <w:jc w:val="right"/>
            </w:pPr>
            <w:r>
              <w:t xml:space="preserve">2.3</w:t>
            </w:r>
          </w:p>
        </w:tc>
        <w:tc>
          <w:tcPr/>
          <w:p>
            <w:pPr>
              <w:pStyle w:val="Compact"/>
              <w:jc w:val="right"/>
            </w:pPr>
            <w:r>
              <w:t xml:space="preserve">4.9</w:t>
            </w:r>
          </w:p>
        </w:tc>
        <w:tc>
          <w:tcPr/>
          <w:p>
            <w:pPr>
              <w:pStyle w:val="Compact"/>
              <w:jc w:val="right"/>
            </w:pPr>
            <w:r>
              <w:t xml:space="preserve">65.1</w:t>
            </w:r>
          </w:p>
        </w:tc>
      </w:tr>
      <w:tr>
        <w:tc>
          <w:tcPr/>
          <w:p>
            <w:pPr>
              <w:pStyle w:val="Compact"/>
              <w:jc w:val="left"/>
            </w:pPr>
            <w:r>
              <w:t xml:space="preserve">GPU</w:t>
            </w:r>
          </w:p>
        </w:tc>
        <w:tc>
          <w:tcPr/>
          <w:p>
            <w:pPr>
              <w:pStyle w:val="Compact"/>
              <w:jc w:val="right"/>
            </w:pPr>
            <w:r>
              <w:t xml:space="preserve">100k</w:t>
            </w:r>
          </w:p>
        </w:tc>
        <w:tc>
          <w:tcPr/>
          <w:p>
            <w:pPr>
              <w:pStyle w:val="Compact"/>
              <w:jc w:val="right"/>
            </w:pPr>
            <w:r>
              <w:t xml:space="preserve">8</w:t>
            </w:r>
          </w:p>
        </w:tc>
        <w:tc>
          <w:tcPr/>
          <w:p>
            <w:pPr>
              <w:pStyle w:val="Compact"/>
              <w:jc w:val="right"/>
            </w:pPr>
            <w:r>
              <w:t xml:space="preserve">26.4</w:t>
            </w:r>
          </w:p>
        </w:tc>
        <w:tc>
          <w:tcPr/>
          <w:p>
            <w:pPr>
              <w:pStyle w:val="Compact"/>
              <w:jc w:val="right"/>
            </w:pPr>
            <w:r>
              <w:t xml:space="preserve">2.6</w:t>
            </w:r>
          </w:p>
        </w:tc>
        <w:tc>
          <w:tcPr/>
          <w:p>
            <w:pPr>
              <w:pStyle w:val="Compact"/>
              <w:jc w:val="right"/>
            </w:pPr>
            <w:r>
              <w:t xml:space="preserve">4.9</w:t>
            </w:r>
          </w:p>
        </w:tc>
        <w:tc>
          <w:tcPr/>
          <w:p>
            <w:pPr>
              <w:pStyle w:val="Compact"/>
              <w:jc w:val="right"/>
            </w:pPr>
            <w:r>
              <w:t xml:space="preserve">106.6</w:t>
            </w:r>
          </w:p>
        </w:tc>
      </w:tr>
      <w:tr>
        <w:tc>
          <w:tcPr/>
          <w:p>
            <w:pPr>
              <w:pStyle w:val="Compact"/>
              <w:jc w:val="left"/>
            </w:pPr>
            <w:r>
              <w:t xml:space="preserve">CPU (Scanpy)</w:t>
            </w:r>
          </w:p>
        </w:tc>
        <w:tc>
          <w:tcPr/>
          <w:p>
            <w:pPr>
              <w:pStyle w:val="Compact"/>
              <w:jc w:val="right"/>
            </w:pPr>
            <w:r>
              <w:t xml:space="preserve">500k</w:t>
            </w:r>
          </w:p>
        </w:tc>
        <w:tc>
          <w:tcPr/>
          <w:p>
            <w:pPr>
              <w:pStyle w:val="Compact"/>
              <w:jc w:val="right"/>
            </w:pPr>
            <w:r>
              <w:t xml:space="preserve">0</w:t>
            </w:r>
          </w:p>
        </w:tc>
        <w:tc>
          <w:tcPr/>
          <w:p>
            <w:pPr>
              <w:pStyle w:val="Compact"/>
              <w:jc w:val="right"/>
            </w:pPr>
            <w:r>
              <w:t xml:space="preserve">4,346.7</w:t>
            </w:r>
          </w:p>
        </w:tc>
        <w:tc>
          <w:tcPr/>
          <w:p>
            <w:pPr>
              <w:pStyle w:val="Compact"/>
              <w:jc w:val="right"/>
            </w:pPr>
            <w:r>
              <w:t xml:space="preserve">40.3</w:t>
            </w:r>
          </w:p>
        </w:tc>
        <w:tc>
          <w:tcPr/>
          <w:p>
            <w:pPr>
              <w:pStyle w:val="Compact"/>
              <w:jc w:val="right"/>
            </w:pPr>
            <w:r>
              <w:t xml:space="preserve">29.7</w:t>
            </w:r>
          </w:p>
        </w:tc>
        <w:tc>
          <w:tcPr/>
          <w:p>
            <w:pPr>
              <w:pStyle w:val="Compact"/>
              <w:jc w:val="right"/>
            </w:pPr>
            <w:r>
              <w:t xml:space="preserve">—</w:t>
            </w:r>
          </w:p>
        </w:tc>
      </w:tr>
      <w:tr>
        <w:tc>
          <w:tcPr/>
          <w:p>
            <w:pPr>
              <w:pStyle w:val="Compact"/>
              <w:jc w:val="left"/>
            </w:pPr>
            <w:r>
              <w:t xml:space="preserve">GPU</w:t>
            </w:r>
          </w:p>
        </w:tc>
        <w:tc>
          <w:tcPr/>
          <w:p>
            <w:pPr>
              <w:pStyle w:val="Compact"/>
              <w:jc w:val="right"/>
            </w:pPr>
            <w:r>
              <w:t xml:space="preserve">500k</w:t>
            </w:r>
          </w:p>
        </w:tc>
        <w:tc>
          <w:tcPr/>
          <w:p>
            <w:pPr>
              <w:pStyle w:val="Compact"/>
              <w:jc w:val="right"/>
            </w:pPr>
            <w:r>
              <w:t xml:space="preserve">2</w:t>
            </w:r>
          </w:p>
        </w:tc>
        <w:tc>
          <w:tcPr/>
          <w:p>
            <w:pPr>
              <w:pStyle w:val="Compact"/>
              <w:jc w:val="right"/>
            </w:pPr>
            <w:r>
              <w:t xml:space="preserve">124.5</w:t>
            </w:r>
          </w:p>
        </w:tc>
        <w:tc>
          <w:tcPr/>
          <w:p>
            <w:pPr>
              <w:pStyle w:val="Compact"/>
              <w:jc w:val="right"/>
            </w:pPr>
            <w:r>
              <w:t xml:space="preserve">2.9</w:t>
            </w:r>
          </w:p>
        </w:tc>
        <w:tc>
          <w:tcPr/>
          <w:p>
            <w:pPr>
              <w:pStyle w:val="Compact"/>
              <w:jc w:val="right"/>
            </w:pPr>
            <w:r>
              <w:t xml:space="preserve">15.6</w:t>
            </w:r>
          </w:p>
        </w:tc>
        <w:tc>
          <w:tcPr/>
          <w:p>
            <w:pPr>
              <w:pStyle w:val="Compact"/>
              <w:jc w:val="right"/>
            </w:pPr>
            <w:r>
              <w:t xml:space="preserve">52.7</w:t>
            </w:r>
          </w:p>
        </w:tc>
      </w:tr>
      <w:tr>
        <w:tc>
          <w:tcPr/>
          <w:p>
            <w:pPr>
              <w:pStyle w:val="Compact"/>
              <w:jc w:val="left"/>
            </w:pPr>
            <w:r>
              <w:t xml:space="preserve">GPU</w:t>
            </w:r>
          </w:p>
        </w:tc>
        <w:tc>
          <w:tcPr/>
          <w:p>
            <w:pPr>
              <w:pStyle w:val="Compact"/>
              <w:jc w:val="right"/>
            </w:pPr>
            <w:r>
              <w:t xml:space="preserve">500k</w:t>
            </w:r>
          </w:p>
        </w:tc>
        <w:tc>
          <w:tcPr/>
          <w:p>
            <w:pPr>
              <w:pStyle w:val="Compact"/>
              <w:jc w:val="right"/>
            </w:pPr>
            <w:r>
              <w:t xml:space="preserve">4</w:t>
            </w:r>
          </w:p>
        </w:tc>
        <w:tc>
          <w:tcPr/>
          <w:p>
            <w:pPr>
              <w:pStyle w:val="Compact"/>
              <w:jc w:val="right"/>
            </w:pPr>
            <w:r>
              <w:t xml:space="preserve">125.0</w:t>
            </w:r>
          </w:p>
        </w:tc>
        <w:tc>
          <w:tcPr/>
          <w:p>
            <w:pPr>
              <w:pStyle w:val="Compact"/>
              <w:jc w:val="right"/>
            </w:pPr>
            <w:r>
              <w:t xml:space="preserve">6.0</w:t>
            </w:r>
          </w:p>
        </w:tc>
        <w:tc>
          <w:tcPr/>
          <w:p>
            <w:pPr>
              <w:pStyle w:val="Compact"/>
              <w:jc w:val="right"/>
            </w:pPr>
            <w:r>
              <w:t xml:space="preserve">15.9</w:t>
            </w:r>
          </w:p>
        </w:tc>
        <w:tc>
          <w:tcPr/>
          <w:p>
            <w:pPr>
              <w:pStyle w:val="Compact"/>
              <w:jc w:val="right"/>
            </w:pPr>
            <w:r>
              <w:t xml:space="preserve">65.5</w:t>
            </w:r>
          </w:p>
        </w:tc>
      </w:tr>
      <w:tr>
        <w:tc>
          <w:tcPr/>
          <w:p>
            <w:pPr>
              <w:pStyle w:val="Compact"/>
              <w:jc w:val="left"/>
            </w:pPr>
            <w:r>
              <w:t xml:space="preserve">GPU</w:t>
            </w:r>
          </w:p>
        </w:tc>
        <w:tc>
          <w:tcPr/>
          <w:p>
            <w:pPr>
              <w:pStyle w:val="Compact"/>
              <w:jc w:val="right"/>
            </w:pPr>
            <w:r>
              <w:t xml:space="preserve">500k</w:t>
            </w:r>
          </w:p>
        </w:tc>
        <w:tc>
          <w:tcPr/>
          <w:p>
            <w:pPr>
              <w:pStyle w:val="Compact"/>
              <w:jc w:val="right"/>
            </w:pPr>
            <w:r>
              <w:t xml:space="preserve">8</w:t>
            </w:r>
          </w:p>
        </w:tc>
        <w:tc>
          <w:tcPr/>
          <w:p>
            <w:pPr>
              <w:pStyle w:val="Compact"/>
              <w:jc w:val="right"/>
            </w:pPr>
            <w:r>
              <w:t xml:space="preserve">124.6</w:t>
            </w:r>
          </w:p>
        </w:tc>
        <w:tc>
          <w:tcPr/>
          <w:p>
            <w:pPr>
              <w:pStyle w:val="Compact"/>
              <w:jc w:val="right"/>
            </w:pPr>
            <w:r>
              <w:t xml:space="preserve">3.7</w:t>
            </w:r>
          </w:p>
        </w:tc>
        <w:tc>
          <w:tcPr/>
          <w:p>
            <w:pPr>
              <w:pStyle w:val="Compact"/>
              <w:jc w:val="right"/>
            </w:pPr>
            <w:r>
              <w:t xml:space="preserve">15.5</w:t>
            </w:r>
          </w:p>
        </w:tc>
        <w:tc>
          <w:tcPr/>
          <w:p>
            <w:pPr>
              <w:pStyle w:val="Compact"/>
              <w:jc w:val="right"/>
            </w:pPr>
            <w:r>
              <w:t xml:space="preserve">107.0</w:t>
            </w:r>
          </w:p>
        </w:tc>
      </w:tr>
      <w:tr>
        <w:tc>
          <w:tcPr/>
          <w:p>
            <w:pPr>
              <w:pStyle w:val="Compact"/>
              <w:jc w:val="left"/>
            </w:pPr>
            <w:r>
              <w:t xml:space="preserve">CPU (Scanpy)</w:t>
            </w:r>
          </w:p>
        </w:tc>
        <w:tc>
          <w:tcPr/>
          <w:p>
            <w:pPr>
              <w:pStyle w:val="Compact"/>
              <w:jc w:val="right"/>
            </w:pPr>
            <w:r>
              <w:t xml:space="preserve">1.3M</w:t>
            </w:r>
          </w:p>
        </w:tc>
        <w:tc>
          <w:tcPr/>
          <w:p>
            <w:pPr>
              <w:pStyle w:val="Compact"/>
              <w:jc w:val="right"/>
            </w:pPr>
            <w:r>
              <w:t xml:space="preserve">0</w:t>
            </w:r>
          </w:p>
        </w:tc>
        <w:tc>
          <w:tcPr/>
          <w:p>
            <w:pPr>
              <w:pStyle w:val="Compact"/>
              <w:jc w:val="right"/>
            </w:pPr>
            <w:r>
              <w:t xml:space="preserve">52,056.2</w:t>
            </w:r>
          </w:p>
        </w:tc>
        <w:tc>
          <w:tcPr/>
          <w:p>
            <w:pPr>
              <w:pStyle w:val="Compact"/>
              <w:jc w:val="right"/>
            </w:pPr>
            <w:r>
              <w:t xml:space="preserve">392.0</w:t>
            </w:r>
          </w:p>
        </w:tc>
        <w:tc>
          <w:tcPr/>
          <w:p>
            <w:pPr>
              <w:pStyle w:val="Compact"/>
              <w:jc w:val="right"/>
            </w:pPr>
            <w:r>
              <w:t xml:space="preserve">107.4</w:t>
            </w:r>
          </w:p>
        </w:tc>
        <w:tc>
          <w:tcPr/>
          <w:p>
            <w:pPr>
              <w:pStyle w:val="Compact"/>
              <w:jc w:val="right"/>
            </w:pPr>
            <w:r>
              <w:t xml:space="preserve">—</w:t>
            </w:r>
          </w:p>
        </w:tc>
      </w:tr>
      <w:tr>
        <w:tc>
          <w:tcPr/>
          <w:p>
            <w:pPr>
              <w:pStyle w:val="Compact"/>
              <w:jc w:val="left"/>
            </w:pPr>
            <w:r>
              <w:t xml:space="preserve">GPU</w:t>
            </w:r>
          </w:p>
        </w:tc>
        <w:tc>
          <w:tcPr/>
          <w:p>
            <w:pPr>
              <w:pStyle w:val="Compact"/>
              <w:jc w:val="right"/>
            </w:pPr>
            <w:r>
              <w:t xml:space="preserve">1.3M</w:t>
            </w:r>
          </w:p>
        </w:tc>
        <w:tc>
          <w:tcPr/>
          <w:p>
            <w:pPr>
              <w:pStyle w:val="Compact"/>
              <w:jc w:val="right"/>
            </w:pPr>
            <w:r>
              <w:t xml:space="preserve">2</w:t>
            </w:r>
          </w:p>
        </w:tc>
        <w:tc>
          <w:tcPr/>
          <w:p>
            <w:pPr>
              <w:pStyle w:val="Compact"/>
              <w:jc w:val="right"/>
            </w:pPr>
            <w:r>
              <w:t xml:space="preserve">493.3</w:t>
            </w:r>
          </w:p>
        </w:tc>
        <w:tc>
          <w:tcPr/>
          <w:p>
            <w:pPr>
              <w:pStyle w:val="Compact"/>
              <w:jc w:val="right"/>
            </w:pPr>
            <w:r>
              <w:t xml:space="preserve">10.3</w:t>
            </w:r>
          </w:p>
        </w:tc>
        <w:tc>
          <w:tcPr/>
          <w:p>
            <w:pPr>
              <w:pStyle w:val="Compact"/>
              <w:jc w:val="right"/>
            </w:pPr>
            <w:r>
              <w:t xml:space="preserve">60.7</w:t>
            </w:r>
          </w:p>
        </w:tc>
        <w:tc>
          <w:tcPr/>
          <w:p>
            <w:pPr>
              <w:pStyle w:val="Compact"/>
              <w:jc w:val="right"/>
            </w:pPr>
            <w:r>
              <w:t xml:space="preserve">74.9</w:t>
            </w:r>
          </w:p>
        </w:tc>
      </w:tr>
      <w:tr>
        <w:tc>
          <w:tcPr/>
          <w:p>
            <w:pPr>
              <w:pStyle w:val="Compact"/>
              <w:jc w:val="left"/>
            </w:pPr>
            <w:r>
              <w:t xml:space="preserve">GPU</w:t>
            </w:r>
          </w:p>
        </w:tc>
        <w:tc>
          <w:tcPr/>
          <w:p>
            <w:pPr>
              <w:pStyle w:val="Compact"/>
              <w:jc w:val="right"/>
            </w:pPr>
            <w:r>
              <w:t xml:space="preserve">1.3M</w:t>
            </w:r>
          </w:p>
        </w:tc>
        <w:tc>
          <w:tcPr/>
          <w:p>
            <w:pPr>
              <w:pStyle w:val="Compact"/>
              <w:jc w:val="right"/>
            </w:pPr>
            <w:r>
              <w:t xml:space="preserve">4</w:t>
            </w:r>
          </w:p>
        </w:tc>
        <w:tc>
          <w:tcPr/>
          <w:p>
            <w:pPr>
              <w:pStyle w:val="Compact"/>
              <w:jc w:val="right"/>
            </w:pPr>
            <w:r>
              <w:t xml:space="preserve">486.6</w:t>
            </w:r>
          </w:p>
        </w:tc>
        <w:tc>
          <w:tcPr/>
          <w:p>
            <w:pPr>
              <w:pStyle w:val="Compact"/>
              <w:jc w:val="right"/>
            </w:pPr>
            <w:r>
              <w:t xml:space="preserve">20.2</w:t>
            </w:r>
          </w:p>
        </w:tc>
        <w:tc>
          <w:tcPr/>
          <w:p>
            <w:pPr>
              <w:pStyle w:val="Compact"/>
              <w:jc w:val="right"/>
            </w:pPr>
            <w:r>
              <w:t xml:space="preserve">60.7</w:t>
            </w:r>
          </w:p>
        </w:tc>
        <w:tc>
          <w:tcPr/>
          <w:p>
            <w:pPr>
              <w:pStyle w:val="Compact"/>
              <w:jc w:val="right"/>
            </w:pPr>
            <w:r>
              <w:t xml:space="preserve">92.7</w:t>
            </w:r>
          </w:p>
        </w:tc>
      </w:tr>
      <w:tr>
        <w:tc>
          <w:tcPr/>
          <w:p>
            <w:pPr>
              <w:pStyle w:val="Compact"/>
              <w:jc w:val="left"/>
            </w:pPr>
            <w:r>
              <w:t xml:space="preserve">GPU</w:t>
            </w:r>
          </w:p>
        </w:tc>
        <w:tc>
          <w:tcPr/>
          <w:p>
            <w:pPr>
              <w:pStyle w:val="Compact"/>
              <w:jc w:val="right"/>
            </w:pPr>
            <w:r>
              <w:t xml:space="preserve">1.3M</w:t>
            </w:r>
          </w:p>
        </w:tc>
        <w:tc>
          <w:tcPr/>
          <w:p>
            <w:pPr>
              <w:pStyle w:val="Compact"/>
              <w:jc w:val="right"/>
            </w:pPr>
            <w:r>
              <w:t xml:space="preserve">8</w:t>
            </w:r>
          </w:p>
        </w:tc>
        <w:tc>
          <w:tcPr/>
          <w:p>
            <w:pPr>
              <w:pStyle w:val="Compact"/>
              <w:jc w:val="right"/>
            </w:pPr>
            <w:r>
              <w:t xml:space="preserve">435.2</w:t>
            </w:r>
          </w:p>
        </w:tc>
        <w:tc>
          <w:tcPr/>
          <w:p>
            <w:pPr>
              <w:pStyle w:val="Compact"/>
              <w:jc w:val="right"/>
            </w:pPr>
            <w:r>
              <w:t xml:space="preserve">16.2</w:t>
            </w:r>
          </w:p>
        </w:tc>
        <w:tc>
          <w:tcPr/>
          <w:p>
            <w:pPr>
              <w:pStyle w:val="Compact"/>
              <w:jc w:val="right"/>
            </w:pPr>
            <w:r>
              <w:t xml:space="preserve">52.3</w:t>
            </w:r>
          </w:p>
        </w:tc>
        <w:tc>
          <w:tcPr/>
          <w:p>
            <w:pPr>
              <w:pStyle w:val="Compact"/>
              <w:jc w:val="right"/>
            </w:pPr>
            <w:r>
              <w:t xml:space="preserve">134.2</w:t>
            </w:r>
          </w:p>
        </w:tc>
      </w:tr>
    </w:tbl>
    <w:p/>
    <w:p>
      <w:pPr>
        <w:pStyle w:val="TableCaption"/>
      </w:pPr>
      <w:r>
        <w:rPr>
          <w:bCs/>
          <w:b/>
        </w:rPr>
        <w:t xml:space="preserve">Table 2.</w:t>
      </w:r>
      <w:r>
        <w:t xml:space="preserve"> </w:t>
      </w:r>
      <w:r>
        <w:t xml:space="preserve">Stress test results: maximum cell count on a single DGX H100 node (8</w:t>
      </w:r>
      <m:oMath>
        <m:r>
          <m:rPr>
            <m:sty m:val="p"/>
          </m:rPr>
          <m:t>×</m:t>
        </m:r>
      </m:oMath>
      <w:r>
        <w:t xml:space="preserve">H100, 2 TB RAM) using the memory-optimised pipeline. {#tbl:stress}</w:t>
      </w:r>
    </w:p>
    <w:tbl>
      <w:tblPr>
        <w:tblStyle w:val="Table"/>
        <w:tblW w:type="auto" w:w="0"/>
        <w:tblLook w:firstRow="1" w:lastRow="0" w:firstColumn="0" w:lastColumn="0" w:noHBand="0" w:noVBand="0" w:val="0020"/>
        <w:jc w:val="start"/>
        <w:tblCaption w:val="Table 2. Stress test results: maximum cell count on a single DGX H100 node (8\timesH100, 2 TB RAM) using the memory-optimised pipeline. {#tbl:stress}"/>
      </w:tblPr>
      <w:tblGrid>
        <w:gridCol w:w="1584"/>
        <w:gridCol w:w="1584"/>
        <w:gridCol w:w="1584"/>
        <w:gridCol w:w="1584"/>
        <w:gridCol w:w="1584"/>
      </w:tblGrid>
      <w:tr>
        <w:trPr>
          <w:tblHeader w:val="true"/>
        </w:trPr>
        <w:tc>
          <w:tcPr/>
          <w:p>
            <w:pPr>
              <w:pStyle w:val="Compact"/>
              <w:jc w:val="right"/>
            </w:pPr>
            <w:r>
              <w:t xml:space="preserve">Cells</w:t>
            </w:r>
          </w:p>
        </w:tc>
        <w:tc>
          <w:tcPr/>
          <w:p>
            <w:pPr>
              <w:pStyle w:val="Compact"/>
              <w:jc w:val="right"/>
            </w:pPr>
            <w:r>
              <w:t xml:space="preserve">Runtime (min)</w:t>
            </w:r>
          </w:p>
        </w:tc>
        <w:tc>
          <w:tcPr/>
          <w:p>
            <w:pPr>
              <w:pStyle w:val="Compact"/>
              <w:jc w:val="right"/>
            </w:pPr>
            <w:r>
              <w:t xml:space="preserve">CPU RAM (GB)</w:t>
            </w:r>
          </w:p>
        </w:tc>
        <w:tc>
          <w:tcPr/>
          <w:p>
            <w:pPr>
              <w:pStyle w:val="Compact"/>
              <w:jc w:val="right"/>
            </w:pPr>
            <w:r>
              <w:t xml:space="preserve">GPU VRAM (GB)</w:t>
            </w:r>
          </w:p>
        </w:tc>
        <w:tc>
          <w:tcPr/>
          <w:p>
            <w:pPr>
              <w:pStyle w:val="Compact"/>
              <w:jc w:val="left"/>
            </w:pPr>
            <w:r>
              <w:t xml:space="preserve">Status</w:t>
            </w:r>
          </w:p>
        </w:tc>
      </w:tr>
      <w:tr>
        <w:tc>
          <w:tcPr/>
          <w:p>
            <w:pPr>
              <w:pStyle w:val="Compact"/>
              <w:jc w:val="right"/>
            </w:pPr>
            <w:r>
              <w:t xml:space="preserve">3.4M</w:t>
            </w:r>
          </w:p>
        </w:tc>
        <w:tc>
          <w:tcPr/>
          <w:p>
            <w:pPr>
              <w:pStyle w:val="Compact"/>
              <w:jc w:val="right"/>
            </w:pPr>
            <w:r>
              <w:t xml:space="preserve">18</w:t>
            </w:r>
          </w:p>
        </w:tc>
        <w:tc>
          <w:tcPr/>
          <w:p>
            <w:pPr>
              <w:pStyle w:val="Compact"/>
              <w:jc w:val="right"/>
            </w:pPr>
            <w:r>
              <w:t xml:space="preserve">155</w:t>
            </w:r>
          </w:p>
        </w:tc>
        <w:tc>
          <w:tcPr/>
          <w:p>
            <w:pPr>
              <w:pStyle w:val="Compact"/>
              <w:jc w:val="right"/>
            </w:pPr>
            <w:r>
              <w:t xml:space="preserve">49</w:t>
            </w:r>
          </w:p>
        </w:tc>
        <w:tc>
          <w:tcPr/>
          <w:p>
            <w:pPr>
              <w:pStyle w:val="Compact"/>
              <w:jc w:val="left"/>
            </w:pPr>
            <w:r>
              <w:t xml:space="preserve">Pass</w:t>
            </w:r>
          </w:p>
        </w:tc>
      </w:tr>
      <w:tr>
        <w:tc>
          <w:tcPr/>
          <w:p>
            <w:pPr>
              <w:pStyle w:val="Compact"/>
              <w:jc w:val="right"/>
            </w:pPr>
            <w:r>
              <w:t xml:space="preserve">6.9M</w:t>
            </w:r>
          </w:p>
        </w:tc>
        <w:tc>
          <w:tcPr/>
          <w:p>
            <w:pPr>
              <w:pStyle w:val="Compact"/>
              <w:jc w:val="right"/>
            </w:pPr>
            <w:r>
              <w:t xml:space="preserve">35</w:t>
            </w:r>
          </w:p>
        </w:tc>
        <w:tc>
          <w:tcPr/>
          <w:p>
            <w:pPr>
              <w:pStyle w:val="Compact"/>
              <w:jc w:val="right"/>
            </w:pPr>
            <w:r>
              <w:t xml:space="preserve">308</w:t>
            </w:r>
          </w:p>
        </w:tc>
        <w:tc>
          <w:tcPr/>
          <w:p>
            <w:pPr>
              <w:pStyle w:val="Compact"/>
              <w:jc w:val="right"/>
            </w:pPr>
            <w:r>
              <w:t xml:space="preserve">49</w:t>
            </w:r>
          </w:p>
        </w:tc>
        <w:tc>
          <w:tcPr/>
          <w:p>
            <w:pPr>
              <w:pStyle w:val="Compact"/>
              <w:jc w:val="left"/>
            </w:pPr>
            <w:r>
              <w:t xml:space="preserve">Pass</w:t>
            </w:r>
          </w:p>
        </w:tc>
      </w:tr>
      <w:tr>
        <w:tc>
          <w:tcPr/>
          <w:p>
            <w:pPr>
              <w:pStyle w:val="Compact"/>
              <w:jc w:val="right"/>
            </w:pPr>
            <w:r>
              <w:t xml:space="preserve">10.3M</w:t>
            </w:r>
          </w:p>
        </w:tc>
        <w:tc>
          <w:tcPr/>
          <w:p>
            <w:pPr>
              <w:pStyle w:val="Compact"/>
              <w:jc w:val="right"/>
            </w:pPr>
            <w:r>
              <w:t xml:space="preserve">73</w:t>
            </w:r>
          </w:p>
        </w:tc>
        <w:tc>
          <w:tcPr/>
          <w:p>
            <w:pPr>
              <w:pStyle w:val="Compact"/>
              <w:jc w:val="right"/>
            </w:pPr>
            <w:r>
              <w:t xml:space="preserve">465</w:t>
            </w:r>
          </w:p>
        </w:tc>
        <w:tc>
          <w:tcPr/>
          <w:p>
            <w:pPr>
              <w:pStyle w:val="Compact"/>
              <w:jc w:val="right"/>
            </w:pPr>
            <w:r>
              <w:t xml:space="preserve">49</w:t>
            </w:r>
          </w:p>
        </w:tc>
        <w:tc>
          <w:tcPr/>
          <w:p>
            <w:pPr>
              <w:pStyle w:val="Compact"/>
              <w:jc w:val="left"/>
            </w:pPr>
            <w:r>
              <w:t xml:space="preserve">Pass</w:t>
            </w:r>
          </w:p>
        </w:tc>
      </w:tr>
      <w:tr>
        <w:tc>
          <w:tcPr/>
          <w:p>
            <w:pPr>
              <w:pStyle w:val="Compact"/>
              <w:jc w:val="right"/>
            </w:pPr>
            <w:r>
              <w:t xml:space="preserve">11.5M</w:t>
            </w:r>
          </w:p>
        </w:tc>
        <w:tc>
          <w:tcPr/>
          <w:p>
            <w:pPr>
              <w:pStyle w:val="Compact"/>
              <w:jc w:val="right"/>
            </w:pPr>
            <w:r>
              <w:t xml:space="preserve">114</w:t>
            </w:r>
          </w:p>
        </w:tc>
        <w:tc>
          <w:tcPr/>
          <w:p>
            <w:pPr>
              <w:pStyle w:val="Compact"/>
              <w:jc w:val="right"/>
            </w:pPr>
            <w:r>
              <w:t xml:space="preserve">517</w:t>
            </w:r>
          </w:p>
        </w:tc>
        <w:tc>
          <w:tcPr/>
          <w:p>
            <w:pPr>
              <w:pStyle w:val="Compact"/>
              <w:jc w:val="right"/>
            </w:pPr>
            <w:r>
              <w:t xml:space="preserve">49</w:t>
            </w:r>
          </w:p>
        </w:tc>
        <w:tc>
          <w:tcPr/>
          <w:p>
            <w:pPr>
              <w:pStyle w:val="Compact"/>
              <w:jc w:val="left"/>
            </w:pPr>
            <w:r>
              <w:t xml:space="preserve">Pass</w:t>
            </w:r>
          </w:p>
        </w:tc>
      </w:tr>
      <w:tr>
        <w:tc>
          <w:tcPr/>
          <w:p>
            <w:pPr>
              <w:pStyle w:val="Compact"/>
              <w:jc w:val="right"/>
            </w:pPr>
            <w:r>
              <w:t xml:space="preserve">11.9M</w:t>
            </w:r>
          </w:p>
        </w:tc>
        <w:tc>
          <w:tcPr/>
          <w:p>
            <w:pPr>
              <w:pStyle w:val="Compact"/>
              <w:jc w:val="right"/>
            </w:pPr>
            <w:r>
              <w:t xml:space="preserve">119</w:t>
            </w:r>
          </w:p>
        </w:tc>
        <w:tc>
          <w:tcPr/>
          <w:p>
            <w:pPr>
              <w:pStyle w:val="Compact"/>
              <w:jc w:val="right"/>
            </w:pPr>
            <w:r>
              <w:t xml:space="preserve">535</w:t>
            </w:r>
          </w:p>
        </w:tc>
        <w:tc>
          <w:tcPr/>
          <w:p>
            <w:pPr>
              <w:pStyle w:val="Compact"/>
              <w:jc w:val="right"/>
            </w:pPr>
            <w:r>
              <w:t xml:space="preserve">49</w:t>
            </w:r>
          </w:p>
        </w:tc>
        <w:tc>
          <w:tcPr/>
          <w:p>
            <w:pPr>
              <w:pStyle w:val="Compact"/>
              <w:jc w:val="left"/>
            </w:pPr>
            <w:r>
              <w:rPr>
                <w:bCs/>
                <w:b/>
              </w:rPr>
              <w:t xml:space="preserve">Pass (max)</w:t>
            </w:r>
          </w:p>
        </w:tc>
      </w:tr>
      <w:tr>
        <w:tc>
          <w:tcPr/>
          <w:p>
            <w:pPr>
              <w:pStyle w:val="Compact"/>
              <w:jc w:val="right"/>
            </w:pPr>
            <w:r>
              <w:t xml:space="preserve">12.0M</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left"/>
            </w:pPr>
            <w:r>
              <w:t xml:space="preserve">Fail (Leiden OOM)</w:t>
            </w:r>
          </w:p>
        </w:tc>
      </w:tr>
      <w:tr>
        <w:tc>
          <w:tcPr/>
          <w:p>
            <w:pPr>
              <w:pStyle w:val="Compact"/>
              <w:jc w:val="right"/>
            </w:pPr>
            <w:r>
              <w:t xml:space="preserve">13.7M</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left"/>
            </w:pPr>
            <w:r>
              <w:t xml:space="preserve">Fail (scale OOM)</w:t>
            </w:r>
          </w:p>
        </w:tc>
      </w:tr>
    </w:tbl>
    <w:p/>
    <w:p>
      <w:pPr>
        <w:pStyle w:val="TableCaption"/>
      </w:pPr>
      <w:r>
        <w:rPr>
          <w:bCs/>
          <w:b/>
        </w:rPr>
        <w:t xml:space="preserve">Table 3.</w:t>
      </w:r>
      <w:r>
        <w:t xml:space="preserve"> </w:t>
      </w:r>
      <w:r>
        <w:t xml:space="preserve">Differential expression benchmark at 3.4M cells</w:t>
      </w:r>
      <w:r>
        <w:t xml:space="preserve"> </w:t>
      </w:r>
      <m:oMath>
        <m:r>
          <m:rPr>
            <m:sty m:val="p"/>
          </m:rPr>
          <m:t>×</m:t>
        </m:r>
      </m:oMath>
      <w:r>
        <w:t xml:space="preserve"> </w:t>
      </w:r>
      <w:r>
        <w:t xml:space="preserve">41k genes</w:t>
      </w:r>
      <w:r>
        <w:t xml:space="preserve"> </w:t>
      </w:r>
      <m:oMath>
        <m:r>
          <m:rPr>
            <m:sty m:val="p"/>
          </m:rPr>
          <m:t>×</m:t>
        </m:r>
      </m:oMath>
      <w:r>
        <w:t xml:space="preserve"> </w:t>
      </w:r>
      <w:r>
        <w:t xml:space="preserve">81 Leiden clusters. Speedup is relative to CPU</w:t>
      </w:r>
      <w:r>
        <w:t xml:space="preserve"> </w:t>
      </w:r>
      <m:oMath>
        <m:r>
          <m:t>t</m:t>
        </m:r>
      </m:oMath>
      <w:r>
        <w:t xml:space="preserve">-test (5,598 s). {#tbl:de}</w:t>
      </w:r>
    </w:p>
    <w:tbl>
      <w:tblPr>
        <w:tblStyle w:val="Table"/>
        <w:tblW w:type="auto" w:w="0"/>
        <w:tblLook w:firstRow="1" w:lastRow="0" w:firstColumn="0" w:lastColumn="0" w:noHBand="0" w:noVBand="0" w:val="0020"/>
        <w:jc w:val="start"/>
        <w:tblCaption w:val="Table 3. Differential expression benchmark at 3.4M cells \times 41k genes \times 81 Leiden clusters. Speedup is relative to CPU t-test (5,598 s). {#tbl:de}"/>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Backend</w:t>
            </w:r>
          </w:p>
        </w:tc>
        <w:tc>
          <w:tcPr/>
          <w:p>
            <w:pPr>
              <w:pStyle w:val="Compact"/>
              <w:jc w:val="right"/>
            </w:pPr>
            <w:r>
              <w:t xml:space="preserve">GPUs</w:t>
            </w:r>
          </w:p>
        </w:tc>
        <w:tc>
          <w:tcPr/>
          <w:p>
            <w:pPr>
              <w:pStyle w:val="Compact"/>
              <w:jc w:val="right"/>
            </w:pPr>
            <w:r>
              <w:t xml:space="preserve">Time (s)</w:t>
            </w:r>
          </w:p>
        </w:tc>
        <w:tc>
          <w:tcPr/>
          <w:p>
            <w:pPr>
              <w:pStyle w:val="Compact"/>
              <w:jc w:val="right"/>
            </w:pPr>
            <w:r>
              <w:t xml:space="preserve">Speedup</w:t>
            </w:r>
          </w:p>
        </w:tc>
      </w:tr>
      <w:tr>
        <w:tc>
          <w:tcPr/>
          <w:p>
            <w:pPr>
              <w:pStyle w:val="Compact"/>
              <w:jc w:val="left"/>
            </w:pPr>
            <m:oMath>
              <m:r>
                <m:t>t</m:t>
              </m:r>
            </m:oMath>
            <w:r>
              <w:t xml:space="preserve">-test</w:t>
            </w:r>
          </w:p>
        </w:tc>
        <w:tc>
          <w:tcPr/>
          <w:p>
            <w:pPr>
              <w:pStyle w:val="Compact"/>
              <w:jc w:val="left"/>
            </w:pPr>
            <w:r>
              <w:t xml:space="preserve">CPU</w:t>
            </w:r>
          </w:p>
        </w:tc>
        <w:tc>
          <w:tcPr/>
          <w:p>
            <w:pPr>
              <w:pStyle w:val="Compact"/>
              <w:jc w:val="right"/>
            </w:pPr>
            <w:r>
              <w:t xml:space="preserve">0</w:t>
            </w:r>
          </w:p>
        </w:tc>
        <w:tc>
          <w:tcPr/>
          <w:p>
            <w:pPr>
              <w:pStyle w:val="Compact"/>
              <w:jc w:val="right"/>
            </w:pPr>
            <w:r>
              <w:t xml:space="preserve">5,598</w:t>
            </w:r>
          </w:p>
        </w:tc>
        <w:tc>
          <w:tcPr/>
          <w:p>
            <w:pPr>
              <w:pStyle w:val="Compact"/>
              <w:jc w:val="right"/>
            </w:pPr>
            <w:r>
              <w:t xml:space="preserve">1.0</w:t>
            </w:r>
            <m:oMath>
              <m:r>
                <m:rPr>
                  <m:sty m:val="p"/>
                </m:rPr>
                <m:t>×</m:t>
              </m:r>
            </m:oMath>
          </w:p>
        </w:tc>
      </w:tr>
      <w:tr>
        <w:tc>
          <w:tcPr/>
          <w:p>
            <w:pPr>
              <w:pStyle w:val="Compact"/>
              <w:jc w:val="left"/>
            </w:pPr>
            <w:r>
              <w:t xml:space="preserve">Pseudo-bulk (Wilcoxon)</w:t>
            </w:r>
          </w:p>
        </w:tc>
        <w:tc>
          <w:tcPr/>
          <w:p>
            <w:pPr>
              <w:pStyle w:val="Compact"/>
              <w:jc w:val="left"/>
            </w:pPr>
            <w:r>
              <w:t xml:space="preserve">CPU (aggregated)</w:t>
            </w:r>
          </w:p>
        </w:tc>
        <w:tc>
          <w:tcPr/>
          <w:p>
            <w:pPr>
              <w:pStyle w:val="Compact"/>
              <w:jc w:val="right"/>
            </w:pPr>
            <w:r>
              <w:t xml:space="preserve">0</w:t>
            </w:r>
          </w:p>
        </w:tc>
        <w:tc>
          <w:tcPr/>
          <w:p>
            <w:pPr>
              <w:pStyle w:val="Compact"/>
              <w:jc w:val="right"/>
            </w:pPr>
            <w:r>
              <w:t xml:space="preserve">128</w:t>
            </w:r>
          </w:p>
        </w:tc>
        <w:tc>
          <w:tcPr/>
          <w:p>
            <w:pPr>
              <w:pStyle w:val="Compact"/>
              <w:jc w:val="right"/>
            </w:pPr>
            <w:r>
              <w:t xml:space="preserve">43.7</w:t>
            </w:r>
            <m:oMath>
              <m:r>
                <m:rPr>
                  <m:sty m:val="p"/>
                </m:rPr>
                <m:t>×</m:t>
              </m:r>
            </m:oMath>
          </w:p>
        </w:tc>
      </w:tr>
      <w:tr>
        <w:tc>
          <w:tcPr/>
          <w:p>
            <w:pPr>
              <w:pStyle w:val="Compact"/>
              <w:jc w:val="left"/>
            </w:pPr>
            <w:r>
              <w:t xml:space="preserve">Wilcoxon (scatter)</w:t>
            </w:r>
          </w:p>
        </w:tc>
        <w:tc>
          <w:tcPr/>
          <w:p>
            <w:pPr>
              <w:pStyle w:val="Compact"/>
              <w:jc w:val="left"/>
            </w:pPr>
            <w:r>
              <w:t xml:space="preserve">GPU</w:t>
            </w:r>
          </w:p>
        </w:tc>
        <w:tc>
          <w:tcPr/>
          <w:p>
            <w:pPr>
              <w:pStyle w:val="Compact"/>
              <w:jc w:val="right"/>
            </w:pPr>
            <w:r>
              <w:t xml:space="preserve">8</w:t>
            </w:r>
          </w:p>
        </w:tc>
        <w:tc>
          <w:tcPr/>
          <w:p>
            <w:pPr>
              <w:pStyle w:val="Compact"/>
              <w:jc w:val="right"/>
            </w:pPr>
            <w:r>
              <w:t xml:space="preserve">826</w:t>
            </w:r>
          </w:p>
        </w:tc>
        <w:tc>
          <w:tcPr/>
          <w:p>
            <w:pPr>
              <w:pStyle w:val="Compact"/>
              <w:jc w:val="right"/>
            </w:pPr>
            <w:r>
              <w:t xml:space="preserve">6.8</w:t>
            </w:r>
            <m:oMath>
              <m:r>
                <m:rPr>
                  <m:sty m:val="p"/>
                </m:rPr>
                <m:t>×</m:t>
              </m:r>
            </m:oMath>
          </w:p>
        </w:tc>
      </w:tr>
      <w:tr>
        <w:tc>
          <w:tcPr/>
          <w:p>
            <w:pPr>
              <w:pStyle w:val="Compact"/>
              <w:jc w:val="left"/>
            </w:pPr>
            <w:r>
              <w:t xml:space="preserve">Wilcoxon (chunk-stream)</w:t>
            </w:r>
          </w:p>
        </w:tc>
        <w:tc>
          <w:tcPr/>
          <w:p>
            <w:pPr>
              <w:pStyle w:val="Compact"/>
              <w:jc w:val="left"/>
            </w:pPr>
            <w:r>
              <w:t xml:space="preserve">GPU</w:t>
            </w:r>
          </w:p>
        </w:tc>
        <w:tc>
          <w:tcPr/>
          <w:p>
            <w:pPr>
              <w:pStyle w:val="Compact"/>
              <w:jc w:val="right"/>
            </w:pPr>
            <w:r>
              <w:t xml:space="preserve">1</w:t>
            </w:r>
          </w:p>
        </w:tc>
        <w:tc>
          <w:tcPr/>
          <w:p>
            <w:pPr>
              <w:pStyle w:val="Compact"/>
              <w:jc w:val="right"/>
            </w:pPr>
            <w:r>
              <w:t xml:space="preserve">831</w:t>
            </w:r>
          </w:p>
        </w:tc>
        <w:tc>
          <w:tcPr/>
          <w:p>
            <w:pPr>
              <w:pStyle w:val="Compact"/>
              <w:jc w:val="right"/>
            </w:pPr>
            <w:r>
              <w:t xml:space="preserve">6.7</w:t>
            </w:r>
            <m:oMath>
              <m:r>
                <m:rPr>
                  <m:sty m:val="p"/>
                </m:rPr>
                <m:t>×</m:t>
              </m:r>
            </m:oMath>
          </w:p>
        </w:tc>
      </w:tr>
      <w:tr>
        <w:tc>
          <w:tcPr/>
          <w:p>
            <w:pPr>
              <w:pStyle w:val="Compact"/>
              <w:jc w:val="left"/>
            </w:pPr>
            <m:oMath>
              <m:r>
                <m:t>t</m:t>
              </m:r>
            </m:oMath>
            <w:r>
              <w:t xml:space="preserve">-test (scatter)</w:t>
            </w:r>
          </w:p>
        </w:tc>
        <w:tc>
          <w:tcPr/>
          <w:p>
            <w:pPr>
              <w:pStyle w:val="Compact"/>
              <w:jc w:val="left"/>
            </w:pPr>
            <w:r>
              <w:t xml:space="preserve">GPU</w:t>
            </w:r>
          </w:p>
        </w:tc>
        <w:tc>
          <w:tcPr/>
          <w:p>
            <w:pPr>
              <w:pStyle w:val="Compact"/>
              <w:jc w:val="right"/>
            </w:pPr>
            <w:r>
              <w:t xml:space="preserve">8</w:t>
            </w:r>
          </w:p>
        </w:tc>
        <w:tc>
          <w:tcPr/>
          <w:p>
            <w:pPr>
              <w:pStyle w:val="Compact"/>
              <w:jc w:val="right"/>
            </w:pPr>
            <w:r>
              <w:t xml:space="preserve">1,656</w:t>
            </w:r>
          </w:p>
        </w:tc>
        <w:tc>
          <w:tcPr/>
          <w:p>
            <w:pPr>
              <w:pStyle w:val="Compact"/>
              <w:jc w:val="right"/>
            </w:pPr>
            <w:r>
              <w:t xml:space="preserve">3.4</w:t>
            </w:r>
            <m:oMath>
              <m:r>
                <m:rPr>
                  <m:sty m:val="p"/>
                </m:rPr>
                <m:t>×</m:t>
              </m:r>
            </m:oMath>
          </w:p>
        </w:tc>
      </w:tr>
      <w:tr>
        <w:tc>
          <w:tcPr/>
          <w:p>
            <w:pPr>
              <w:pStyle w:val="Compact"/>
              <w:jc w:val="left"/>
            </w:pPr>
            <m:oMath>
              <m:r>
                <m:t>t</m:t>
              </m:r>
            </m:oMath>
            <w:r>
              <w:t xml:space="preserve">-test (chunk-stream)</w:t>
            </w:r>
          </w:p>
        </w:tc>
        <w:tc>
          <w:tcPr/>
          <w:p>
            <w:pPr>
              <w:pStyle w:val="Compact"/>
              <w:jc w:val="left"/>
            </w:pPr>
            <w:r>
              <w:t xml:space="preserve">GPU</w:t>
            </w:r>
          </w:p>
        </w:tc>
        <w:tc>
          <w:tcPr/>
          <w:p>
            <w:pPr>
              <w:pStyle w:val="Compact"/>
              <w:jc w:val="right"/>
            </w:pPr>
            <w:r>
              <w:t xml:space="preserve">1</w:t>
            </w:r>
          </w:p>
        </w:tc>
        <w:tc>
          <w:tcPr/>
          <w:p>
            <w:pPr>
              <w:pStyle w:val="Compact"/>
              <w:jc w:val="right"/>
            </w:pPr>
            <w:r>
              <w:t xml:space="preserve">1,650</w:t>
            </w:r>
          </w:p>
        </w:tc>
        <w:tc>
          <w:tcPr/>
          <w:p>
            <w:pPr>
              <w:pStyle w:val="Compact"/>
              <w:jc w:val="right"/>
            </w:pPr>
            <w:r>
              <w:t xml:space="preserve">3.4</w:t>
            </w:r>
            <m:oMath>
              <m:r>
                <m:rPr>
                  <m:sty m:val="p"/>
                </m:rPr>
                <m:t>×</m:t>
              </m:r>
            </m:oMath>
          </w:p>
        </w:tc>
      </w:tr>
    </w:tbl>
    <w:bookmarkEnd w:id="40"/>
    <w:bookmarkStart w:id="41" w:name="figures"/>
    <w:p>
      <w:pPr>
        <w:pStyle w:val="Heading1"/>
      </w:pPr>
      <w:r>
        <w:rPr>
          <w:rStyle w:val="SectionNumber"/>
        </w:rPr>
        <w:t xml:space="preserve">6</w:t>
      </w:r>
      <w:r>
        <w:tab/>
      </w:r>
      <w:r>
        <w:t xml:space="preserve">Figures</w:t>
      </w:r>
    </w:p>
    <w:p>
      <w:pPr>
        <w:pStyle w:val="FirstParagraph"/>
      </w:pPr>
      <w:r>
        <w:rPr>
          <w:bCs/>
          <w:b/>
        </w:rPr>
        <w:t xml:space="preserve">Figure 1.</w:t>
      </w:r>
      <w:r>
        <w:t xml:space="preserve"> </w:t>
      </w:r>
      <w:r>
        <w:t xml:space="preserve">Per-step speedup of single-GPU rapids-singlecell (1</w:t>
      </w:r>
      <m:oMath>
        <m:r>
          <m:rPr>
            <m:sty m:val="p"/>
          </m:rPr>
          <m:t>×</m:t>
        </m:r>
      </m:oMath>
      <w:r>
        <w:t xml:space="preserve">H100 80 GB) relative to CPU Scanpy (100 cores) at 10k, 50k, and 100k cells. Values &gt; 1 indicate GPU is faster. Normalisation achieves up to 329</w:t>
      </w:r>
      <m:oMath>
        <m:r>
          <m:rPr>
            <m:sty m:val="p"/>
          </m:rPr>
          <m:t>×</m:t>
        </m:r>
      </m:oMath>
      <w:r>
        <w:t xml:space="preserve"> </w:t>
      </w:r>
      <w:r>
        <w:t xml:space="preserve">speedup; data loading shows a modest CPU advantage (0.76–0.85</w:t>
      </w:r>
      <m:oMath>
        <m:r>
          <m:rPr>
            <m:sty m:val="p"/>
          </m:rPr>
          <m:t>×</m:t>
        </m:r>
      </m:oMath>
      <w:r>
        <w:t xml:space="preserve">).</w:t>
      </w:r>
    </w:p>
    <w:p>
      <w:pPr>
        <w:pStyle w:val="BodyText"/>
      </w:pPr>
      <w:r>
        <w:rPr>
          <w:bCs/>
          <w:b/>
        </w:rPr>
        <w:t xml:space="preserve">Figure 2.</w:t>
      </w:r>
      <w:r>
        <w:t xml:space="preserve"> </w:t>
      </w:r>
      <w:r>
        <w:t xml:space="preserve">Total pipeline wall time vs number of GPUs (1, 2, 4, 8 H100), one line per dataset size. Error bars: SD over five repeats. Horizontal dotted lines: CPU baselines. Logarithmic</w:t>
      </w:r>
      <w:r>
        <w:t xml:space="preserve"> </w:t>
      </w:r>
      <m:oMath>
        <m:r>
          <m:t>y</m:t>
        </m:r>
      </m:oMath>
      <w:r>
        <w:t xml:space="preserve">-axis. Flat GPU curves demonstrate sublinear multi-GPU scaling.</w:t>
      </w:r>
    </w:p>
    <w:p>
      <w:pPr>
        <w:pStyle w:val="BodyText"/>
      </w:pPr>
      <w:r>
        <w:rPr>
          <w:bCs/>
          <w:b/>
        </w:rPr>
        <w:t xml:space="preserve">Figure 3.</w:t>
      </w:r>
      <w:r>
        <w:t xml:space="preserve"> </w:t>
      </w:r>
      <w:r>
        <w:t xml:space="preserve">Concordance between CPU and GPU pipelines on 10,000 cells. Left: ARI and NMI for Leiden clustering at three resolutions. Right: HVG Jaccard (1.000), PCA Spearman</w:t>
      </w:r>
      <w:r>
        <w:t xml:space="preserve"> </w:t>
      </w:r>
      <m:oMath>
        <m:d>
          <m:dPr>
            <m:begChr m:val="|"/>
            <m:endChr m:val="|"/>
            <m:sepChr m:val=""/>
            <m:grow/>
          </m:dPr>
          <m:e>
            <m:r>
              <m:t>ρ</m:t>
            </m:r>
          </m:e>
        </m:d>
      </m:oMath>
      <w:r>
        <w:t xml:space="preserve"> </w:t>
      </w:r>
      <w:r>
        <w:t xml:space="preserve">(1.000), and</w:t>
      </w:r>
      <w:r>
        <w:t xml:space="preserve"> </w:t>
      </w:r>
      <m:oMath>
        <m:r>
          <m:t>k</m:t>
        </m:r>
      </m:oMath>
      <w:r>
        <w:t xml:space="preserve">NN Jaccard (0.930). All metrics indicate near-identical biological outputs.</w:t>
      </w:r>
    </w:p>
    <w:p>
      <w:pPr>
        <w:pStyle w:val="BodyText"/>
      </w:pPr>
      <w:r>
        <w:rPr>
          <w:bCs/>
          <w:b/>
        </w:rPr>
        <w:t xml:space="preserve">Figure 4.</w:t>
      </w:r>
      <w:r>
        <w:t xml:space="preserve"> </w:t>
      </w:r>
      <w:r>
        <w:t xml:space="preserve">Peak memory usage across dataset sizes. Left: CPU RAM; right: GPU VRAM (per-device maximum). Dashed red line: H100 80 GB VRAM limit. CPU RAM grows super-linearly; GPU VRAM is approximately constant for single-GPU runs due to RMM pool pre-allocation.</w:t>
      </w:r>
    </w:p>
    <w:p>
      <w:pPr>
        <w:pStyle w:val="BodyText"/>
      </w:pPr>
      <w:r>
        <w:rPr>
          <w:bCs/>
          <w:b/>
        </w:rPr>
        <w:t xml:space="preserve">Figure 5.</w:t>
      </w:r>
      <w:r>
        <w:t xml:space="preserve"> </w:t>
      </w:r>
      <w:r>
        <w:t xml:space="preserve">Step-level wall time decomposition for CPU vs single-GPU at 10k, 50k, and 100k cells. On CPU, DE testing and neighbour graph construction dominate; on GPU, all steps complete in seconds.</w:t>
      </w:r>
    </w:p>
    <w:p>
      <w:pPr>
        <w:pStyle w:val="BodyText"/>
      </w:pPr>
      <w:r>
        <w:rPr>
          <w:bCs/>
          <w:b/>
        </w:rPr>
        <w:t xml:space="preserve">Figure 6.</w:t>
      </w:r>
      <w:r>
        <w:t xml:space="preserve"> </w:t>
      </w:r>
      <w:r>
        <w:t xml:space="preserve">Multi-GPU hybrid pipeline breakdown at 500k and 1.3M cells. CPU preprocessing (blue) dominates wall time; the multi-GPU phase (PCA + neighbours, pink) is a small fraction, explaining flat multi-GPU scaling.</w:t>
      </w:r>
    </w:p>
    <w:bookmarkEnd w:id="41"/>
    <w:bookmarkStart w:id="103" w:name="references"/>
    <w:p>
      <w:pPr>
        <w:pStyle w:val="Heading1"/>
      </w:pPr>
      <w:r>
        <w:t xml:space="preserve">References</w:t>
      </w:r>
    </w:p>
    <w:bookmarkStart w:id="102" w:name="refs"/>
    <w:bookmarkStart w:id="43" w:name="ref-Amdahl1967"/>
    <w:p>
      <w:pPr>
        <w:pStyle w:val="Bibliography"/>
      </w:pPr>
      <w:r>
        <w:t xml:space="preserve">Amdahl, Gene M. 1967.</w:t>
      </w:r>
      <w:r>
        <w:t xml:space="preserve"> </w:t>
      </w:r>
      <w:r>
        <w:t xml:space="preserve">“Validity of the Single Processor Approach to Achieving Large Scale Computing Capabilities.”</w:t>
      </w:r>
      <w:r>
        <w:t xml:space="preserve"> </w:t>
      </w:r>
      <w:r>
        <w:t xml:space="preserve">In</w:t>
      </w:r>
      <w:r>
        <w:t xml:space="preserve"> </w:t>
      </w:r>
      <w:r>
        <w:rPr>
          <w:iCs/>
          <w:i/>
        </w:rPr>
        <w:t xml:space="preserve">Proceedings of the April 18–20, 1967, Spring Joint Computer Conference (AFIPS ’67)</w:t>
      </w:r>
      <w:r>
        <w:t xml:space="preserve">, 483–85.</w:t>
      </w:r>
      <w:r>
        <w:t xml:space="preserve"> </w:t>
      </w:r>
      <w:hyperlink r:id="rId42">
        <w:r>
          <w:rPr>
            <w:rStyle w:val="Hyperlink"/>
          </w:rPr>
          <w:t xml:space="preserve">https://doi.org/10.1145/1465482.1465560</w:t>
        </w:r>
      </w:hyperlink>
      <w:r>
        <w:t xml:space="preserve">.</w:t>
      </w:r>
    </w:p>
    <w:bookmarkEnd w:id="43"/>
    <w:bookmarkStart w:id="45" w:name="ref-Collange2015"/>
    <w:p>
      <w:pPr>
        <w:pStyle w:val="Bibliography"/>
      </w:pPr>
      <w:r>
        <w:t xml:space="preserve">Collange, Sylvain, David Defour, Stef Graillat, and Roman Iakymchuk. 2015.</w:t>
      </w:r>
      <w:r>
        <w:t xml:space="preserve"> </w:t>
      </w:r>
      <w:r>
        <w:t xml:space="preserve">“Numerical Reproducibility for the Parallel Reduction on Multi- and Many-Core Architectures.”</w:t>
      </w:r>
      <w:r>
        <w:t xml:space="preserve"> </w:t>
      </w:r>
      <w:r>
        <w:rPr>
          <w:iCs/>
          <w:i/>
        </w:rPr>
        <w:t xml:space="preserve">Parallel Computing</w:t>
      </w:r>
      <w:r>
        <w:t xml:space="preserve"> </w:t>
      </w:r>
      <w:r>
        <w:t xml:space="preserve">49: 83–97.</w:t>
      </w:r>
      <w:r>
        <w:t xml:space="preserve"> </w:t>
      </w:r>
      <w:hyperlink r:id="rId44">
        <w:r>
          <w:rPr>
            <w:rStyle w:val="Hyperlink"/>
          </w:rPr>
          <w:t xml:space="preserve">https://doi.org/10.1016/j.parco.2015.09.001</w:t>
        </w:r>
      </w:hyperlink>
      <w:r>
        <w:t xml:space="preserve">.</w:t>
      </w:r>
    </w:p>
    <w:bookmarkEnd w:id="45"/>
    <w:bookmarkStart w:id="47" w:name="ref-Dicks2026"/>
    <w:p>
      <w:pPr>
        <w:pStyle w:val="Bibliography"/>
      </w:pPr>
      <w:r>
        <w:t xml:space="preserve">Dicks, Severin, Lukas Heumos, Lilly May, Sara Jimenez, Philipp Angerer, Ilan Gold, Isaac Virshup, et al. 2026.</w:t>
      </w:r>
      <w:r>
        <w:t xml:space="preserve"> </w:t>
      </w:r>
      <w:r>
        <w:t xml:space="preserve">“</w:t>
      </w:r>
      <w:r>
        <w:t xml:space="preserve">GPU</w:t>
      </w:r>
      <w:r>
        <w:t xml:space="preserve">-Accelerated Single-Cell Analysis at Scale with Rapids-Singlecell.”</w:t>
      </w:r>
      <w:r>
        <w:t xml:space="preserve"> </w:t>
      </w:r>
      <w:r>
        <w:rPr>
          <w:iCs/>
          <w:i/>
        </w:rPr>
        <w:t xml:space="preserve">arXiv Preprint arXiv:2603.02402</w:t>
      </w:r>
      <w:r>
        <w:t xml:space="preserve">.</w:t>
      </w:r>
      <w:r>
        <w:t xml:space="preserve"> </w:t>
      </w:r>
      <w:hyperlink r:id="rId46">
        <w:r>
          <w:rPr>
            <w:rStyle w:val="Hyperlink"/>
          </w:rPr>
          <w:t xml:space="preserve">https://doi.org/10.48550/arXiv.2603.02402</w:t>
        </w:r>
      </w:hyperlink>
      <w:r>
        <w:t xml:space="preserve">.</w:t>
      </w:r>
    </w:p>
    <w:bookmarkEnd w:id="47"/>
    <w:bookmarkStart w:id="49" w:name="ref-Duo2020"/>
    <w:p>
      <w:pPr>
        <w:pStyle w:val="Bibliography"/>
      </w:pPr>
      <w:r>
        <w:t xml:space="preserve">Duò, Angelo, Mark D. Robinson, and Charlotte Soneson. 2020.</w:t>
      </w:r>
      <w:r>
        <w:t xml:space="preserve"> </w:t>
      </w:r>
      <w:r>
        <w:t xml:space="preserve">“A Systematic Performance Evaluation of Clustering Methods for Single-Cell</w:t>
      </w:r>
      <w:r>
        <w:t xml:space="preserve"> </w:t>
      </w:r>
      <w:r>
        <w:t xml:space="preserve">RNA-seq</w:t>
      </w:r>
      <w:r>
        <w:t xml:space="preserve"> </w:t>
      </w:r>
      <w:r>
        <w:t xml:space="preserve">Data.”</w:t>
      </w:r>
      <w:r>
        <w:t xml:space="preserve"> </w:t>
      </w:r>
      <w:r>
        <w:rPr>
          <w:iCs/>
          <w:i/>
        </w:rPr>
        <w:t xml:space="preserve">F1000Research</w:t>
      </w:r>
      <w:r>
        <w:t xml:space="preserve"> </w:t>
      </w:r>
      <w:r>
        <w:t xml:space="preserve">7: 1141.</w:t>
      </w:r>
      <w:r>
        <w:t xml:space="preserve"> </w:t>
      </w:r>
      <w:hyperlink r:id="rId48">
        <w:r>
          <w:rPr>
            <w:rStyle w:val="Hyperlink"/>
          </w:rPr>
          <w:t xml:space="preserve">https://doi.org/10.12688/f1000research.15666.3</w:t>
        </w:r>
      </w:hyperlink>
      <w:r>
        <w:t xml:space="preserve">.</w:t>
      </w:r>
    </w:p>
    <w:bookmarkEnd w:id="49"/>
    <w:bookmarkStart w:id="51" w:name="ref-Gardner2025"/>
    <w:p>
      <w:pPr>
        <w:pStyle w:val="Bibliography"/>
      </w:pPr>
      <w:r>
        <w:t xml:space="preserve">Gardner, Cory, Seyun Jeong, Oam Khatavkar, Aiden Moon, Qinglei Cao, and Tae-Hyuk Ahn. 2025.</w:t>
      </w:r>
      <w:r>
        <w:t xml:space="preserve"> </w:t>
      </w:r>
      <w:r>
        <w:t xml:space="preserve">“Evaluating Accuracy and Performance Tradeoffs in</w:t>
      </w:r>
      <w:r>
        <w:t xml:space="preserve"> </w:t>
      </w:r>
      <w:r>
        <w:t xml:space="preserve">GPU</w:t>
      </w:r>
      <w:r>
        <w:t xml:space="preserve"> </w:t>
      </w:r>
      <w:r>
        <w:t xml:space="preserve">Accelerated Single Cell</w:t>
      </w:r>
      <w:r>
        <w:t xml:space="preserve"> </w:t>
      </w:r>
      <w:r>
        <w:t xml:space="preserve">RNA</w:t>
      </w:r>
      <w:r>
        <w:t xml:space="preserve">-Seq Analysis.”</w:t>
      </w:r>
      <w:r>
        <w:t xml:space="preserve"> </w:t>
      </w:r>
      <w:r>
        <w:t xml:space="preserve">In</w:t>
      </w:r>
      <w:r>
        <w:t xml:space="preserve"> </w:t>
      </w:r>
      <w:r>
        <w:rPr>
          <w:iCs/>
          <w:i/>
        </w:rPr>
        <w:t xml:space="preserve">Proceedings of the SC ’25 Workshops of the International Conference for High Performance Computing, Networking, Storage and Analysis</w:t>
      </w:r>
      <w:r>
        <w:t xml:space="preserve">. ACM.</w:t>
      </w:r>
      <w:r>
        <w:t xml:space="preserve"> </w:t>
      </w:r>
      <w:hyperlink r:id="rId50">
        <w:r>
          <w:rPr>
            <w:rStyle w:val="Hyperlink"/>
          </w:rPr>
          <w:t xml:space="preserve">https://doi.org/10.1145/3731599.3767378</w:t>
        </w:r>
      </w:hyperlink>
      <w:r>
        <w:t xml:space="preserve">.</w:t>
      </w:r>
    </w:p>
    <w:bookmarkEnd w:id="51"/>
    <w:bookmarkStart w:id="53" w:name="ref-Heumos2023"/>
    <w:p>
      <w:pPr>
        <w:pStyle w:val="Bibliography"/>
      </w:pPr>
      <w:r>
        <w:t xml:space="preserve">Heumos, Lukas, Anna C. Schaar, Christopher Lance, Anastasia Litinetskaya, Felix Drost, Luke Zappia, Malte D. Lücken, et al. 2023.</w:t>
      </w:r>
      <w:r>
        <w:t xml:space="preserve"> </w:t>
      </w:r>
      <w:r>
        <w:t xml:space="preserve">“Best Practices for Single-Cell Analysis Across Modalities.”</w:t>
      </w:r>
      <w:r>
        <w:t xml:space="preserve"> </w:t>
      </w:r>
      <w:r>
        <w:rPr>
          <w:iCs/>
          <w:i/>
        </w:rPr>
        <w:t xml:space="preserve">Nature Reviews Genetics</w:t>
      </w:r>
      <w:r>
        <w:t xml:space="preserve"> </w:t>
      </w:r>
      <w:r>
        <w:t xml:space="preserve">24 (8): 550–72.</w:t>
      </w:r>
      <w:r>
        <w:t xml:space="preserve"> </w:t>
      </w:r>
      <w:hyperlink r:id="rId52">
        <w:r>
          <w:rPr>
            <w:rStyle w:val="Hyperlink"/>
          </w:rPr>
          <w:t xml:space="preserve">https://doi.org/10.1038/s41576-023-00586-w</w:t>
        </w:r>
      </w:hyperlink>
      <w:r>
        <w:t xml:space="preserve">.</w:t>
      </w:r>
    </w:p>
    <w:bookmarkEnd w:id="53"/>
    <w:bookmarkStart w:id="55" w:name="ref-Hu2025"/>
    <w:p>
      <w:pPr>
        <w:pStyle w:val="Bibliography"/>
      </w:pPr>
      <w:r>
        <w:t xml:space="preserve">Hu, Wenxing, Haotian Zhang, Yu H. Sun, Shaolong Cao, Jake Gagnon, Yuka Moroishi, Yirui Chen, Zhengyu Ouyang, and Baohong Zhang. 2025.</w:t>
      </w:r>
      <w:r>
        <w:t xml:space="preserve"> </w:t>
      </w:r>
      <w:r>
        <w:t xml:space="preserve">“</w:t>
      </w:r>
      <w:r>
        <w:t xml:space="preserve">ScaleSC</w:t>
      </w:r>
      <w:r>
        <w:t xml:space="preserve">: A Superfast and Scalable Single-Cell</w:t>
      </w:r>
      <w:r>
        <w:t xml:space="preserve"> </w:t>
      </w:r>
      <w:r>
        <w:t xml:space="preserve">RNA</w:t>
      </w:r>
      <w:r>
        <w:t xml:space="preserve">-Seq Data Analysis Pipeline Powered by</w:t>
      </w:r>
      <w:r>
        <w:t xml:space="preserve"> </w:t>
      </w:r>
      <w:r>
        <w:t xml:space="preserve">GPU</w:t>
      </w:r>
      <w:r>
        <w:t xml:space="preserve">.”</w:t>
      </w:r>
      <w:r>
        <w:t xml:space="preserve"> </w:t>
      </w:r>
      <w:r>
        <w:rPr>
          <w:iCs/>
          <w:i/>
        </w:rPr>
        <w:t xml:space="preserve">Bioinformatics Advances</w:t>
      </w:r>
      <w:r>
        <w:t xml:space="preserve"> </w:t>
      </w:r>
      <w:r>
        <w:t xml:space="preserve">5 (1): vbaf167.</w:t>
      </w:r>
      <w:r>
        <w:t xml:space="preserve"> </w:t>
      </w:r>
      <w:hyperlink r:id="rId54">
        <w:r>
          <w:rPr>
            <w:rStyle w:val="Hyperlink"/>
          </w:rPr>
          <w:t xml:space="preserve">https://doi.org/10.1093/bioadv/vbaf167</w:t>
        </w:r>
      </w:hyperlink>
      <w:r>
        <w:t xml:space="preserve">.</w:t>
      </w:r>
    </w:p>
    <w:bookmarkEnd w:id="55"/>
    <w:bookmarkStart w:id="57" w:name="ref-Hubert1985"/>
    <w:p>
      <w:pPr>
        <w:pStyle w:val="Bibliography"/>
      </w:pPr>
      <w:r>
        <w:t xml:space="preserve">Hubert, Lawrence, and Phipps Arabie. 1985.</w:t>
      </w:r>
      <w:r>
        <w:t xml:space="preserve"> </w:t>
      </w:r>
      <w:r>
        <w:t xml:space="preserve">“Comparing Partitions.”</w:t>
      </w:r>
      <w:r>
        <w:t xml:space="preserve"> </w:t>
      </w:r>
      <w:r>
        <w:rPr>
          <w:iCs/>
          <w:i/>
        </w:rPr>
        <w:t xml:space="preserve">Journal of Classification</w:t>
      </w:r>
      <w:r>
        <w:t xml:space="preserve"> </w:t>
      </w:r>
      <w:r>
        <w:t xml:space="preserve">2 (1): 193–218.</w:t>
      </w:r>
      <w:r>
        <w:t xml:space="preserve"> </w:t>
      </w:r>
      <w:hyperlink r:id="rId56">
        <w:r>
          <w:rPr>
            <w:rStyle w:val="Hyperlink"/>
          </w:rPr>
          <w:t xml:space="preserve">https://doi.org/10.1007/BF01908075</w:t>
        </w:r>
      </w:hyperlink>
      <w:r>
        <w:t xml:space="preserve">.</w:t>
      </w:r>
    </w:p>
    <w:bookmarkEnd w:id="57"/>
    <w:bookmarkStart w:id="59" w:name="ref-Lindegger2023"/>
    <w:p>
      <w:pPr>
        <w:pStyle w:val="Bibliography"/>
      </w:pPr>
      <w:r>
        <w:t xml:space="preserve">Lindegger, Joel, Damla Senol Cali, Mohammed Alser, Juan Gómez-Luna, Nika Mansouri Ghiasi, and Onur Mutlu. 2023.</w:t>
      </w:r>
      <w:r>
        <w:t xml:space="preserve"> </w:t>
      </w:r>
      <w:r>
        <w:t xml:space="preserve">“Scrooge: A Fast and Memory-Frugal Genomic Sequence Aligner for</w:t>
      </w:r>
      <w:r>
        <w:t xml:space="preserve"> </w:t>
      </w:r>
      <w:r>
        <w:t xml:space="preserve">CPUs</w:t>
      </w:r>
      <w:r>
        <w:t xml:space="preserve">,</w:t>
      </w:r>
      <w:r>
        <w:t xml:space="preserve"> </w:t>
      </w:r>
      <w:r>
        <w:t xml:space="preserve">GPUs</w:t>
      </w:r>
      <w:r>
        <w:t xml:space="preserve">, and</w:t>
      </w:r>
      <w:r>
        <w:t xml:space="preserve"> </w:t>
      </w:r>
      <w:r>
        <w:t xml:space="preserve">ASICs</w:t>
      </w:r>
      <w:r>
        <w:t xml:space="preserve">.”</w:t>
      </w:r>
      <w:r>
        <w:t xml:space="preserve"> </w:t>
      </w:r>
      <w:r>
        <w:rPr>
          <w:iCs/>
          <w:i/>
        </w:rPr>
        <w:t xml:space="preserve">Bioinformatics</w:t>
      </w:r>
      <w:r>
        <w:t xml:space="preserve"> </w:t>
      </w:r>
      <w:r>
        <w:t xml:space="preserve">39 (5): btad151.</w:t>
      </w:r>
      <w:r>
        <w:t xml:space="preserve"> </w:t>
      </w:r>
      <w:hyperlink r:id="rId58">
        <w:r>
          <w:rPr>
            <w:rStyle w:val="Hyperlink"/>
          </w:rPr>
          <w:t xml:space="preserve">https://doi.org/10.1093/bioinformatics/btad151</w:t>
        </w:r>
      </w:hyperlink>
      <w:r>
        <w:t xml:space="preserve">.</w:t>
      </w:r>
    </w:p>
    <w:bookmarkEnd w:id="59"/>
    <w:bookmarkStart w:id="61" w:name="ref-Luecken2019"/>
    <w:p>
      <w:pPr>
        <w:pStyle w:val="Bibliography"/>
      </w:pPr>
      <w:r>
        <w:t xml:space="preserve">Luecken, Malte D., and Fabian J. Theis. 2019.</w:t>
      </w:r>
      <w:r>
        <w:t xml:space="preserve"> </w:t>
      </w:r>
      <w:r>
        <w:t xml:space="preserve">“Current Best Practices in Single-Cell</w:t>
      </w:r>
      <w:r>
        <w:t xml:space="preserve"> </w:t>
      </w:r>
      <w:r>
        <w:t xml:space="preserve">RNA-seq</w:t>
      </w:r>
      <w:r>
        <w:t xml:space="preserve"> </w:t>
      </w:r>
      <w:r>
        <w:t xml:space="preserve">Analysis: A Tutorial.”</w:t>
      </w:r>
      <w:r>
        <w:t xml:space="preserve"> </w:t>
      </w:r>
      <w:r>
        <w:rPr>
          <w:iCs/>
          <w:i/>
        </w:rPr>
        <w:t xml:space="preserve">Molecular Systems Biology</w:t>
      </w:r>
      <w:r>
        <w:t xml:space="preserve"> </w:t>
      </w:r>
      <w:r>
        <w:t xml:space="preserve">15 (6): e8746.</w:t>
      </w:r>
      <w:r>
        <w:t xml:space="preserve"> </w:t>
      </w:r>
      <w:hyperlink r:id="rId60">
        <w:r>
          <w:rPr>
            <w:rStyle w:val="Hyperlink"/>
          </w:rPr>
          <w:t xml:space="preserve">https://doi.org/10.15252/msb.20188746</w:t>
        </w:r>
      </w:hyperlink>
      <w:r>
        <w:t xml:space="preserve">.</w:t>
      </w:r>
    </w:p>
    <w:bookmarkEnd w:id="61"/>
    <w:bookmarkStart w:id="63" w:name="ref-McInnes2018"/>
    <w:p>
      <w:pPr>
        <w:pStyle w:val="Bibliography"/>
      </w:pPr>
      <w:r>
        <w:t xml:space="preserve">McInnes, Leland, John Healy, Nathaniel Saul, and Lukas Großberger. 2018.</w:t>
      </w:r>
      <w:r>
        <w:t xml:space="preserve"> </w:t>
      </w:r>
      <w:r>
        <w:t xml:space="preserve">“</w:t>
      </w:r>
      <w:r>
        <w:t xml:space="preserve">UMAP</w:t>
      </w:r>
      <w:r>
        <w:t xml:space="preserve">: Uniform Manifold Approximation and Projection.”</w:t>
      </w:r>
      <w:r>
        <w:t xml:space="preserve"> </w:t>
      </w:r>
      <w:r>
        <w:rPr>
          <w:iCs/>
          <w:i/>
        </w:rPr>
        <w:t xml:space="preserve">Journal of Open Source Software</w:t>
      </w:r>
      <w:r>
        <w:t xml:space="preserve"> </w:t>
      </w:r>
      <w:r>
        <w:t xml:space="preserve">3 (29): 861.</w:t>
      </w:r>
      <w:r>
        <w:t xml:space="preserve"> </w:t>
      </w:r>
      <w:hyperlink r:id="rId62">
        <w:r>
          <w:rPr>
            <w:rStyle w:val="Hyperlink"/>
          </w:rPr>
          <w:t xml:space="preserve">https://doi.org/10.21105/joss.00861</w:t>
        </w:r>
      </w:hyperlink>
      <w:r>
        <w:t xml:space="preserve">.</w:t>
      </w:r>
    </w:p>
    <w:bookmarkEnd w:id="63"/>
    <w:bookmarkStart w:id="65" w:name="ref-Nolet2022"/>
    <w:p>
      <w:pPr>
        <w:pStyle w:val="Bibliography"/>
      </w:pPr>
      <w:r>
        <w:t xml:space="preserve">Nolet, Corey, Avantika Lal, Rajesh Ilango, Taurean Dyer, Rajiv Movva, John Zedlewski, and Johnny Israeli. 2022.</w:t>
      </w:r>
      <w:r>
        <w:t xml:space="preserve"> </w:t>
      </w:r>
      <w:r>
        <w:t xml:space="preserve">“Accelerating Single-Cell Genomic Analysis with</w:t>
      </w:r>
      <w:r>
        <w:t xml:space="preserve"> </w:t>
      </w:r>
      <w:r>
        <w:t xml:space="preserve">GPUs</w:t>
      </w:r>
      <w:r>
        <w:t xml:space="preserve">.”</w:t>
      </w:r>
      <w:r>
        <w:t xml:space="preserve"> </w:t>
      </w:r>
      <w:r>
        <w:rPr>
          <w:iCs/>
          <w:i/>
        </w:rPr>
        <w:t xml:space="preserve">bioRxiv</w:t>
      </w:r>
      <w:r>
        <w:t xml:space="preserve">.</w:t>
      </w:r>
      <w:r>
        <w:t xml:space="preserve"> </w:t>
      </w:r>
      <w:hyperlink r:id="rId64">
        <w:r>
          <w:rPr>
            <w:rStyle w:val="Hyperlink"/>
          </w:rPr>
          <w:t xml:space="preserve">https://doi.org/10.1101/2022.05.26.493607</w:t>
        </w:r>
      </w:hyperlink>
      <w:r>
        <w:t xml:space="preserve">.</w:t>
      </w:r>
    </w:p>
    <w:bookmarkEnd w:id="65"/>
    <w:bookmarkStart w:id="67" w:name="ref-RAPIDS2024"/>
    <w:p>
      <w:pPr>
        <w:pStyle w:val="Bibliography"/>
      </w:pPr>
      <w:r>
        <w:t xml:space="preserve">RAPIDS Development Team. 2024.</w:t>
      </w:r>
      <w:r>
        <w:t xml:space="preserve"> </w:t>
      </w:r>
      <w:r>
        <w:t xml:space="preserve">“</w:t>
      </w:r>
      <w:r>
        <w:t xml:space="preserve">RAPIDS</w:t>
      </w:r>
      <w:r>
        <w:t xml:space="preserve">: Open</w:t>
      </w:r>
      <w:r>
        <w:t xml:space="preserve"> </w:t>
      </w:r>
      <w:r>
        <w:t xml:space="preserve">GPU</w:t>
      </w:r>
      <w:r>
        <w:t xml:space="preserve"> </w:t>
      </w:r>
      <w:r>
        <w:t xml:space="preserve">Data Science.”</w:t>
      </w:r>
      <w:r>
        <w:t xml:space="preserve"> </w:t>
      </w:r>
      <w:hyperlink r:id="rId66">
        <w:r>
          <w:rPr>
            <w:rStyle w:val="Hyperlink"/>
          </w:rPr>
          <w:t xml:space="preserve">https://rapids.ai</w:t>
        </w:r>
      </w:hyperlink>
      <w:r>
        <w:t xml:space="preserve">.</w:t>
      </w:r>
    </w:p>
    <w:bookmarkEnd w:id="67"/>
    <w:bookmarkStart w:id="69" w:name="ref-Regev2017"/>
    <w:p>
      <w:pPr>
        <w:pStyle w:val="Bibliography"/>
      </w:pPr>
      <w:r>
        <w:t xml:space="preserve">Regev, Aviv, Sarah A. Teichmann, Eric S. Lander, Ido Amit, Christophe Benoist, Ewan Birney, Bernd Bodenmiller, et al. 2017.</w:t>
      </w:r>
      <w:r>
        <w:t xml:space="preserve"> </w:t>
      </w:r>
      <w:r>
        <w:t xml:space="preserve">“The</w:t>
      </w:r>
      <w:r>
        <w:t xml:space="preserve"> </w:t>
      </w:r>
      <w:r>
        <w:t xml:space="preserve">Human Cell Atlas</w:t>
      </w:r>
      <w:r>
        <w:t xml:space="preserve">.”</w:t>
      </w:r>
      <w:r>
        <w:t xml:space="preserve"> </w:t>
      </w:r>
      <w:r>
        <w:rPr>
          <w:iCs/>
          <w:i/>
        </w:rPr>
        <w:t xml:space="preserve">eLife</w:t>
      </w:r>
      <w:r>
        <w:t xml:space="preserve"> </w:t>
      </w:r>
      <w:r>
        <w:t xml:space="preserve">6: e27041.</w:t>
      </w:r>
      <w:r>
        <w:t xml:space="preserve"> </w:t>
      </w:r>
      <w:hyperlink r:id="rId68">
        <w:r>
          <w:rPr>
            <w:rStyle w:val="Hyperlink"/>
          </w:rPr>
          <w:t xml:space="preserve">https://doi.org/10.7554/eLife.27041</w:t>
        </w:r>
      </w:hyperlink>
      <w:r>
        <w:t xml:space="preserve">.</w:t>
      </w:r>
    </w:p>
    <w:bookmarkEnd w:id="69"/>
    <w:bookmarkStart w:id="71" w:name="ref-Rocklin2015"/>
    <w:p>
      <w:pPr>
        <w:pStyle w:val="Bibliography"/>
      </w:pPr>
      <w:r>
        <w:t xml:space="preserve">Rocklin, Matthew. 2015.</w:t>
      </w:r>
      <w:r>
        <w:t xml:space="preserve"> </w:t>
      </w:r>
      <w:r>
        <w:t xml:space="preserve">“Dask: Parallel Computation with Blocked Algorithms and Task Scheduling.”</w:t>
      </w:r>
      <w:r>
        <w:t xml:space="preserve"> </w:t>
      </w:r>
      <w:r>
        <w:t xml:space="preserve">In</w:t>
      </w:r>
      <w:r>
        <w:t xml:space="preserve"> </w:t>
      </w:r>
      <w:r>
        <w:rPr>
          <w:iCs/>
          <w:i/>
        </w:rPr>
        <w:t xml:space="preserve">Proceedings of the 14th Python in Science Conference</w:t>
      </w:r>
      <w:r>
        <w:t xml:space="preserve">, edited by Kathryn Huff and James Bergstra, 130–36.</w:t>
      </w:r>
      <w:r>
        <w:t xml:space="preserve"> </w:t>
      </w:r>
      <w:hyperlink r:id="rId70">
        <w:r>
          <w:rPr>
            <w:rStyle w:val="Hyperlink"/>
          </w:rPr>
          <w:t xml:space="preserve">https://doi.org/10.25080/Majora-7b98e3ed-013</w:t>
        </w:r>
      </w:hyperlink>
      <w:r>
        <w:t xml:space="preserve">.</w:t>
      </w:r>
    </w:p>
    <w:bookmarkEnd w:id="71"/>
    <w:bookmarkStart w:id="73" w:name="ref-Satija2015"/>
    <w:p>
      <w:pPr>
        <w:pStyle w:val="Bibliography"/>
      </w:pPr>
      <w:r>
        <w:t xml:space="preserve">Satija, Rahul, Jeffrey A. Farrell, David Gennert, Alexander F. Schier, and Aviv Regev. 2015.</w:t>
      </w:r>
      <w:r>
        <w:t xml:space="preserve"> </w:t>
      </w:r>
      <w:r>
        <w:t xml:space="preserve">“Spatial Reconstruction of Single-Cell Gene Expression Data.”</w:t>
      </w:r>
      <w:r>
        <w:t xml:space="preserve"> </w:t>
      </w:r>
      <w:r>
        <w:rPr>
          <w:iCs/>
          <w:i/>
        </w:rPr>
        <w:t xml:space="preserve">Nature Biotechnology</w:t>
      </w:r>
      <w:r>
        <w:t xml:space="preserve"> </w:t>
      </w:r>
      <w:r>
        <w:t xml:space="preserve">33 (5): 495–502.</w:t>
      </w:r>
      <w:r>
        <w:t xml:space="preserve"> </w:t>
      </w:r>
      <w:hyperlink r:id="rId72">
        <w:r>
          <w:rPr>
            <w:rStyle w:val="Hyperlink"/>
          </w:rPr>
          <w:t xml:space="preserve">https://doi.org/10.1038/nbt.3192</w:t>
        </w:r>
      </w:hyperlink>
      <w:r>
        <w:t xml:space="preserve">.</w:t>
      </w:r>
    </w:p>
    <w:bookmarkEnd w:id="73"/>
    <w:bookmarkStart w:id="75" w:name="ref-Shanmugavelu2024"/>
    <w:p>
      <w:pPr>
        <w:pStyle w:val="Bibliography"/>
      </w:pPr>
      <w:r>
        <w:t xml:space="preserve">Shanmugavelu, Sanjif, Mathieu Taillefumier, Christopher Thiele, Mark Coletti, and Ada Sedova. 2024.</w:t>
      </w:r>
      <w:r>
        <w:t xml:space="preserve"> </w:t>
      </w:r>
      <w:r>
        <w:t xml:space="preserve">“Impacts of Floating-Point Non-Associativity on Reproducibility for</w:t>
      </w:r>
      <w:r>
        <w:t xml:space="preserve"> </w:t>
      </w:r>
      <w:r>
        <w:t xml:space="preserve">HPC</w:t>
      </w:r>
      <w:r>
        <w:t xml:space="preserve"> </w:t>
      </w:r>
      <w:r>
        <w:t xml:space="preserve">and Deep Learning Applications.”</w:t>
      </w:r>
      <w:r>
        <w:t xml:space="preserve"> </w:t>
      </w:r>
      <w:r>
        <w:t xml:space="preserve">In</w:t>
      </w:r>
      <w:r>
        <w:t xml:space="preserve"> </w:t>
      </w:r>
      <w:r>
        <w:rPr>
          <w:iCs/>
          <w:i/>
        </w:rPr>
        <w:t xml:space="preserve">Proceedings of the SC ’24 Workshops of the International Conference on High Performance Computing, Networking, Storage, and Analysis (CORRECTNESS 2024)</w:t>
      </w:r>
      <w:r>
        <w:t xml:space="preserve">.</w:t>
      </w:r>
      <w:r>
        <w:t xml:space="preserve"> </w:t>
      </w:r>
      <w:hyperlink r:id="rId74">
        <w:r>
          <w:rPr>
            <w:rStyle w:val="Hyperlink"/>
          </w:rPr>
          <w:t xml:space="preserve">https://doi.org/10.1109/SCW63240.2024.00028</w:t>
        </w:r>
      </w:hyperlink>
      <w:r>
        <w:t xml:space="preserve">.</w:t>
      </w:r>
    </w:p>
    <w:bookmarkEnd w:id="75"/>
    <w:bookmarkStart w:id="77" w:name="ref-Soneson2018"/>
    <w:p>
      <w:pPr>
        <w:pStyle w:val="Bibliography"/>
      </w:pPr>
      <w:r>
        <w:t xml:space="preserve">Soneson, Charlotte, and Mark D. Robinson. 2018.</w:t>
      </w:r>
      <w:r>
        <w:t xml:space="preserve"> </w:t>
      </w:r>
      <w:r>
        <w:t xml:space="preserve">“Bias, Robustness and Scalability in Single-Cell Differential Expression Analysis.”</w:t>
      </w:r>
      <w:r>
        <w:t xml:space="preserve"> </w:t>
      </w:r>
      <w:r>
        <w:rPr>
          <w:iCs/>
          <w:i/>
        </w:rPr>
        <w:t xml:space="preserve">Nature Methods</w:t>
      </w:r>
      <w:r>
        <w:t xml:space="preserve"> </w:t>
      </w:r>
      <w:r>
        <w:t xml:space="preserve">15 (4): 255–61.</w:t>
      </w:r>
      <w:r>
        <w:t xml:space="preserve"> </w:t>
      </w:r>
      <w:hyperlink r:id="rId76">
        <w:r>
          <w:rPr>
            <w:rStyle w:val="Hyperlink"/>
          </w:rPr>
          <w:t xml:space="preserve">https://doi.org/10.1038/nmeth.4612</w:t>
        </w:r>
      </w:hyperlink>
      <w:r>
        <w:t xml:space="preserve">.</w:t>
      </w:r>
    </w:p>
    <w:bookmarkEnd w:id="77"/>
    <w:bookmarkStart w:id="79" w:name="ref-Squair2021"/>
    <w:p>
      <w:pPr>
        <w:pStyle w:val="Bibliography"/>
      </w:pPr>
      <w:r>
        <w:t xml:space="preserve">Squair, Jordan W., Matthieu Gautier, Claudia Kathe, Mark A. Anderson, Nicholas D. James, Thomas H. Hutson, Rémi Hudelle, et al. 2021.</w:t>
      </w:r>
      <w:r>
        <w:t xml:space="preserve"> </w:t>
      </w:r>
      <w:r>
        <w:t xml:space="preserve">“Confronting False Discoveries in Single-Cell Differential Expression.”</w:t>
      </w:r>
      <w:r>
        <w:t xml:space="preserve"> </w:t>
      </w:r>
      <w:r>
        <w:rPr>
          <w:iCs/>
          <w:i/>
        </w:rPr>
        <w:t xml:space="preserve">Nature Communications</w:t>
      </w:r>
      <w:r>
        <w:t xml:space="preserve"> </w:t>
      </w:r>
      <w:r>
        <w:t xml:space="preserve">12: 5692.</w:t>
      </w:r>
      <w:r>
        <w:t xml:space="preserve"> </w:t>
      </w:r>
      <w:hyperlink r:id="rId78">
        <w:r>
          <w:rPr>
            <w:rStyle w:val="Hyperlink"/>
          </w:rPr>
          <w:t xml:space="preserve">https://doi.org/10.1038/s41467-021-25960-2</w:t>
        </w:r>
      </w:hyperlink>
      <w:r>
        <w:t xml:space="preserve">.</w:t>
      </w:r>
    </w:p>
    <w:bookmarkEnd w:id="79"/>
    <w:bookmarkStart w:id="81" w:name="ref-TaylorWeiner2019"/>
    <w:p>
      <w:pPr>
        <w:pStyle w:val="Bibliography"/>
      </w:pPr>
      <w:r>
        <w:t xml:space="preserve">Taylor-Weiner, Amaro, François Aguet, Nicholas J. Haradhvala, Sager Gosai, Shankara Anand, Jaegil Kim, Kristin Ardlie, Eliezer M. Van Allen, and Gad Getz. 2019.</w:t>
      </w:r>
      <w:r>
        <w:t xml:space="preserve"> </w:t>
      </w:r>
      <w:r>
        <w:t xml:space="preserve">“Scaling Computational Genomics to Millions of Individuals with</w:t>
      </w:r>
      <w:r>
        <w:t xml:space="preserve"> </w:t>
      </w:r>
      <w:r>
        <w:t xml:space="preserve">GPUs</w:t>
      </w:r>
      <w:r>
        <w:t xml:space="preserve">.”</w:t>
      </w:r>
      <w:r>
        <w:t xml:space="preserve"> </w:t>
      </w:r>
      <w:r>
        <w:rPr>
          <w:iCs/>
          <w:i/>
        </w:rPr>
        <w:t xml:space="preserve">Genome Biology</w:t>
      </w:r>
      <w:r>
        <w:t xml:space="preserve"> </w:t>
      </w:r>
      <w:r>
        <w:t xml:space="preserve">20: 228.</w:t>
      </w:r>
      <w:r>
        <w:t xml:space="preserve"> </w:t>
      </w:r>
      <w:hyperlink r:id="rId80">
        <w:r>
          <w:rPr>
            <w:rStyle w:val="Hyperlink"/>
          </w:rPr>
          <w:t xml:space="preserve">https://doi.org/10.1186/s13059-019-1836-7</w:t>
        </w:r>
      </w:hyperlink>
      <w:r>
        <w:t xml:space="preserve">.</w:t>
      </w:r>
    </w:p>
    <w:bookmarkEnd w:id="81"/>
    <w:bookmarkStart w:id="83" w:name="ref-TabulaSapiens2022"/>
    <w:p>
      <w:pPr>
        <w:pStyle w:val="Bibliography"/>
      </w:pPr>
      <w:r>
        <w:t xml:space="preserve">The Tabula Sapiens Consortium. 2022.</w:t>
      </w:r>
      <w:r>
        <w:t xml:space="preserve"> </w:t>
      </w:r>
      <w:r>
        <w:t xml:space="preserve">“The</w:t>
      </w:r>
      <w:r>
        <w:t xml:space="preserve"> </w:t>
      </w:r>
      <w:r>
        <w:t xml:space="preserve">Tabula Sapiens</w:t>
      </w:r>
      <w:r>
        <w:t xml:space="preserve">: A Multiple-Organ, Single-Cell Transcriptomic Atlas of Humans.”</w:t>
      </w:r>
      <w:r>
        <w:t xml:space="preserve"> </w:t>
      </w:r>
      <w:r>
        <w:rPr>
          <w:iCs/>
          <w:i/>
        </w:rPr>
        <w:t xml:space="preserve">Science</w:t>
      </w:r>
      <w:r>
        <w:t xml:space="preserve"> </w:t>
      </w:r>
      <w:r>
        <w:t xml:space="preserve">376 (6594): eabl4896.</w:t>
      </w:r>
      <w:r>
        <w:t xml:space="preserve"> </w:t>
      </w:r>
      <w:hyperlink r:id="rId82">
        <w:r>
          <w:rPr>
            <w:rStyle w:val="Hyperlink"/>
          </w:rPr>
          <w:t xml:space="preserve">https://doi.org/10.1126/science.abl4896</w:t>
        </w:r>
      </w:hyperlink>
      <w:r>
        <w:t xml:space="preserve">.</w:t>
      </w:r>
    </w:p>
    <w:bookmarkEnd w:id="83"/>
    <w:bookmarkStart w:id="85" w:name="ref-Tian2019"/>
    <w:p>
      <w:pPr>
        <w:pStyle w:val="Bibliography"/>
      </w:pPr>
      <w:r>
        <w:t xml:space="preserve">Tian, Luyi, Xueyi Dong, Saskia Freytag, Kim-Anh Lê Cao, Shian Su, Abolfazl JalalAbadi, Daniela Amann-Zalcenstein, et al. 2019.</w:t>
      </w:r>
      <w:r>
        <w:t xml:space="preserve"> </w:t>
      </w:r>
      <w:r>
        <w:t xml:space="preserve">“Benchmarking Single Cell</w:t>
      </w:r>
      <w:r>
        <w:t xml:space="preserve"> </w:t>
      </w:r>
      <w:r>
        <w:t xml:space="preserve">RNA</w:t>
      </w:r>
      <w:r>
        <w:t xml:space="preserve">-Sequencing Analysis Pipelines Using Mixture Control Experiments.”</w:t>
      </w:r>
      <w:r>
        <w:t xml:space="preserve"> </w:t>
      </w:r>
      <w:r>
        <w:rPr>
          <w:iCs/>
          <w:i/>
        </w:rPr>
        <w:t xml:space="preserve">Nature Methods</w:t>
      </w:r>
      <w:r>
        <w:t xml:space="preserve"> </w:t>
      </w:r>
      <w:r>
        <w:t xml:space="preserve">16: 479–87.</w:t>
      </w:r>
      <w:r>
        <w:t xml:space="preserve"> </w:t>
      </w:r>
      <w:hyperlink r:id="rId84">
        <w:r>
          <w:rPr>
            <w:rStyle w:val="Hyperlink"/>
          </w:rPr>
          <w:t xml:space="preserve">https://doi.org/10.1038/s41592-019-0425-8</w:t>
        </w:r>
      </w:hyperlink>
      <w:r>
        <w:t xml:space="preserve">.</w:t>
      </w:r>
    </w:p>
    <w:bookmarkEnd w:id="85"/>
    <w:bookmarkStart w:id="87" w:name="ref-Traag2019"/>
    <w:p>
      <w:pPr>
        <w:pStyle w:val="Bibliography"/>
      </w:pPr>
      <w:r>
        <w:t xml:space="preserve">Traag, V. A., L. Waltman, and N. J. van Eck. 2019.</w:t>
      </w:r>
      <w:r>
        <w:t xml:space="preserve"> </w:t>
      </w:r>
      <w:r>
        <w:t xml:space="preserve">“From</w:t>
      </w:r>
      <w:r>
        <w:t xml:space="preserve"> </w:t>
      </w:r>
      <w:r>
        <w:t xml:space="preserve">Louvain</w:t>
      </w:r>
      <w:r>
        <w:t xml:space="preserve"> </w:t>
      </w:r>
      <w:r>
        <w:t xml:space="preserve">to</w:t>
      </w:r>
      <w:r>
        <w:t xml:space="preserve"> </w:t>
      </w:r>
      <w:r>
        <w:t xml:space="preserve">Leiden</w:t>
      </w:r>
      <w:r>
        <w:t xml:space="preserve">: Guaranteeing Well-Connected Communities.”</w:t>
      </w:r>
      <w:r>
        <w:t xml:space="preserve"> </w:t>
      </w:r>
      <w:r>
        <w:rPr>
          <w:iCs/>
          <w:i/>
        </w:rPr>
        <w:t xml:space="preserve">Scientific Reports</w:t>
      </w:r>
      <w:r>
        <w:t xml:space="preserve"> </w:t>
      </w:r>
      <w:r>
        <w:t xml:space="preserve">9: 5233.</w:t>
      </w:r>
      <w:r>
        <w:t xml:space="preserve"> </w:t>
      </w:r>
      <w:hyperlink r:id="rId86">
        <w:r>
          <w:rPr>
            <w:rStyle w:val="Hyperlink"/>
          </w:rPr>
          <w:t xml:space="preserve">https://doi.org/10.1038/s41598-019-41695-z</w:t>
        </w:r>
      </w:hyperlink>
      <w:r>
        <w:t xml:space="preserve">.</w:t>
      </w:r>
    </w:p>
    <w:bookmarkEnd w:id="87"/>
    <w:bookmarkStart w:id="89" w:name="ref-Vinh2010"/>
    <w:p>
      <w:pPr>
        <w:pStyle w:val="Bibliography"/>
      </w:pPr>
      <w:r>
        <w:t xml:space="preserve">Vinh, Nguyen Xuan, Julien Epps, and James Bailey. 2010.</w:t>
      </w:r>
      <w:r>
        <w:t xml:space="preserve"> </w:t>
      </w:r>
      <w:r>
        <w:t xml:space="preserve">“Information Theoretic Measures for Clusterings Comparison: Variants, Properties, Normalization and Correction for Chance.”</w:t>
      </w:r>
      <w:r>
        <w:t xml:space="preserve"> </w:t>
      </w:r>
      <w:r>
        <w:rPr>
          <w:iCs/>
          <w:i/>
        </w:rPr>
        <w:t xml:space="preserve">Journal of Machine Learning Research</w:t>
      </w:r>
      <w:r>
        <w:t xml:space="preserve"> </w:t>
      </w:r>
      <w:r>
        <w:t xml:space="preserve">11: 2837–54.</w:t>
      </w:r>
      <w:r>
        <w:t xml:space="preserve"> </w:t>
      </w:r>
      <w:hyperlink r:id="rId88">
        <w:r>
          <w:rPr>
            <w:rStyle w:val="Hyperlink"/>
          </w:rPr>
          <w:t xml:space="preserve">https://jmlr.org/papers/v11/vinh10a.html</w:t>
        </w:r>
      </w:hyperlink>
      <w:r>
        <w:t xml:space="preserve">.</w:t>
      </w:r>
    </w:p>
    <w:bookmarkEnd w:id="89"/>
    <w:bookmarkStart w:id="91" w:name="ref-Virshup2024"/>
    <w:p>
      <w:pPr>
        <w:pStyle w:val="Bibliography"/>
      </w:pPr>
      <w:r>
        <w:t xml:space="preserve">Virshup, Isaac, Sergei Rybakov, Fabian J. Theis, Philipp Angerer, and F. Alexander Wolf. 2024.</w:t>
      </w:r>
      <w:r>
        <w:t xml:space="preserve"> </w:t>
      </w:r>
      <w:r>
        <w:t xml:space="preserve">“Anndata: Access and Store Annotated Data Matrices.”</w:t>
      </w:r>
      <w:r>
        <w:t xml:space="preserve"> </w:t>
      </w:r>
      <w:r>
        <w:rPr>
          <w:iCs/>
          <w:i/>
        </w:rPr>
        <w:t xml:space="preserve">Journal of Open Source Software</w:t>
      </w:r>
      <w:r>
        <w:t xml:space="preserve"> </w:t>
      </w:r>
      <w:r>
        <w:t xml:space="preserve">9 (101): 4371.</w:t>
      </w:r>
      <w:r>
        <w:t xml:space="preserve"> </w:t>
      </w:r>
      <w:hyperlink r:id="rId90">
        <w:r>
          <w:rPr>
            <w:rStyle w:val="Hyperlink"/>
          </w:rPr>
          <w:t xml:space="preserve">https://doi.org/10.21105/joss.04371</w:t>
        </w:r>
      </w:hyperlink>
      <w:r>
        <w:t xml:space="preserve">.</w:t>
      </w:r>
    </w:p>
    <w:bookmarkEnd w:id="91"/>
    <w:bookmarkStart w:id="93" w:name="ref-Williams2009"/>
    <w:p>
      <w:pPr>
        <w:pStyle w:val="Bibliography"/>
      </w:pPr>
      <w:r>
        <w:t xml:space="preserve">Williams, Samuel, Andrew Waterman, and David Patterson. 2009.</w:t>
      </w:r>
      <w:r>
        <w:t xml:space="preserve"> </w:t>
      </w:r>
      <w:r>
        <w:t xml:space="preserve">“Roofline: An Insightful Visual Performance Model for Multicore Architectures.”</w:t>
      </w:r>
      <w:r>
        <w:t xml:space="preserve"> </w:t>
      </w:r>
      <w:r>
        <w:rPr>
          <w:iCs/>
          <w:i/>
        </w:rPr>
        <w:t xml:space="preserve">Communications of the ACM</w:t>
      </w:r>
      <w:r>
        <w:t xml:space="preserve"> </w:t>
      </w:r>
      <w:r>
        <w:t xml:space="preserve">52 (4): 65–76.</w:t>
      </w:r>
      <w:r>
        <w:t xml:space="preserve"> </w:t>
      </w:r>
      <w:hyperlink r:id="rId92">
        <w:r>
          <w:rPr>
            <w:rStyle w:val="Hyperlink"/>
          </w:rPr>
          <w:t xml:space="preserve">https://doi.org/10.1145/1498765.1498785</w:t>
        </w:r>
      </w:hyperlink>
      <w:r>
        <w:t xml:space="preserve">.</w:t>
      </w:r>
    </w:p>
    <w:bookmarkEnd w:id="93"/>
    <w:bookmarkStart w:id="95" w:name="ref-Wolf2018"/>
    <w:p>
      <w:pPr>
        <w:pStyle w:val="Bibliography"/>
      </w:pPr>
      <w:r>
        <w:t xml:space="preserve">Wolf, F. Alexander, Philipp Angerer, and Fabian J. Theis. 2018.</w:t>
      </w:r>
      <w:r>
        <w:t xml:space="preserve"> </w:t>
      </w:r>
      <w:r>
        <w:t xml:space="preserve">“</w:t>
      </w:r>
      <w:r>
        <w:t xml:space="preserve">SCANPY</w:t>
      </w:r>
      <w:r>
        <w:t xml:space="preserve">: Large-Scale Single-Cell Gene Expression Data Analysis.”</w:t>
      </w:r>
      <w:r>
        <w:t xml:space="preserve"> </w:t>
      </w:r>
      <w:r>
        <w:rPr>
          <w:iCs/>
          <w:i/>
        </w:rPr>
        <w:t xml:space="preserve">Genome Biology</w:t>
      </w:r>
      <w:r>
        <w:t xml:space="preserve"> </w:t>
      </w:r>
      <w:r>
        <w:t xml:space="preserve">19 (1): 15.</w:t>
      </w:r>
      <w:r>
        <w:t xml:space="preserve"> </w:t>
      </w:r>
      <w:hyperlink r:id="rId94">
        <w:r>
          <w:rPr>
            <w:rStyle w:val="Hyperlink"/>
          </w:rPr>
          <w:t xml:space="preserve">https://doi.org/10.1186/s13059-017-1382-0</w:t>
        </w:r>
      </w:hyperlink>
      <w:r>
        <w:t xml:space="preserve">.</w:t>
      </w:r>
    </w:p>
    <w:bookmarkEnd w:id="95"/>
    <w:bookmarkStart w:id="97" w:name="ref-Yao2023"/>
    <w:p>
      <w:pPr>
        <w:pStyle w:val="Bibliography"/>
      </w:pPr>
      <w:r>
        <w:t xml:space="preserve">Yao, Zizhen, Cindy T. J. van Velthoven, Michael Kunst, Meng Zhang, Delissa McMillen, Changkyu Lee, Won Jung, Jeff Goldy, Aliya Abdelhak, et al. 2023.</w:t>
      </w:r>
      <w:r>
        <w:t xml:space="preserve"> </w:t>
      </w:r>
      <w:r>
        <w:t xml:space="preserve">“A High-Resolution Transcriptomic and Spatial Atlas of Cell Types in the Whole Mouse Brain.”</w:t>
      </w:r>
      <w:r>
        <w:t xml:space="preserve"> </w:t>
      </w:r>
      <w:r>
        <w:rPr>
          <w:iCs/>
          <w:i/>
        </w:rPr>
        <w:t xml:space="preserve">Nature</w:t>
      </w:r>
      <w:r>
        <w:t xml:space="preserve"> </w:t>
      </w:r>
      <w:r>
        <w:t xml:space="preserve">624 (7991): 317–32.</w:t>
      </w:r>
      <w:r>
        <w:t xml:space="preserve"> </w:t>
      </w:r>
      <w:hyperlink r:id="rId96">
        <w:r>
          <w:rPr>
            <w:rStyle w:val="Hyperlink"/>
          </w:rPr>
          <w:t xml:space="preserve">https://doi.org/10.1038/s41586-023-06812-z</w:t>
        </w:r>
      </w:hyperlink>
      <w:r>
        <w:t xml:space="preserve">.</w:t>
      </w:r>
    </w:p>
    <w:bookmarkEnd w:id="97"/>
    <w:bookmarkStart w:id="99" w:name="ref-Yip2019"/>
    <w:p>
      <w:pPr>
        <w:pStyle w:val="Bibliography"/>
      </w:pPr>
      <w:r>
        <w:t xml:space="preserve">Yip, Shun H., Pak Chung Sham, and Junwen Wang. 2019.</w:t>
      </w:r>
      <w:r>
        <w:t xml:space="preserve"> </w:t>
      </w:r>
      <w:r>
        <w:t xml:space="preserve">“Evaluation of Tools for Highly Variable Gene Discovery from Single-Cell</w:t>
      </w:r>
      <w:r>
        <w:t xml:space="preserve"> </w:t>
      </w:r>
      <w:r>
        <w:t xml:space="preserve">RNA</w:t>
      </w:r>
      <w:r>
        <w:t xml:space="preserve">-Seq Data.”</w:t>
      </w:r>
      <w:r>
        <w:t xml:space="preserve"> </w:t>
      </w:r>
      <w:r>
        <w:rPr>
          <w:iCs/>
          <w:i/>
        </w:rPr>
        <w:t xml:space="preserve">Briefings in Bioinformatics</w:t>
      </w:r>
      <w:r>
        <w:t xml:space="preserve"> </w:t>
      </w:r>
      <w:r>
        <w:t xml:space="preserve">20 (4): 1583–89.</w:t>
      </w:r>
      <w:r>
        <w:t xml:space="preserve"> </w:t>
      </w:r>
      <w:hyperlink r:id="rId98">
        <w:r>
          <w:rPr>
            <w:rStyle w:val="Hyperlink"/>
          </w:rPr>
          <w:t xml:space="preserve">https://doi.org/10.1093/bib/bby011</w:t>
        </w:r>
      </w:hyperlink>
      <w:r>
        <w:t xml:space="preserve">.</w:t>
      </w:r>
    </w:p>
    <w:bookmarkEnd w:id="99"/>
    <w:bookmarkStart w:id="101" w:name="ref-Zheng2017"/>
    <w:p>
      <w:pPr>
        <w:pStyle w:val="Bibliography"/>
      </w:pPr>
      <w:r>
        <w:t xml:space="preserve">Zheng, Grace X. Y., Jessica M. Terry, Phillip Belgrader, Paul Ryvkin, Zachary W. Bent, Ryan Wilson, Solongo B. Ziraldo, et al. 2017.</w:t>
      </w:r>
      <w:r>
        <w:t xml:space="preserve"> </w:t>
      </w:r>
      <w:r>
        <w:t xml:space="preserve">“Massively Parallel Digital Transcriptional Profiling of Single Cells.”</w:t>
      </w:r>
      <w:r>
        <w:t xml:space="preserve"> </w:t>
      </w:r>
      <w:r>
        <w:rPr>
          <w:iCs/>
          <w:i/>
        </w:rPr>
        <w:t xml:space="preserve">Nature Communications</w:t>
      </w:r>
      <w:r>
        <w:t xml:space="preserve"> </w:t>
      </w:r>
      <w:r>
        <w:t xml:space="preserve">8: 14049.</w:t>
      </w:r>
      <w:r>
        <w:t xml:space="preserve"> </w:t>
      </w:r>
      <w:hyperlink r:id="rId100">
        <w:r>
          <w:rPr>
            <w:rStyle w:val="Hyperlink"/>
          </w:rPr>
          <w:t xml:space="preserve">https://doi.org/10.1038/ncomms14049</w:t>
        </w:r>
      </w:hyperlink>
      <w:r>
        <w:t xml:space="preserve">.</w:t>
      </w:r>
    </w:p>
    <w:bookmarkEnd w:id="101"/>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doi.org/10.1007/BF01908075" TargetMode="External" /><Relationship Type="http://schemas.openxmlformats.org/officeDocument/2006/relationships/hyperlink" Id="rId44" Target="https://doi.org/10.1016/j.parco.2015.09.001" TargetMode="External" /><Relationship Type="http://schemas.openxmlformats.org/officeDocument/2006/relationships/hyperlink" Id="rId72" Target="https://doi.org/10.1038/nbt.3192" TargetMode="External" /><Relationship Type="http://schemas.openxmlformats.org/officeDocument/2006/relationships/hyperlink" Id="rId100" Target="https://doi.org/10.1038/ncomms14049" TargetMode="External" /><Relationship Type="http://schemas.openxmlformats.org/officeDocument/2006/relationships/hyperlink" Id="rId76" Target="https://doi.org/10.1038/nmeth.4612" TargetMode="External" /><Relationship Type="http://schemas.openxmlformats.org/officeDocument/2006/relationships/hyperlink" Id="rId78" Target="https://doi.org/10.1038/s41467-021-25960-2" TargetMode="External" /><Relationship Type="http://schemas.openxmlformats.org/officeDocument/2006/relationships/hyperlink" Id="rId52" Target="https://doi.org/10.1038/s41576-023-00586-w" TargetMode="External" /><Relationship Type="http://schemas.openxmlformats.org/officeDocument/2006/relationships/hyperlink" Id="rId96" Target="https://doi.org/10.1038/s41586-023-06812-z" TargetMode="External" /><Relationship Type="http://schemas.openxmlformats.org/officeDocument/2006/relationships/hyperlink" Id="rId84" Target="https://doi.org/10.1038/s41592-019-0425-8" TargetMode="External" /><Relationship Type="http://schemas.openxmlformats.org/officeDocument/2006/relationships/hyperlink" Id="rId86" Target="https://doi.org/10.1038/s41598-019-41695-z" TargetMode="External" /><Relationship Type="http://schemas.openxmlformats.org/officeDocument/2006/relationships/hyperlink" Id="rId98" Target="https://doi.org/10.1093/bib/bby011" TargetMode="External" /><Relationship Type="http://schemas.openxmlformats.org/officeDocument/2006/relationships/hyperlink" Id="rId54" Target="https://doi.org/10.1093/bioadv/vbaf167" TargetMode="External" /><Relationship Type="http://schemas.openxmlformats.org/officeDocument/2006/relationships/hyperlink" Id="rId58" Target="https://doi.org/10.1093/bioinformatics/btad151" TargetMode="External" /><Relationship Type="http://schemas.openxmlformats.org/officeDocument/2006/relationships/hyperlink" Id="rId64" Target="https://doi.org/10.1101/2022.05.26.493607" TargetMode="External" /><Relationship Type="http://schemas.openxmlformats.org/officeDocument/2006/relationships/hyperlink" Id="rId74" Target="https://doi.org/10.1109/SCW63240.2024.00028" TargetMode="External" /><Relationship Type="http://schemas.openxmlformats.org/officeDocument/2006/relationships/hyperlink" Id="rId82" Target="https://doi.org/10.1126/science.abl4896" TargetMode="External" /><Relationship Type="http://schemas.openxmlformats.org/officeDocument/2006/relationships/hyperlink" Id="rId42" Target="https://doi.org/10.1145/1465482.1465560" TargetMode="External" /><Relationship Type="http://schemas.openxmlformats.org/officeDocument/2006/relationships/hyperlink" Id="rId92" Target="https://doi.org/10.1145/1498765.1498785" TargetMode="External" /><Relationship Type="http://schemas.openxmlformats.org/officeDocument/2006/relationships/hyperlink" Id="rId50" Target="https://doi.org/10.1145/3731599.3767378" TargetMode="External" /><Relationship Type="http://schemas.openxmlformats.org/officeDocument/2006/relationships/hyperlink" Id="rId94" Target="https://doi.org/10.1186/s13059-017-1382-0" TargetMode="External" /><Relationship Type="http://schemas.openxmlformats.org/officeDocument/2006/relationships/hyperlink" Id="rId80" Target="https://doi.org/10.1186/s13059-019-1836-7" TargetMode="External" /><Relationship Type="http://schemas.openxmlformats.org/officeDocument/2006/relationships/hyperlink" Id="rId48" Target="https://doi.org/10.12688/f1000research.15666.3" TargetMode="External" /><Relationship Type="http://schemas.openxmlformats.org/officeDocument/2006/relationships/hyperlink" Id="rId60" Target="https://doi.org/10.15252/msb.20188746" TargetMode="External" /><Relationship Type="http://schemas.openxmlformats.org/officeDocument/2006/relationships/hyperlink" Id="rId62" Target="https://doi.org/10.21105/joss.00861" TargetMode="External" /><Relationship Type="http://schemas.openxmlformats.org/officeDocument/2006/relationships/hyperlink" Id="rId90" Target="https://doi.org/10.21105/joss.04371" TargetMode="External" /><Relationship Type="http://schemas.openxmlformats.org/officeDocument/2006/relationships/hyperlink" Id="rId70" Target="https://doi.org/10.25080/Majora-7b98e3ed-013" TargetMode="External" /><Relationship Type="http://schemas.openxmlformats.org/officeDocument/2006/relationships/hyperlink" Id="rId46" Target="https://doi.org/10.48550/arXiv.2603.02402" TargetMode="External" /><Relationship Type="http://schemas.openxmlformats.org/officeDocument/2006/relationships/hyperlink" Id="rId68" Target="https://doi.org/10.7554/eLife.27041" TargetMode="External" /><Relationship Type="http://schemas.openxmlformats.org/officeDocument/2006/relationships/hyperlink" Id="rId88" Target="https://jmlr.org/papers/v11/vinh10a.html" TargetMode="External" /><Relationship Type="http://schemas.openxmlformats.org/officeDocument/2006/relationships/hyperlink" Id="rId66" Target="https://rapids.ai" TargetMode="External" /></Relationships>
</file>

<file path=word/_rels/footnotes.xml.rels><?xml version="1.0" encoding="UTF-8"?><Relationships xmlns="http://schemas.openxmlformats.org/package/2006/relationships"><Relationship Type="http://schemas.openxmlformats.org/officeDocument/2006/relationships/hyperlink" Id="rId56" Target="https://doi.org/10.1007/BF01908075" TargetMode="External" /><Relationship Type="http://schemas.openxmlformats.org/officeDocument/2006/relationships/hyperlink" Id="rId44" Target="https://doi.org/10.1016/j.parco.2015.09.001" TargetMode="External" /><Relationship Type="http://schemas.openxmlformats.org/officeDocument/2006/relationships/hyperlink" Id="rId72" Target="https://doi.org/10.1038/nbt.3192" TargetMode="External" /><Relationship Type="http://schemas.openxmlformats.org/officeDocument/2006/relationships/hyperlink" Id="rId100" Target="https://doi.org/10.1038/ncomms14049" TargetMode="External" /><Relationship Type="http://schemas.openxmlformats.org/officeDocument/2006/relationships/hyperlink" Id="rId76" Target="https://doi.org/10.1038/nmeth.4612" TargetMode="External" /><Relationship Type="http://schemas.openxmlformats.org/officeDocument/2006/relationships/hyperlink" Id="rId78" Target="https://doi.org/10.1038/s41467-021-25960-2" TargetMode="External" /><Relationship Type="http://schemas.openxmlformats.org/officeDocument/2006/relationships/hyperlink" Id="rId52" Target="https://doi.org/10.1038/s41576-023-00586-w" TargetMode="External" /><Relationship Type="http://schemas.openxmlformats.org/officeDocument/2006/relationships/hyperlink" Id="rId96" Target="https://doi.org/10.1038/s41586-023-06812-z" TargetMode="External" /><Relationship Type="http://schemas.openxmlformats.org/officeDocument/2006/relationships/hyperlink" Id="rId84" Target="https://doi.org/10.1038/s41592-019-0425-8" TargetMode="External" /><Relationship Type="http://schemas.openxmlformats.org/officeDocument/2006/relationships/hyperlink" Id="rId86" Target="https://doi.org/10.1038/s41598-019-41695-z" TargetMode="External" /><Relationship Type="http://schemas.openxmlformats.org/officeDocument/2006/relationships/hyperlink" Id="rId98" Target="https://doi.org/10.1093/bib/bby011" TargetMode="External" /><Relationship Type="http://schemas.openxmlformats.org/officeDocument/2006/relationships/hyperlink" Id="rId54" Target="https://doi.org/10.1093/bioadv/vbaf167" TargetMode="External" /><Relationship Type="http://schemas.openxmlformats.org/officeDocument/2006/relationships/hyperlink" Id="rId58" Target="https://doi.org/10.1093/bioinformatics/btad151" TargetMode="External" /><Relationship Type="http://schemas.openxmlformats.org/officeDocument/2006/relationships/hyperlink" Id="rId64" Target="https://doi.org/10.1101/2022.05.26.493607" TargetMode="External" /><Relationship Type="http://schemas.openxmlformats.org/officeDocument/2006/relationships/hyperlink" Id="rId74" Target="https://doi.org/10.1109/SCW63240.2024.00028" TargetMode="External" /><Relationship Type="http://schemas.openxmlformats.org/officeDocument/2006/relationships/hyperlink" Id="rId82" Target="https://doi.org/10.1126/science.abl4896" TargetMode="External" /><Relationship Type="http://schemas.openxmlformats.org/officeDocument/2006/relationships/hyperlink" Id="rId42" Target="https://doi.org/10.1145/1465482.1465560" TargetMode="External" /><Relationship Type="http://schemas.openxmlformats.org/officeDocument/2006/relationships/hyperlink" Id="rId92" Target="https://doi.org/10.1145/1498765.1498785" TargetMode="External" /><Relationship Type="http://schemas.openxmlformats.org/officeDocument/2006/relationships/hyperlink" Id="rId50" Target="https://doi.org/10.1145/3731599.3767378" TargetMode="External" /><Relationship Type="http://schemas.openxmlformats.org/officeDocument/2006/relationships/hyperlink" Id="rId94" Target="https://doi.org/10.1186/s13059-017-1382-0" TargetMode="External" /><Relationship Type="http://schemas.openxmlformats.org/officeDocument/2006/relationships/hyperlink" Id="rId80" Target="https://doi.org/10.1186/s13059-019-1836-7" TargetMode="External" /><Relationship Type="http://schemas.openxmlformats.org/officeDocument/2006/relationships/hyperlink" Id="rId48" Target="https://doi.org/10.12688/f1000research.15666.3" TargetMode="External" /><Relationship Type="http://schemas.openxmlformats.org/officeDocument/2006/relationships/hyperlink" Id="rId60" Target="https://doi.org/10.15252/msb.20188746" TargetMode="External" /><Relationship Type="http://schemas.openxmlformats.org/officeDocument/2006/relationships/hyperlink" Id="rId62" Target="https://doi.org/10.21105/joss.00861" TargetMode="External" /><Relationship Type="http://schemas.openxmlformats.org/officeDocument/2006/relationships/hyperlink" Id="rId90" Target="https://doi.org/10.21105/joss.04371" TargetMode="External" /><Relationship Type="http://schemas.openxmlformats.org/officeDocument/2006/relationships/hyperlink" Id="rId70" Target="https://doi.org/10.25080/Majora-7b98e3ed-013" TargetMode="External" /><Relationship Type="http://schemas.openxmlformats.org/officeDocument/2006/relationships/hyperlink" Id="rId46" Target="https://doi.org/10.48550/arXiv.2603.02402" TargetMode="External" /><Relationship Type="http://schemas.openxmlformats.org/officeDocument/2006/relationships/hyperlink" Id="rId68" Target="https://doi.org/10.7554/eLife.27041" TargetMode="External" /><Relationship Type="http://schemas.openxmlformats.org/officeDocument/2006/relationships/hyperlink" Id="rId88" Target="https://jmlr.org/papers/v11/vinh10a.html" TargetMode="External" /><Relationship Type="http://schemas.openxmlformats.org/officeDocument/2006/relationships/hyperlink" Id="rId66" Target="https://rapids.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GPU-accelerated single-cell RNA-seq analysis on NVIDIA DGX H100: a systematic benchmark of speed, scalability, and biological concordance</dc:title>
  <dc:creator/>
  <cp:keywords/>
  <dcterms:created xsi:type="dcterms:W3CDTF">2026-03-23T08:25:19Z</dcterms:created>
  <dcterms:modified xsi:type="dcterms:W3CDTF">2026-03-23T08:25:19Z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Single-cell RNA sequencing (scRNA-seq) datasets now routinely exceed one million cells, yet the standard analysis framework Scanpy remains CPU-bound. We present a systematic benchmark comparing Scanpy (CPU, 100 cores) against rapids-singlecell (GPU, 1–8 NVIDIA H100 80 GB) on the canonical 1.3-million mouse brain cell dataset, evaluating speed, multi-GPU scalability, memory efficiency, and biological concordance across five dataset sizes (10k–1.3M cells) with five independent repeats per configuration. The GPU pipeline achieved up to 120-fold end-to-end speedup at 1.3M cells (435 s vs 52,056 s on CPU), reducing a 14.5-hour analysis to 7.3 minutes. Per-step speedups ranged from 0.76\times (data loading) to 329\times (normalization). Biological concordance was high: highly variable gene (HVG) selection was identical (Jaccard = 1.0), PCA loadings perfectly correlated (Spearman |\rho| = 1.0), and Leiden clustering concordance ranged from ARI = 0.908 to 0.963 across resolutions. Multi-GPU scaling was sublinear, with 2–8 GPUs yielding similar wall times, because CPU preprocessing and single-GPU graph operations dominated. In a stress test, the optimised pipeline processed 11.9 million cells on a single DGX H100 node, with CPU RAM (535 of 2,048 GB) as the limiting factor rather than GPU VRAM (49 of 640 GB, 7.6%). A factorial differential expression benchmark at 3.4M cells demonstrated that pseudo-bulk aggregation was 44\times faster than cell-level t-test and that GPU Wilcoxon (826 s) outperformed GPU t-test (1,656 s). These results provide practical guidance for deploying GPU-accelerated single-cell workflows at atlas scale and identify CPU-side preprocessing as the primary bottleneck for future optimisation.</vt:lpwstr>
  </property>
  <property fmtid="{D5CDD505-2E9C-101B-9397-08002B2CF9AE}" pid="3" name="bibliography">
    <vt:lpwstr>/home/user/2026.scRNA_DGX/manuscript/bibliography/cibb2026_references.bib</vt:lpwstr>
  </property>
</Properties>
</file>