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Collaborazioni DCTV x DSF</w:t>
      </w:r>
    </w:p>
    <w:p>
      <w:pPr>
        <w:jc w:val="center"/>
      </w:pPr>
      <w:r>
        <w:t>Università di Padova</w:t>
      </w:r>
    </w:p>
    <w:p>
      <w:r>
        <w:t>Selezione: Statistica Medica, Farmaci e Terapia Cardiovascolare</w:t>
      </w:r>
    </w:p>
    <w:p/>
    <w:p>
      <w:pPr>
        <w:pStyle w:val="Heading1"/>
      </w:pPr>
      <w:r>
        <w:t>Riepilogo Impact Factor</w:t>
      </w:r>
    </w:p>
    <w:p>
      <w:r>
        <w:rPr>
          <w:b/>
        </w:rPr>
        <w:t xml:space="preserve">IF TOTALE (41 articoli): </w:t>
      </w:r>
      <w:r>
        <w:t>184.2</w:t>
      </w:r>
    </w:p>
    <w:p>
      <w:r>
        <w:rPr>
          <w:b/>
        </w:rPr>
        <w:t xml:space="preserve">IF MEDIO: </w:t>
      </w:r>
      <w:r>
        <w:t>4.49</w:t>
      </w:r>
    </w:p>
    <w:p/>
    <w:p>
      <w:pPr>
        <w:pStyle w:val="Heading2"/>
      </w:pPr>
      <w:r>
        <w:t>Legenda formattazione autori</w:t>
      </w:r>
    </w:p>
    <w:p>
      <w:r>
        <w:rPr>
          <w:b/>
          <w:i/>
        </w:rPr>
        <w:t>NOME</w:t>
      </w:r>
      <w:r>
        <w:t xml:space="preserve"> = Ricercatore DCTV (Dipartimento Scienze Cardio-Toraco-Vascolari e Sanità Pubblica)</w:t>
      </w:r>
    </w:p>
    <w:p>
      <w:r>
        <w:rPr>
          <w:u w:val="single"/>
        </w:rPr>
        <w:t>NOME</w:t>
      </w:r>
      <w:r>
        <w:t xml:space="preserve"> = Ricercatore DSF (Dipartimento Scienze del Farmaco)</w:t>
      </w:r>
    </w:p>
    <w:p/>
    <w:p>
      <w:pPr>
        <w:pStyle w:val="Heading1"/>
      </w:pPr>
      <w:r>
        <w:t>10 Articoli Selezionati</w:t>
      </w:r>
    </w:p>
    <w:p>
      <w:r>
        <w:rPr>
          <w:b/>
        </w:rPr>
        <w:t xml:space="preserve">1. </w:t>
      </w:r>
      <w:r>
        <w:t>PMID: 38296049 (2024) - IF: 4.9</w:t>
      </w:r>
    </w:p>
    <w:p>
      <w:r>
        <w:rPr>
          <w:b/>
        </w:rPr>
        <w:t>The Cost of Atrial Fibrillation: A Systematic Review.</w:t>
      </w:r>
    </w:p>
    <w:p>
      <w:r>
        <w:rPr>
          <w:i/>
        </w:rPr>
        <w:t>Value in Health</w:t>
      </w:r>
    </w:p>
    <w:p>
      <w:r>
        <w:t xml:space="preserve">Autori: </w:t>
      </w:r>
      <w:r>
        <w:rPr>
          <w:b/>
          <w:i/>
        </w:rPr>
        <w:t>Buja A</w:t>
      </w:r>
      <w:r>
        <w:t xml:space="preserve">, </w:t>
      </w:r>
      <w:r>
        <w:t>Rebba V</w:t>
      </w:r>
      <w:r>
        <w:t xml:space="preserve">, </w:t>
      </w:r>
      <w:r>
        <w:t>Montecchio L</w:t>
      </w:r>
      <w:r>
        <w:t xml:space="preserve">, </w:t>
      </w:r>
      <w:r>
        <w:t>Renzo G</w:t>
      </w:r>
      <w:r>
        <w:t xml:space="preserve">, </w:t>
      </w:r>
      <w:r>
        <w:rPr>
          <w:b/>
          <w:i/>
        </w:rPr>
        <w:t>Baldo V</w:t>
      </w:r>
      <w:r>
        <w:t xml:space="preserve">, </w:t>
      </w:r>
      <w:r>
        <w:rPr>
          <w:b/>
          <w:i/>
        </w:rPr>
        <w:t>Cocchio S</w:t>
      </w:r>
      <w:r>
        <w:t xml:space="preserve">, </w:t>
      </w:r>
      <w:r>
        <w:rPr>
          <w:u w:val="single"/>
        </w:rPr>
        <w:t>Ferri N</w:t>
      </w:r>
      <w:r>
        <w:t xml:space="preserve">, </w:t>
      </w:r>
      <w:r>
        <w:rPr>
          <w:b/>
          <w:i/>
        </w:rPr>
        <w:t>Migliore F</w:t>
      </w:r>
      <w:r>
        <w:t xml:space="preserve">, </w:t>
      </w:r>
      <w:r>
        <w:rPr>
          <w:b/>
          <w:i/>
        </w:rPr>
        <w:t>Zorzi A</w:t>
      </w:r>
      <w:r>
        <w:t xml:space="preserve">, </w:t>
      </w:r>
      <w:r>
        <w:t>Collins B</w:t>
      </w:r>
      <w:r>
        <w:t xml:space="preserve">, </w:t>
      </w:r>
      <w:r>
        <w:t>Amrouch C</w:t>
      </w:r>
      <w:r>
        <w:t xml:space="preserve">, </w:t>
      </w:r>
      <w:r>
        <w:t>De Smedt D</w:t>
      </w:r>
      <w:r>
        <w:t xml:space="preserve">, </w:t>
      </w:r>
      <w:r>
        <w:t>Kypridemos C</w:t>
      </w:r>
      <w:r>
        <w:t xml:space="preserve">, </w:t>
      </w:r>
      <w:r>
        <w:t>Petrovic M</w:t>
      </w:r>
      <w:r>
        <w:t xml:space="preserve">, </w:t>
      </w:r>
      <w:r>
        <w:t>O'Flaherty M</w:t>
      </w:r>
      <w:r>
        <w:t xml:space="preserve">, </w:t>
      </w:r>
      <w:r>
        <w:t>Lip GYH</w:t>
      </w:r>
    </w:p>
    <w:p/>
    <w:p>
      <w:r>
        <w:rPr>
          <w:b/>
        </w:rPr>
        <w:t xml:space="preserve">2. </w:t>
      </w:r>
      <w:r>
        <w:t>PMID: 40750828 (2025) - IF: 5.2</w:t>
      </w:r>
    </w:p>
    <w:p>
      <w:r>
        <w:rPr>
          <w:b/>
        </w:rPr>
        <w:t>The main protease (Mpro) from SARS-CoV-2 triggers plasma clotting in vitro by activating coagulation factors VII and FXII.</w:t>
      </w:r>
    </w:p>
    <w:p>
      <w:r>
        <w:rPr>
          <w:i/>
        </w:rPr>
        <w:t>Communications Biology</w:t>
      </w:r>
    </w:p>
    <w:p>
      <w:r>
        <w:t xml:space="preserve">Autori: </w:t>
      </w:r>
      <w:r>
        <w:t>Pagotto A</w:t>
      </w:r>
      <w:r>
        <w:t xml:space="preserve">, </w:t>
      </w:r>
      <w:r>
        <w:t>Uliana F</w:t>
      </w:r>
      <w:r>
        <w:t xml:space="preserve">, </w:t>
      </w:r>
      <w:r>
        <w:t>Cavedon E</w:t>
      </w:r>
      <w:r>
        <w:t xml:space="preserve">, </w:t>
      </w:r>
      <w:r>
        <w:t>Nordio G</w:t>
      </w:r>
      <w:r>
        <w:t xml:space="preserve">, </w:t>
      </w:r>
      <w:r>
        <w:rPr>
          <w:b/>
          <w:i/>
        </w:rPr>
        <w:t>Pierangelini A</w:t>
      </w:r>
      <w:r>
        <w:t xml:space="preserve">, </w:t>
      </w:r>
      <w:r>
        <w:rPr>
          <w:u w:val="single"/>
        </w:rPr>
        <w:t>Acquasaliente L</w:t>
      </w:r>
      <w:r>
        <w:t xml:space="preserve">, </w:t>
      </w:r>
      <w:r>
        <w:t>Macchia ML</w:t>
      </w:r>
      <w:r>
        <w:t xml:space="preserve">, </w:t>
      </w:r>
      <w:r>
        <w:t>Bellanda M</w:t>
      </w:r>
      <w:r>
        <w:t xml:space="preserve">, </w:t>
      </w:r>
      <w:r>
        <w:rPr>
          <w:u w:val="single"/>
        </w:rPr>
        <w:t>Gatto B</w:t>
      </w:r>
      <w:r>
        <w:t xml:space="preserve">, </w:t>
      </w:r>
      <w:r>
        <w:t>De Silvestro G</w:t>
      </w:r>
      <w:r>
        <w:t xml:space="preserve">, </w:t>
      </w:r>
      <w:r>
        <w:t>Marson P</w:t>
      </w:r>
      <w:r>
        <w:t xml:space="preserve">, </w:t>
      </w:r>
      <w:r>
        <w:rPr>
          <w:b/>
          <w:i/>
        </w:rPr>
        <w:t>Gregori D</w:t>
      </w:r>
      <w:r>
        <w:t xml:space="preserve">, </w:t>
      </w:r>
      <w:r>
        <w:t>Simioni P</w:t>
      </w:r>
      <w:r>
        <w:t xml:space="preserve">, </w:t>
      </w:r>
      <w:r>
        <w:t>Picotti P</w:t>
      </w:r>
      <w:r>
        <w:t xml:space="preserve">, </w:t>
      </w:r>
      <w:r>
        <w:rPr>
          <w:u w:val="single"/>
        </w:rPr>
        <w:t>De Filippis V</w:t>
      </w:r>
    </w:p>
    <w:p/>
    <w:p>
      <w:r>
        <w:rPr>
          <w:b/>
        </w:rPr>
        <w:t xml:space="preserve">3. </w:t>
      </w:r>
      <w:r>
        <w:t>PMID: 38750639 (2024) - IF: 5.3</w:t>
      </w:r>
    </w:p>
    <w:p>
      <w:r>
        <w:rPr>
          <w:b/>
        </w:rPr>
        <w:t>Successful Recovery of Cardiac Function Following 20 min of a No-touch Period in a Donation After Circulatory Death: A Case Report.</w:t>
      </w:r>
    </w:p>
    <w:p>
      <w:r>
        <w:rPr>
          <w:i/>
        </w:rPr>
        <w:t>Transplantation</w:t>
      </w:r>
    </w:p>
    <w:p>
      <w:r>
        <w:t xml:space="preserve">Autori: </w:t>
      </w:r>
      <w:r>
        <w:rPr>
          <w:b/>
          <w:i/>
        </w:rPr>
        <w:t>Zanatta P</w:t>
      </w:r>
      <w:r>
        <w:t xml:space="preserve">, </w:t>
      </w:r>
      <w:r>
        <w:rPr>
          <w:u w:val="single"/>
        </w:rPr>
        <w:t>Linassi F</w:t>
      </w:r>
      <w:r>
        <w:t xml:space="preserve">, </w:t>
      </w:r>
      <w:r>
        <w:t>Gasparetto N</w:t>
      </w:r>
      <w:r>
        <w:t xml:space="preserve">, </w:t>
      </w:r>
      <w:r>
        <w:t>Polesello L</w:t>
      </w:r>
      <w:r>
        <w:t xml:space="preserve">, </w:t>
      </w:r>
      <w:r>
        <w:t>Bussola M</w:t>
      </w:r>
      <w:r>
        <w:t xml:space="preserve">, </w:t>
      </w:r>
      <w:r>
        <w:t>Nascimben E</w:t>
      </w:r>
      <w:r>
        <w:t xml:space="preserve">, </w:t>
      </w:r>
      <w:r>
        <w:t>Minniti G</w:t>
      </w:r>
      <w:r>
        <w:t xml:space="preserve">, </w:t>
      </w:r>
      <w:r>
        <w:t>Cernetti C</w:t>
      </w:r>
      <w:r>
        <w:t xml:space="preserve">, </w:t>
      </w:r>
      <w:r>
        <w:rPr>
          <w:b/>
          <w:i/>
        </w:rPr>
        <w:t>Angelini M</w:t>
      </w:r>
      <w:r>
        <w:t xml:space="preserve">, </w:t>
      </w:r>
      <w:r>
        <w:t>Feltrin G</w:t>
      </w:r>
      <w:r>
        <w:t xml:space="preserve">, </w:t>
      </w:r>
      <w:r>
        <w:t>Romano M</w:t>
      </w:r>
      <w:r>
        <w:t xml:space="preserve">, </w:t>
      </w:r>
      <w:r>
        <w:t>Zanus G</w:t>
      </w:r>
      <w:r>
        <w:t xml:space="preserve">, </w:t>
      </w:r>
      <w:r>
        <w:t>Benazzi F</w:t>
      </w:r>
      <w:r>
        <w:t xml:space="preserve">, </w:t>
      </w:r>
      <w:r>
        <w:rPr>
          <w:b/>
          <w:i/>
        </w:rPr>
        <w:t>Gerosa G</w:t>
      </w:r>
    </w:p>
    <w:p/>
    <w:p>
      <w:r>
        <w:rPr>
          <w:b/>
        </w:rPr>
        <w:t xml:space="preserve">4. </w:t>
      </w:r>
      <w:r>
        <w:t>PMID: 34019247 (2021) - IF: 3.8</w:t>
      </w:r>
    </w:p>
    <w:p>
      <w:r>
        <w:rPr>
          <w:b/>
        </w:rPr>
        <w:t>Unmet Clinical Needs in Elderly Patients Receiving Direct Oral Anticoagulants for Stroke Prevention in Non-valvular Atrial Fibrillation.</w:t>
      </w:r>
    </w:p>
    <w:p>
      <w:r>
        <w:rPr>
          <w:i/>
        </w:rPr>
        <w:t>Advances in Therapy</w:t>
      </w:r>
    </w:p>
    <w:p>
      <w:r>
        <w:t xml:space="preserve">Autori: </w:t>
      </w:r>
      <w:r>
        <w:t>Botto G</w:t>
      </w:r>
      <w:r>
        <w:t xml:space="preserve">, </w:t>
      </w:r>
      <w:r>
        <w:t>Ameri P</w:t>
      </w:r>
      <w:r>
        <w:t xml:space="preserve">, </w:t>
      </w:r>
      <w:r>
        <w:t>Cappellari M</w:t>
      </w:r>
      <w:r>
        <w:t xml:space="preserve">, </w:t>
      </w:r>
      <w:r>
        <w:t>Dentali F</w:t>
      </w:r>
      <w:r>
        <w:t xml:space="preserve">, </w:t>
      </w:r>
      <w:r>
        <w:rPr>
          <w:u w:val="single"/>
        </w:rPr>
        <w:t>Ferri N</w:t>
      </w:r>
      <w:r>
        <w:t xml:space="preserve">, </w:t>
      </w:r>
      <w:r>
        <w:t>Parrini I</w:t>
      </w:r>
      <w:r>
        <w:t xml:space="preserve">, </w:t>
      </w:r>
      <w:r>
        <w:t>Porto I</w:t>
      </w:r>
      <w:r>
        <w:t xml:space="preserve">, </w:t>
      </w:r>
      <w:r>
        <w:rPr>
          <w:b/>
          <w:i/>
        </w:rPr>
        <w:t>Squizzato A</w:t>
      </w:r>
      <w:r>
        <w:t xml:space="preserve">, </w:t>
      </w:r>
      <w:r>
        <w:rPr>
          <w:b/>
          <w:i/>
        </w:rPr>
        <w:t>Camporese G</w:t>
      </w:r>
    </w:p>
    <w:p/>
    <w:p>
      <w:r>
        <w:rPr>
          <w:b/>
        </w:rPr>
        <w:t xml:space="preserve">5. </w:t>
      </w:r>
      <w:r>
        <w:t>PMID: 33920144 (2021) - IF: 2.1</w:t>
      </w:r>
    </w:p>
    <w:p>
      <w:r>
        <w:rPr>
          <w:b/>
        </w:rPr>
        <w:t>Von Willebrand Factor Multimers and the Relaxation Response: A One-Year Study.</w:t>
      </w:r>
    </w:p>
    <w:p>
      <w:r>
        <w:rPr>
          <w:i/>
        </w:rPr>
        <w:t>Entropy</w:t>
      </w:r>
    </w:p>
    <w:p>
      <w:r>
        <w:t xml:space="preserve">Autori: </w:t>
      </w:r>
      <w:r>
        <w:t>Dal Lin C</w:t>
      </w:r>
      <w:r>
        <w:t xml:space="preserve">, </w:t>
      </w:r>
      <w:r>
        <w:rPr>
          <w:u w:val="single"/>
        </w:rPr>
        <w:t>Acquasaliente L</w:t>
      </w:r>
      <w:r>
        <w:t xml:space="preserve">, </w:t>
      </w:r>
      <w:r>
        <w:t>Iliceto S</w:t>
      </w:r>
      <w:r>
        <w:t xml:space="preserve">, </w:t>
      </w:r>
      <w:r>
        <w:rPr>
          <w:u w:val="single"/>
        </w:rPr>
        <w:t>De Filippis V</w:t>
      </w:r>
      <w:r>
        <w:t xml:space="preserve">, </w:t>
      </w:r>
      <w:r>
        <w:t>Vitiello G</w:t>
      </w:r>
      <w:r>
        <w:t xml:space="preserve">, </w:t>
      </w:r>
      <w:r>
        <w:rPr>
          <w:b/>
          <w:i/>
        </w:rPr>
        <w:t>Tona F</w:t>
      </w:r>
    </w:p>
    <w:p/>
    <w:p>
      <w:r>
        <w:rPr>
          <w:b/>
        </w:rPr>
        <w:t xml:space="preserve">6. </w:t>
      </w:r>
      <w:r>
        <w:t>PMID: 32518155 (2020) - IF: 4.0</w:t>
      </w:r>
    </w:p>
    <w:p>
      <w:r>
        <w:rPr>
          <w:b/>
        </w:rPr>
        <w:t>The J-elongated conformation of β2-glycoprotein I restricts exposure of its major antigen epitopes.</w:t>
      </w:r>
    </w:p>
    <w:p>
      <w:r>
        <w:rPr>
          <w:i/>
        </w:rPr>
        <w:t>The Journal of Biological Chemistry</w:t>
      </w:r>
    </w:p>
    <w:p>
      <w:r>
        <w:t xml:space="preserve">Autori: </w:t>
      </w:r>
      <w:r>
        <w:t>Ruben E</w:t>
      </w:r>
      <w:r>
        <w:t xml:space="preserve">, </w:t>
      </w:r>
      <w:r>
        <w:t>Planer W</w:t>
      </w:r>
      <w:r>
        <w:t xml:space="preserve">, </w:t>
      </w:r>
      <w:r>
        <w:t>Chinnaraj M</w:t>
      </w:r>
      <w:r>
        <w:t xml:space="preserve">, </w:t>
      </w:r>
      <w:r>
        <w:t>Chen Z</w:t>
      </w:r>
      <w:r>
        <w:t xml:space="preserve">, </w:t>
      </w:r>
      <w:r>
        <w:t>Zuo X</w:t>
      </w:r>
      <w:r>
        <w:t xml:space="preserve">, </w:t>
      </w:r>
      <w:r>
        <w:rPr>
          <w:b/>
          <w:i/>
        </w:rPr>
        <w:t>Pengo V</w:t>
      </w:r>
      <w:r>
        <w:t xml:space="preserve">, </w:t>
      </w:r>
      <w:r>
        <w:rPr>
          <w:u w:val="single"/>
        </w:rPr>
        <w:t>De Filippis V</w:t>
      </w:r>
      <w:r>
        <w:t xml:space="preserve">, </w:t>
      </w:r>
      <w:r>
        <w:t>Alluri RK</w:t>
      </w:r>
      <w:r>
        <w:t xml:space="preserve">, </w:t>
      </w:r>
      <w:r>
        <w:t>McCrae KR</w:t>
      </w:r>
      <w:r>
        <w:t xml:space="preserve">, </w:t>
      </w:r>
      <w:r>
        <w:t>Macor P</w:t>
      </w:r>
      <w:r>
        <w:t xml:space="preserve">, </w:t>
      </w:r>
      <w:r>
        <w:t>Tedesco F</w:t>
      </w:r>
      <w:r>
        <w:t xml:space="preserve">, </w:t>
      </w:r>
      <w:r>
        <w:t>Pozzi N</w:t>
      </w:r>
    </w:p>
    <w:p/>
    <w:p>
      <w:r>
        <w:rPr>
          <w:b/>
        </w:rPr>
        <w:t xml:space="preserve">7. </w:t>
      </w:r>
      <w:r>
        <w:t>PMID: 30466070 (2018) - IF: 3.6</w:t>
      </w:r>
    </w:p>
    <w:p>
      <w:r>
        <w:rPr>
          <w:b/>
        </w:rPr>
        <w:t>Lupus anticoagulant identifies two distinct groups of patients with different antibody patterns.</w:t>
      </w:r>
    </w:p>
    <w:p>
      <w:r>
        <w:rPr>
          <w:i/>
        </w:rPr>
        <w:t>Thrombosis Research</w:t>
      </w:r>
    </w:p>
    <w:p>
      <w:r>
        <w:t xml:space="preserve">Autori: </w:t>
      </w:r>
      <w:r>
        <w:rPr>
          <w:b/>
          <w:i/>
        </w:rPr>
        <w:t>Pengo V</w:t>
      </w:r>
      <w:r>
        <w:t xml:space="preserve">, </w:t>
      </w:r>
      <w:r>
        <w:t>Del Ross T</w:t>
      </w:r>
      <w:r>
        <w:t xml:space="preserve">, </w:t>
      </w:r>
      <w:r>
        <w:t>Ruffatti A</w:t>
      </w:r>
      <w:r>
        <w:t xml:space="preserve">, </w:t>
      </w:r>
      <w:r>
        <w:t>Bison E</w:t>
      </w:r>
      <w:r>
        <w:t xml:space="preserve">, </w:t>
      </w:r>
      <w:r>
        <w:t>Cattini MG</w:t>
      </w:r>
      <w:r>
        <w:t xml:space="preserve">, </w:t>
      </w:r>
      <w:r>
        <w:t>Pontara E</w:t>
      </w:r>
      <w:r>
        <w:t xml:space="preserve">, </w:t>
      </w:r>
      <w:r>
        <w:t>Testa S</w:t>
      </w:r>
      <w:r>
        <w:t xml:space="preserve">, </w:t>
      </w:r>
      <w:r>
        <w:t>Legnani C</w:t>
      </w:r>
      <w:r>
        <w:t xml:space="preserve">, </w:t>
      </w:r>
      <w:r>
        <w:t>Pozzi N</w:t>
      </w:r>
      <w:r>
        <w:t xml:space="preserve">, </w:t>
      </w:r>
      <w:r>
        <w:rPr>
          <w:u w:val="single"/>
        </w:rPr>
        <w:t>Peterle D</w:t>
      </w:r>
      <w:r>
        <w:t xml:space="preserve">, </w:t>
      </w:r>
      <w:r>
        <w:rPr>
          <w:u w:val="single"/>
        </w:rPr>
        <w:t>Acquasaliente L</w:t>
      </w:r>
      <w:r>
        <w:t xml:space="preserve">, </w:t>
      </w:r>
      <w:r>
        <w:rPr>
          <w:u w:val="single"/>
        </w:rPr>
        <w:t>De Filippis V</w:t>
      </w:r>
      <w:r>
        <w:t xml:space="preserve">, </w:t>
      </w:r>
      <w:r>
        <w:t>Denas G</w:t>
      </w:r>
    </w:p>
    <w:p/>
    <w:p>
      <w:r>
        <w:rPr>
          <w:b/>
        </w:rPr>
        <w:t xml:space="preserve">8. </w:t>
      </w:r>
      <w:r>
        <w:t>PMID: 27760842 (2016) - IF: 4.4</w:t>
      </w:r>
    </w:p>
    <w:p>
      <w:r>
        <w:rPr>
          <w:b/>
        </w:rPr>
        <w:t>Molecular mapping of α-thrombin (αT)/β2-glycoprotein I (β2GpI) interaction reveals how β2GpI affects αT functions.</w:t>
      </w:r>
    </w:p>
    <w:p>
      <w:r>
        <w:rPr>
          <w:i/>
        </w:rPr>
        <w:t>The Biochemical Journal</w:t>
      </w:r>
    </w:p>
    <w:p>
      <w:r>
        <w:t xml:space="preserve">Autori: </w:t>
      </w:r>
      <w:r>
        <w:rPr>
          <w:u w:val="single"/>
        </w:rPr>
        <w:t>Acquasaliente L</w:t>
      </w:r>
      <w:r>
        <w:t xml:space="preserve">, </w:t>
      </w:r>
      <w:r>
        <w:rPr>
          <w:u w:val="single"/>
        </w:rPr>
        <w:t>Peterle D</w:t>
      </w:r>
      <w:r>
        <w:t xml:space="preserve">, </w:t>
      </w:r>
      <w:r>
        <w:rPr>
          <w:u w:val="single"/>
        </w:rPr>
        <w:t>Tescari S</w:t>
      </w:r>
      <w:r>
        <w:t xml:space="preserve">, </w:t>
      </w:r>
      <w:r>
        <w:t>Pozzi N</w:t>
      </w:r>
      <w:r>
        <w:t xml:space="preserve">, </w:t>
      </w:r>
      <w:r>
        <w:rPr>
          <w:b/>
          <w:i/>
        </w:rPr>
        <w:t>Pengo V</w:t>
      </w:r>
      <w:r>
        <w:t xml:space="preserve">, </w:t>
      </w:r>
      <w:r>
        <w:rPr>
          <w:u w:val="single"/>
        </w:rPr>
        <w:t>De Filippis V</w:t>
      </w:r>
    </w:p>
    <w:p/>
    <w:p>
      <w:r>
        <w:rPr>
          <w:b/>
        </w:rPr>
        <w:t xml:space="preserve">9. </w:t>
      </w:r>
      <w:r>
        <w:t>PMID: 27789941 (2016) - IF: 6.6</w:t>
      </w:r>
    </w:p>
    <w:p>
      <w:r>
        <w:rPr>
          <w:b/>
        </w:rPr>
        <w:t>Nanopatterned acellular valve conduits drive the commitment of blood-derived multipotent cells.</w:t>
      </w:r>
    </w:p>
    <w:p>
      <w:r>
        <w:rPr>
          <w:i/>
        </w:rPr>
        <w:t>International Journal of Nanomedicine</w:t>
      </w:r>
    </w:p>
    <w:p>
      <w:r>
        <w:t xml:space="preserve">Autori: </w:t>
      </w:r>
      <w:r>
        <w:rPr>
          <w:u w:val="single"/>
        </w:rPr>
        <w:t>Di Liddo R</w:t>
      </w:r>
      <w:r>
        <w:t xml:space="preserve">, </w:t>
      </w:r>
      <w:r>
        <w:t>Aguiari P</w:t>
      </w:r>
      <w:r>
        <w:t xml:space="preserve">, </w:t>
      </w:r>
      <w:r>
        <w:t>Barbon S</w:t>
      </w:r>
      <w:r>
        <w:t xml:space="preserve">, </w:t>
      </w:r>
      <w:r>
        <w:t>Bertalot T</w:t>
      </w:r>
      <w:r>
        <w:t xml:space="preserve">, </w:t>
      </w:r>
      <w:r>
        <w:t>Mandoli A</w:t>
      </w:r>
      <w:r>
        <w:t xml:space="preserve">, </w:t>
      </w:r>
      <w:r>
        <w:t>Tasso A</w:t>
      </w:r>
      <w:r>
        <w:t xml:space="preserve">, </w:t>
      </w:r>
      <w:r>
        <w:t>Schrenk S</w:t>
      </w:r>
      <w:r>
        <w:t xml:space="preserve">, </w:t>
      </w:r>
      <w:r>
        <w:rPr>
          <w:b/>
          <w:i/>
        </w:rPr>
        <w:t>Iop L</w:t>
      </w:r>
      <w:r>
        <w:t xml:space="preserve">, </w:t>
      </w:r>
      <w:r>
        <w:t>Gandaglia A</w:t>
      </w:r>
      <w:r>
        <w:t xml:space="preserve">, </w:t>
      </w:r>
      <w:r>
        <w:t>Parnigotto PP</w:t>
      </w:r>
      <w:r>
        <w:t xml:space="preserve">, </w:t>
      </w:r>
      <w:r>
        <w:rPr>
          <w:u w:val="single"/>
        </w:rPr>
        <w:t>Conconi MT</w:t>
      </w:r>
      <w:r>
        <w:t xml:space="preserve">, </w:t>
      </w:r>
      <w:r>
        <w:rPr>
          <w:b/>
          <w:i/>
        </w:rPr>
        <w:t>Gerosa G</w:t>
      </w:r>
    </w:p>
    <w:p/>
    <w:p>
      <w:r>
        <w:rPr>
          <w:b/>
        </w:rPr>
        <w:t xml:space="preserve">10. </w:t>
      </w:r>
      <w:r>
        <w:t>PMID: 37892756 (2023) - IF: 3.0</w:t>
      </w:r>
    </w:p>
    <w:p>
      <w:r>
        <w:rPr>
          <w:b/>
        </w:rPr>
        <w:t>RAndomized Clinical Trial Of NAfamostat Mesylate, A Potent Transmembrane Protease Serine 2 (TMPRSS2) Inhibitor, in Patients with COVID-19 Pneumonia.</w:t>
      </w:r>
    </w:p>
    <w:p>
      <w:r>
        <w:rPr>
          <w:i/>
        </w:rPr>
        <w:t>Journal of Clinical Medicine</w:t>
      </w:r>
    </w:p>
    <w:p>
      <w:r>
        <w:t xml:space="preserve">Autori: </w:t>
      </w:r>
      <w:r>
        <w:t>Seccia TM</w:t>
      </w:r>
      <w:r>
        <w:t xml:space="preserve">, </w:t>
      </w:r>
      <w:r>
        <w:t>Shagjaa T</w:t>
      </w:r>
      <w:r>
        <w:t xml:space="preserve">, </w:t>
      </w:r>
      <w:r>
        <w:rPr>
          <w:u w:val="single"/>
        </w:rPr>
        <w:t>Morpurgo M</w:t>
      </w:r>
      <w:r>
        <w:t xml:space="preserve">, </w:t>
      </w:r>
      <w:r>
        <w:t>Caroccia B</w:t>
      </w:r>
      <w:r>
        <w:t xml:space="preserve">, </w:t>
      </w:r>
      <w:r>
        <w:t>Sanga V</w:t>
      </w:r>
      <w:r>
        <w:t xml:space="preserve">, </w:t>
      </w:r>
      <w:r>
        <w:t>Faoro S</w:t>
      </w:r>
      <w:r>
        <w:t xml:space="preserve">, </w:t>
      </w:r>
      <w:r>
        <w:t>Venturini F</w:t>
      </w:r>
      <w:r>
        <w:t xml:space="preserve">, </w:t>
      </w:r>
      <w:r>
        <w:t>Iadicicco G</w:t>
      </w:r>
      <w:r>
        <w:t xml:space="preserve">, </w:t>
      </w:r>
      <w:r>
        <w:t>Lococo S</w:t>
      </w:r>
      <w:r>
        <w:t xml:space="preserve">, </w:t>
      </w:r>
      <w:r>
        <w:t>Mazzitelli M</w:t>
      </w:r>
      <w:r>
        <w:t xml:space="preserve">, </w:t>
      </w:r>
      <w:r>
        <w:t>Farnia F</w:t>
      </w:r>
      <w:r>
        <w:t xml:space="preserve">, </w:t>
      </w:r>
      <w:r>
        <w:t>Fioretto P</w:t>
      </w:r>
      <w:r>
        <w:t xml:space="preserve">, </w:t>
      </w:r>
      <w:r>
        <w:t>Kobayashi Y</w:t>
      </w:r>
      <w:r>
        <w:t xml:space="preserve">, </w:t>
      </w:r>
      <w:r>
        <w:rPr>
          <w:b/>
          <w:i/>
        </w:rPr>
        <w:t>Gregori D</w:t>
      </w:r>
      <w:r>
        <w:t xml:space="preserve">, </w:t>
      </w:r>
      <w:r>
        <w:t>Rossi GP</w:t>
      </w:r>
    </w:p>
    <w:p/>
    <w:p>
      <w:pPr>
        <w:pStyle w:val="Heading1"/>
      </w:pPr>
      <w:r>
        <w:t>Riepilogo Selezione</w:t>
      </w:r>
    </w:p>
    <w:p>
      <w:r>
        <w:rPr>
          <w:b/>
        </w:rPr>
        <w:t xml:space="preserve">IF TOTALE SELEZIONE (10 articoli): </w:t>
      </w:r>
      <w:r>
        <w:t>42.9</w:t>
      </w:r>
    </w:p>
    <w:p>
      <w:r>
        <w:rPr>
          <w:b/>
        </w:rPr>
        <w:t xml:space="preserve">IF MEDIO SELEZIONE: </w:t>
      </w:r>
      <w:r>
        <w:t>4.29</w:t>
      </w:r>
    </w:p>
    <w:p/>
    <w:p>
      <w:r>
        <w:rPr>
          <w:b/>
        </w:rPr>
        <w:t xml:space="preserve">Ricercatori DCTV identificati: </w:t>
      </w:r>
      <w:r>
        <w:rPr>
          <w:i/>
        </w:rPr>
        <w:t>Buja A, Baldo V, Cocchio S, Migliore F, Zorzi A, Pierangelini A, Gregori D, Zanatta P, Angelini M, Gerosa G, Squizzato A, Camporese G, Tona F, Pengo V, Iop L</w:t>
      </w:r>
    </w:p>
    <w:p>
      <w:r>
        <w:rPr>
          <w:b/>
        </w:rPr>
        <w:t xml:space="preserve">Ricercatori DSF identificati: </w:t>
      </w:r>
      <w:r>
        <w:rPr>
          <w:u w:val="single"/>
        </w:rPr>
        <w:t>Ferri N, Acquasaliente L, Gatto B, De Filippis V, Linassi F, Peterle D, Tescari S, Di Liddo R, Conconi MT, Morpurgo 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