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Factor-Level Analysis of Two LLM-Evolved Alpha Books</w:t>
      </w:r>
    </w:p>
    <w:p>
      <w:r>
        <w:rPr>
          <w:b w:val="0"/>
          <w:i/>
          <w:color w:val="605D54"/>
        </w:rPr>
        <w:t>GPT-5.6 Terra (L4 configuration) vs. Claude Opus 5, benchmarked against the 101 formulaic alphas — Nasdaq-100 point-in-time panel, 2010–2026.</w:t>
      </w:r>
    </w:p>
    <w:p>
      <w:pPr>
        <w:pStyle w:val="Heading1"/>
      </w:pPr>
      <w:r>
        <w:t>1. What is measured</w:t>
      </w:r>
    </w:p>
    <w:p>
      <w:r>
        <w:rPr>
          <w:b w:val="0"/>
          <w:i w:val="0"/>
        </w:rPr>
        <w:t>Each evolution run publishes a book of factors: small Python programs that map the market panel (prices, volumes, fundamentals, estimates) to one signal value per (day, stock). This analysis evaluates those signals directly — no strategy construction, no position sizing, no costs.</w:t>
      </w:r>
    </w:p>
    <w:p>
      <w:r>
        <w:rPr>
          <w:b w:val="0"/>
          <w:i w:val="0"/>
        </w:rPr>
        <w:t>Two kinds of information coefficient (IC) are reported, both against 6-day forward returns (h = 6 bars, the horizon both runs searched at):</w:t>
      </w:r>
    </w:p>
    <w:p>
      <w:pPr>
        <w:pStyle w:val="ListBullet"/>
      </w:pPr>
      <w:r>
        <w:rPr>
          <w:b/>
        </w:rPr>
        <w:t xml:space="preserve">Per-factor IC. </w:t>
      </w:r>
      <w:r>
        <w:t>For each factor and each stock, the Pearson correlation between the factor's signal series and that stock's own 6-day forward-return series; the observation-weighted average across stocks is the factor's pooled per-underlying IC. This is the statistic family the evolutionary harness itself optimises, so it is the honest yardstick for the search.</w:t>
      </w:r>
    </w:p>
    <w:p>
      <w:pPr>
        <w:pStyle w:val="ListBullet"/>
      </w:pPr>
      <w:r>
        <w:rPr>
          <w:b/>
        </w:rPr>
        <w:t xml:space="preserve">Combined-book IC. </w:t>
      </w:r>
      <w:r>
        <w:t>All signals of a book are standardised per stock and fed to a LightGBM regressor (the same model class the runs used to score marginal value), fitted once on the DEV window only, predicting the 6-day forward return. The pooled per-underlying IC of that single combined prediction measures the book as a whole, including nonlinear interactions between factors.</w:t>
      </w:r>
    </w:p>
    <w:p>
      <w:r>
        <w:rPr>
          <w:b w:val="0"/>
          <w:i w:val="0"/>
        </w:rPr>
        <w:t>Three evaluation windows, following the runs' own 60/20/20 split convention of the research panel (2010 → 2024-07):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Window</w:t>
            </w:r>
          </w:p>
        </w:tc>
        <w:tc>
          <w:tcPr>
            <w:tcW w:type="dxa" w:w="2160"/>
          </w:tcPr>
          <w:p>
            <w:r/>
            <w:r>
              <w:rPr>
                <w:b/>
                <w:sz w:val="18"/>
              </w:rPr>
              <w:t>Period</w:t>
            </w:r>
          </w:p>
        </w:tc>
        <w:tc>
          <w:tcPr>
            <w:tcW w:type="dxa" w:w="2160"/>
          </w:tcPr>
          <w:p>
            <w:r/>
            <w:r>
              <w:rPr>
                <w:b/>
                <w:sz w:val="18"/>
              </w:rPr>
              <w:t>Bars</w:t>
            </w:r>
          </w:p>
        </w:tc>
        <w:tc>
          <w:tcPr>
            <w:tcW w:type="dxa" w:w="2160"/>
          </w:tcPr>
          <w:p>
            <w:r/>
            <w:r>
              <w:rPr>
                <w:b/>
                <w:sz w:val="18"/>
              </w:rPr>
              <w:t>Role</w:t>
            </w:r>
          </w:p>
        </w:tc>
      </w:tr>
      <w:tr>
        <w:tc>
          <w:tcPr>
            <w:tcW w:type="dxa" w:w="2160"/>
          </w:tcPr>
          <w:p>
            <w:r/>
            <w:r>
              <w:rPr>
                <w:sz w:val="18"/>
              </w:rPr>
              <w:t>DEV (IS+VAL)</w:t>
            </w:r>
          </w:p>
        </w:tc>
        <w:tc>
          <w:tcPr>
            <w:tcW w:type="dxa" w:w="2160"/>
          </w:tcPr>
          <w:p>
            <w:pPr>
              <w:jc w:val="right"/>
            </w:pPr>
            <w:r/>
            <w:r>
              <w:rPr>
                <w:sz w:val="18"/>
              </w:rPr>
              <w:t>2010-01-04 → 2021-08-25</w:t>
            </w:r>
          </w:p>
        </w:tc>
        <w:tc>
          <w:tcPr>
            <w:tcW w:type="dxa" w:w="2160"/>
          </w:tcPr>
          <w:p>
            <w:pPr>
              <w:jc w:val="right"/>
            </w:pPr>
            <w:r/>
            <w:r>
              <w:rPr>
                <w:sz w:val="18"/>
              </w:rPr>
              <w:t>2932</w:t>
            </w:r>
          </w:p>
        </w:tc>
        <w:tc>
          <w:tcPr>
            <w:tcW w:type="dxa" w:w="2160"/>
          </w:tcPr>
          <w:p>
            <w:r/>
            <w:r>
              <w:rPr>
                <w:sz w:val="18"/>
              </w:rPr>
              <w:t>Search window: the evolution selected factors on (parts of) this data; the combined model is fitted here. Combined ICs on DEV are in-sample.</w:t>
            </w:r>
          </w:p>
        </w:tc>
      </w:tr>
      <w:tr>
        <w:tc>
          <w:tcPr>
            <w:tcW w:type="dxa" w:w="2160"/>
          </w:tcPr>
          <w:p>
            <w:r/>
            <w:r>
              <w:rPr>
                <w:sz w:val="18"/>
              </w:rPr>
              <w:t>TEST</w:t>
            </w:r>
          </w:p>
        </w:tc>
        <w:tc>
          <w:tcPr>
            <w:tcW w:type="dxa" w:w="2160"/>
          </w:tcPr>
          <w:p>
            <w:pPr>
              <w:jc w:val="right"/>
            </w:pPr>
            <w:r/>
            <w:r>
              <w:rPr>
                <w:sz w:val="18"/>
              </w:rPr>
              <w:t>2021-08-26 → 2024-07-26</w:t>
            </w:r>
          </w:p>
        </w:tc>
        <w:tc>
          <w:tcPr>
            <w:tcW w:type="dxa" w:w="2160"/>
          </w:tcPr>
          <w:p>
            <w:pPr>
              <w:jc w:val="right"/>
            </w:pPr>
            <w:r/>
            <w:r>
              <w:rPr>
                <w:sz w:val="18"/>
              </w:rPr>
              <w:t>733</w:t>
            </w:r>
          </w:p>
        </w:tc>
        <w:tc>
          <w:tcPr>
            <w:tcW w:type="dxa" w:w="2160"/>
          </w:tcPr>
          <w:p>
            <w:pPr>
              <w:jc w:val="right"/>
            </w:pPr>
            <w:r/>
            <w:r>
              <w:rPr>
                <w:sz w:val="18"/>
              </w:rPr>
              <w:t>Final 20% of the research panel, never revealed to any generation of the search.</w:t>
            </w:r>
          </w:p>
        </w:tc>
      </w:tr>
      <w:tr>
        <w:tc>
          <w:tcPr>
            <w:tcW w:type="dxa" w:w="2160"/>
          </w:tcPr>
          <w:p>
            <w:r/>
            <w:r>
              <w:rPr>
                <w:sz w:val="18"/>
              </w:rPr>
              <w:t>FORWARD</w:t>
            </w:r>
          </w:p>
        </w:tc>
        <w:tc>
          <w:tcPr>
            <w:tcW w:type="dxa" w:w="2160"/>
          </w:tcPr>
          <w:p>
            <w:pPr>
              <w:jc w:val="right"/>
            </w:pPr>
            <w:r/>
            <w:r>
              <w:rPr>
                <w:sz w:val="18"/>
              </w:rPr>
              <w:t>2024-07-29 → 2026-07-27</w:t>
            </w:r>
          </w:p>
        </w:tc>
        <w:tc>
          <w:tcPr>
            <w:tcW w:type="dxa" w:w="2160"/>
          </w:tcPr>
          <w:p>
            <w:pPr>
              <w:jc w:val="right"/>
            </w:pPr>
            <w:r/>
            <w:r>
              <w:rPr>
                <w:sz w:val="18"/>
              </w:rPr>
              <w:t>500</w:t>
            </w:r>
          </w:p>
        </w:tc>
        <w:tc>
          <w:tcPr>
            <w:tcW w:type="dxa" w:w="2160"/>
          </w:tcPr>
          <w:p>
            <w:r/>
            <w:r>
              <w:rPr>
                <w:sz w:val="18"/>
              </w:rPr>
              <w:t>Entirely outside the research panel (data downloaded after the runs finished). The cleanest out-of-sample evidence.</w:t>
            </w:r>
          </w:p>
        </w:tc>
      </w:tr>
    </w:tbl>
    <w:p/>
    <w:p>
      <w:r>
        <w:rPr>
          <w:i/>
          <w:color w:val="605D54"/>
          <w:sz w:val="19"/>
        </w:rPr>
        <w:t>Comparability caveat: no Opus 5 run exists at the L4 configuration (the Opus ladder stopped after L2 when its budget was exhausted). The comparison is therefore L4_terra_s0 (GPT-5.6, GraphRAG retrieval, 8 mechanism groups, 44 published factors, $87) vs. L2_opus5_s0 (Claude Opus 5, no retrieval, 1 group × 4 demes, 18 factors, $452). Model and configuration are confounded; differences cannot be attributed to the model alone.</w:t>
      </w:r>
    </w:p>
    <w:p>
      <w:r>
        <w:rPr>
          <w:b w:val="0"/>
          <w:i/>
          <w:color w:val="605D54"/>
          <w:sz w:val="19"/>
        </w:rPr>
        <w:t>Four of the 44 Terra factors produce degenerate (variance-free) signals on the extended analysis panel and are excluded from per-factor and correlation statistics; they remain in the combined fits, where they contribute nothing.</w:t>
      </w:r>
    </w:p>
    <w:p>
      <w:pPr>
        <w:pStyle w:val="Heading1"/>
      </w:pPr>
      <w:r>
        <w:t>2. Combined books: IC by window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Book</w:t>
            </w:r>
          </w:p>
        </w:tc>
        <w:tc>
          <w:tcPr>
            <w:tcW w:type="dxa" w:w="2160"/>
          </w:tcPr>
          <w:p>
            <w:r/>
            <w:r>
              <w:rPr>
                <w:b/>
                <w:sz w:val="18"/>
              </w:rPr>
              <w:t>DEV (in-sample)</w:t>
            </w:r>
          </w:p>
        </w:tc>
        <w:tc>
          <w:tcPr>
            <w:tcW w:type="dxa" w:w="2160"/>
          </w:tcPr>
          <w:p>
            <w:r/>
            <w:r>
              <w:rPr>
                <w:b/>
                <w:sz w:val="18"/>
              </w:rPr>
              <w:t>TEST</w:t>
            </w:r>
          </w:p>
        </w:tc>
        <w:tc>
          <w:tcPr>
            <w:tcW w:type="dxa" w:w="2160"/>
          </w:tcPr>
          <w:p>
            <w:r/>
            <w:r>
              <w:rPr>
                <w:b/>
                <w:sz w:val="18"/>
              </w:rPr>
              <w:t>FORWARD</w:t>
            </w:r>
          </w:p>
        </w:tc>
      </w:tr>
      <w:tr>
        <w:tc>
          <w:tcPr>
            <w:tcW w:type="dxa" w:w="2160"/>
          </w:tcPr>
          <w:p>
            <w:r/>
            <w:r>
              <w:rPr>
                <w:sz w:val="18"/>
              </w:rPr>
              <w:t>101 formulaic alphas alone</w:t>
            </w:r>
          </w:p>
        </w:tc>
        <w:tc>
          <w:tcPr>
            <w:tcW w:type="dxa" w:w="2160"/>
          </w:tcPr>
          <w:p>
            <w:pPr>
              <w:jc w:val="right"/>
            </w:pPr>
            <w:r/>
            <w:r>
              <w:rPr>
                <w:sz w:val="18"/>
              </w:rPr>
              <w:t>0.210</w:t>
            </w:r>
          </w:p>
        </w:tc>
        <w:tc>
          <w:tcPr>
            <w:tcW w:type="dxa" w:w="2160"/>
          </w:tcPr>
          <w:p>
            <w:pPr>
              <w:jc w:val="right"/>
            </w:pPr>
            <w:r/>
            <w:r>
              <w:rPr>
                <w:b/>
                <w:sz w:val="18"/>
              </w:rPr>
              <w:t>0.026</w:t>
            </w:r>
          </w:p>
        </w:tc>
        <w:tc>
          <w:tcPr>
            <w:tcW w:type="dxa" w:w="2160"/>
          </w:tcPr>
          <w:p>
            <w:pPr>
              <w:jc w:val="right"/>
            </w:pPr>
            <w:r/>
            <w:r>
              <w:rPr>
                <w:b/>
                <w:sz w:val="18"/>
              </w:rPr>
              <w:t>0.024</w:t>
            </w:r>
          </w:p>
        </w:tc>
      </w:tr>
      <w:tr>
        <w:tc>
          <w:tcPr>
            <w:tcW w:type="dxa" w:w="2160"/>
          </w:tcPr>
          <w:p>
            <w:r/>
            <w:r>
              <w:rPr>
                <w:sz w:val="18"/>
              </w:rPr>
              <w:t>Terra book (44)</w:t>
            </w:r>
          </w:p>
        </w:tc>
        <w:tc>
          <w:tcPr>
            <w:tcW w:type="dxa" w:w="2160"/>
          </w:tcPr>
          <w:p>
            <w:pPr>
              <w:jc w:val="right"/>
            </w:pPr>
            <w:r/>
            <w:r>
              <w:rPr>
                <w:sz w:val="18"/>
              </w:rPr>
              <w:t>0.213</w:t>
            </w:r>
          </w:p>
        </w:tc>
        <w:tc>
          <w:tcPr>
            <w:tcW w:type="dxa" w:w="2160"/>
          </w:tcPr>
          <w:p>
            <w:pPr>
              <w:jc w:val="right"/>
            </w:pPr>
            <w:r/>
            <w:r>
              <w:rPr>
                <w:b/>
                <w:sz w:val="18"/>
              </w:rPr>
              <w:t>0.024</w:t>
            </w:r>
          </w:p>
        </w:tc>
        <w:tc>
          <w:tcPr>
            <w:tcW w:type="dxa" w:w="2160"/>
          </w:tcPr>
          <w:p>
            <w:pPr>
              <w:jc w:val="right"/>
            </w:pPr>
            <w:r/>
            <w:r>
              <w:rPr>
                <w:b/>
                <w:sz w:val="18"/>
              </w:rPr>
              <w:t>0.033</w:t>
            </w:r>
          </w:p>
        </w:tc>
      </w:tr>
      <w:tr>
        <w:tc>
          <w:tcPr>
            <w:tcW w:type="dxa" w:w="2160"/>
          </w:tcPr>
          <w:p>
            <w:r/>
            <w:r>
              <w:rPr>
                <w:sz w:val="18"/>
              </w:rPr>
              <w:t>Opus book (18)</w:t>
            </w:r>
          </w:p>
        </w:tc>
        <w:tc>
          <w:tcPr>
            <w:tcW w:type="dxa" w:w="2160"/>
          </w:tcPr>
          <w:p>
            <w:pPr>
              <w:jc w:val="right"/>
            </w:pPr>
            <w:r/>
            <w:r>
              <w:rPr>
                <w:sz w:val="18"/>
              </w:rPr>
              <w:t>0.158</w:t>
            </w:r>
          </w:p>
        </w:tc>
        <w:tc>
          <w:tcPr>
            <w:tcW w:type="dxa" w:w="2160"/>
          </w:tcPr>
          <w:p>
            <w:pPr>
              <w:jc w:val="right"/>
            </w:pPr>
            <w:r/>
            <w:r>
              <w:rPr>
                <w:b/>
                <w:sz w:val="18"/>
              </w:rPr>
              <w:t>0.045</w:t>
            </w:r>
          </w:p>
        </w:tc>
        <w:tc>
          <w:tcPr>
            <w:tcW w:type="dxa" w:w="2160"/>
          </w:tcPr>
          <w:p>
            <w:pPr>
              <w:jc w:val="right"/>
            </w:pPr>
            <w:r/>
            <w:r>
              <w:rPr>
                <w:b/>
                <w:sz w:val="18"/>
              </w:rPr>
              <w:t>0.026</w:t>
            </w:r>
          </w:p>
        </w:tc>
      </w:tr>
      <w:tr>
        <w:tc>
          <w:tcPr>
            <w:tcW w:type="dxa" w:w="2160"/>
          </w:tcPr>
          <w:p>
            <w:r/>
            <w:r>
              <w:rPr>
                <w:sz w:val="18"/>
              </w:rPr>
              <w:t>Terra + Opus (62)</w:t>
            </w:r>
          </w:p>
        </w:tc>
        <w:tc>
          <w:tcPr>
            <w:tcW w:type="dxa" w:w="2160"/>
          </w:tcPr>
          <w:p>
            <w:pPr>
              <w:jc w:val="right"/>
            </w:pPr>
            <w:r/>
            <w:r>
              <w:rPr>
                <w:sz w:val="18"/>
              </w:rPr>
              <w:t>0.221</w:t>
            </w:r>
          </w:p>
        </w:tc>
        <w:tc>
          <w:tcPr>
            <w:tcW w:type="dxa" w:w="2160"/>
          </w:tcPr>
          <w:p>
            <w:pPr>
              <w:jc w:val="right"/>
            </w:pPr>
            <w:r/>
            <w:r>
              <w:rPr>
                <w:b/>
                <w:sz w:val="18"/>
              </w:rPr>
              <w:t>0.041</w:t>
            </w:r>
          </w:p>
        </w:tc>
        <w:tc>
          <w:tcPr>
            <w:tcW w:type="dxa" w:w="2160"/>
          </w:tcPr>
          <w:p>
            <w:pPr>
              <w:jc w:val="right"/>
            </w:pPr>
            <w:r/>
            <w:r>
              <w:rPr>
                <w:b/>
                <w:sz w:val="18"/>
              </w:rPr>
              <w:t>0.039</w:t>
            </w:r>
          </w:p>
        </w:tc>
      </w:tr>
      <w:tr>
        <w:tc>
          <w:tcPr>
            <w:tcW w:type="dxa" w:w="2160"/>
          </w:tcPr>
          <w:p>
            <w:r/>
            <w:r>
              <w:rPr>
                <w:sz w:val="18"/>
              </w:rPr>
              <w:t>Terra + 101 (145)</w:t>
            </w:r>
          </w:p>
        </w:tc>
        <w:tc>
          <w:tcPr>
            <w:tcW w:type="dxa" w:w="2160"/>
          </w:tcPr>
          <w:p>
            <w:pPr>
              <w:jc w:val="right"/>
            </w:pPr>
            <w:r/>
            <w:r>
              <w:rPr>
                <w:sz w:val="18"/>
              </w:rPr>
              <w:t>0.236</w:t>
            </w:r>
          </w:p>
        </w:tc>
        <w:tc>
          <w:tcPr>
            <w:tcW w:type="dxa" w:w="2160"/>
          </w:tcPr>
          <w:p>
            <w:pPr>
              <w:jc w:val="right"/>
            </w:pPr>
            <w:r/>
            <w:r>
              <w:rPr>
                <w:b/>
                <w:sz w:val="18"/>
              </w:rPr>
              <w:t>0.031</w:t>
            </w:r>
          </w:p>
        </w:tc>
        <w:tc>
          <w:tcPr>
            <w:tcW w:type="dxa" w:w="2160"/>
          </w:tcPr>
          <w:p>
            <w:pPr>
              <w:jc w:val="right"/>
            </w:pPr>
            <w:r/>
            <w:r>
              <w:rPr>
                <w:b/>
                <w:sz w:val="18"/>
              </w:rPr>
              <w:t>0.041</w:t>
            </w:r>
          </w:p>
        </w:tc>
      </w:tr>
      <w:tr>
        <w:tc>
          <w:tcPr>
            <w:tcW w:type="dxa" w:w="2160"/>
          </w:tcPr>
          <w:p>
            <w:r/>
            <w:r>
              <w:rPr>
                <w:sz w:val="18"/>
              </w:rPr>
              <w:t>Opus + 101 (119)</w:t>
            </w:r>
          </w:p>
        </w:tc>
        <w:tc>
          <w:tcPr>
            <w:tcW w:type="dxa" w:w="2160"/>
          </w:tcPr>
          <w:p>
            <w:pPr>
              <w:jc w:val="right"/>
            </w:pPr>
            <w:r/>
            <w:r>
              <w:rPr>
                <w:sz w:val="18"/>
              </w:rPr>
              <w:t>0.215</w:t>
            </w:r>
          </w:p>
        </w:tc>
        <w:tc>
          <w:tcPr>
            <w:tcW w:type="dxa" w:w="2160"/>
          </w:tcPr>
          <w:p>
            <w:pPr>
              <w:jc w:val="right"/>
            </w:pPr>
            <w:r/>
            <w:r>
              <w:rPr>
                <w:b/>
                <w:sz w:val="18"/>
              </w:rPr>
              <w:t>0.039</w:t>
            </w:r>
          </w:p>
        </w:tc>
        <w:tc>
          <w:tcPr>
            <w:tcW w:type="dxa" w:w="2160"/>
          </w:tcPr>
          <w:p>
            <w:pPr>
              <w:jc w:val="right"/>
            </w:pPr>
            <w:r/>
            <w:r>
              <w:rPr>
                <w:b/>
                <w:sz w:val="18"/>
              </w:rPr>
              <w:t>0.027</w:t>
            </w:r>
          </w:p>
        </w:tc>
      </w:tr>
      <w:tr>
        <w:tc>
          <w:tcPr>
            <w:tcW w:type="dxa" w:w="2160"/>
          </w:tcPr>
          <w:p>
            <w:r/>
            <w:r>
              <w:rPr>
                <w:sz w:val="18"/>
              </w:rPr>
              <w:t>Terra + Opus + 101 (163)</w:t>
            </w:r>
          </w:p>
        </w:tc>
        <w:tc>
          <w:tcPr>
            <w:tcW w:type="dxa" w:w="2160"/>
          </w:tcPr>
          <w:p>
            <w:pPr>
              <w:jc w:val="right"/>
            </w:pPr>
            <w:r/>
            <w:r>
              <w:rPr>
                <w:sz w:val="18"/>
              </w:rPr>
              <w:t>0.244</w:t>
            </w:r>
          </w:p>
        </w:tc>
        <w:tc>
          <w:tcPr>
            <w:tcW w:type="dxa" w:w="2160"/>
          </w:tcPr>
          <w:p>
            <w:pPr>
              <w:jc w:val="right"/>
            </w:pPr>
            <w:r/>
            <w:r>
              <w:rPr>
                <w:b/>
                <w:sz w:val="18"/>
              </w:rPr>
              <w:t>0.039</w:t>
            </w:r>
          </w:p>
        </w:tc>
        <w:tc>
          <w:tcPr>
            <w:tcW w:type="dxa" w:w="2160"/>
          </w:tcPr>
          <w:p>
            <w:pPr>
              <w:jc w:val="right"/>
            </w:pPr>
            <w:r/>
            <w:r>
              <w:rPr>
                <w:b/>
                <w:sz w:val="18"/>
              </w:rPr>
              <w:t>0.040</w:t>
            </w:r>
          </w:p>
        </w:tc>
      </w:tr>
    </w:tbl>
    <w:p/>
    <w:p>
      <w:pPr>
        <w:jc w:val="center"/>
      </w:pPr>
      <w:r>
        <w:drawing>
          <wp:inline xmlns:a="http://schemas.openxmlformats.org/drawingml/2006/main" xmlns:pic="http://schemas.openxmlformats.org/drawingml/2006/picture">
            <wp:extent cx="5760720" cy="3137496"/>
            <wp:docPr id="1" name="Picture 1"/>
            <wp:cNvGraphicFramePr>
              <a:graphicFrameLocks noChangeAspect="1"/>
            </wp:cNvGraphicFramePr>
            <a:graphic>
              <a:graphicData uri="http://schemas.openxmlformats.org/drawingml/2006/picture">
                <pic:pic>
                  <pic:nvPicPr>
                    <pic:cNvPr id="0" name="fig3_combined_ic.png"/>
                    <pic:cNvPicPr/>
                  </pic:nvPicPr>
                  <pic:blipFill>
                    <a:blip r:embed="rId9"/>
                    <a:stretch>
                      <a:fillRect/>
                    </a:stretch>
                  </pic:blipFill>
                  <pic:spPr>
                    <a:xfrm>
                      <a:off x="0" y="0"/>
                      <a:ext cx="5760720" cy="3137496"/>
                    </a:xfrm>
                    <a:prstGeom prst="rect"/>
                  </pic:spPr>
                </pic:pic>
              </a:graphicData>
            </a:graphic>
          </wp:inline>
        </w:drawing>
      </w:r>
    </w:p>
    <w:p>
      <w:r>
        <w:rPr>
          <w:color w:val="605D54"/>
          <w:sz w:val="18"/>
        </w:rPr>
        <w:t>Figure 3 — Combined-book IC per window (LightGBM fitted on DEV only). DEV bars are in-sample fits and are shown only to gauge the generalisation gap.</w:t>
      </w:r>
    </w:p>
    <w:p>
      <w:pPr>
        <w:pStyle w:val="ListBullet"/>
      </w:pPr>
      <w:r>
        <w:rPr>
          <w:b/>
        </w:rPr>
        <w:t xml:space="preserve">Opus generalises best on its own. </w:t>
      </w:r>
      <w:r>
        <w:t>TEST IC 0.045 from a DEV fit of 0.158 — a retention of 28%, vs. 11% for Terra and 12% for the formulaic library.</w:t>
      </w:r>
    </w:p>
    <w:p>
      <w:pPr>
        <w:pStyle w:val="ListBullet"/>
      </w:pPr>
      <w:r>
        <w:rPr>
          <w:b/>
        </w:rPr>
        <w:t xml:space="preserve">Terra is a marginal-value book. </w:t>
      </w:r>
      <w:r>
        <w:t>Alone it sits at library level (TEST 0.024), but added to the 101 alphas it lifts the FORWARD IC from 0.024 to 0.041 — consistent with the L4 run's selection objective (leave-one-out marginal contribution against exactly this reference book).</w:t>
      </w:r>
    </w:p>
    <w:p>
      <w:pPr>
        <w:pStyle w:val="ListBullet"/>
      </w:pPr>
      <w:r>
        <w:rPr>
          <w:b/>
        </w:rPr>
        <w:t xml:space="preserve">The two books combine well. </w:t>
      </w:r>
      <w:r>
        <w:t>Terra + Opus reaches TEST 0.041 / FORWARD 0.039 from only 62 factors; adding the 101 alphas on top gives TEST 0.039 / FORWARD 0.040.</w:t>
      </w:r>
    </w:p>
    <w:p>
      <w:pPr>
        <w:pStyle w:val="Heading1"/>
      </w:pPr>
      <w:r>
        <w:t>3. Per-factor ICs: distribution and degradation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Book</w:t>
            </w:r>
          </w:p>
        </w:tc>
        <w:tc>
          <w:tcPr>
            <w:tcW w:type="dxa" w:w="1234"/>
          </w:tcPr>
          <w:p>
            <w:r/>
            <w:r>
              <w:rPr>
                <w:b/>
                <w:sz w:val="18"/>
              </w:rPr>
              <w:t>n</w:t>
            </w:r>
          </w:p>
        </w:tc>
        <w:tc>
          <w:tcPr>
            <w:tcW w:type="dxa" w:w="1234"/>
          </w:tcPr>
          <w:p>
            <w:r/>
            <w:r>
              <w:rPr>
                <w:b/>
                <w:sz w:val="18"/>
              </w:rPr>
              <w:t>mean |IC| DEV</w:t>
            </w:r>
          </w:p>
        </w:tc>
        <w:tc>
          <w:tcPr>
            <w:tcW w:type="dxa" w:w="1234"/>
          </w:tcPr>
          <w:p>
            <w:r/>
            <w:r>
              <w:rPr>
                <w:b/>
                <w:sz w:val="18"/>
              </w:rPr>
              <w:t>mean |IC| TEST</w:t>
            </w:r>
          </w:p>
        </w:tc>
        <w:tc>
          <w:tcPr>
            <w:tcW w:type="dxa" w:w="1234"/>
          </w:tcPr>
          <w:p>
            <w:r/>
            <w:r>
              <w:rPr>
                <w:b/>
                <w:sz w:val="18"/>
              </w:rPr>
              <w:t>mean |IC| FWD</w:t>
            </w:r>
          </w:p>
        </w:tc>
        <w:tc>
          <w:tcPr>
            <w:tcW w:type="dxa" w:w="1234"/>
          </w:tcPr>
          <w:p>
            <w:r/>
            <w:r>
              <w:rPr>
                <w:b/>
                <w:sz w:val="18"/>
              </w:rPr>
              <w:t>sign retention DEV→TEST</w:t>
            </w:r>
          </w:p>
        </w:tc>
        <w:tc>
          <w:tcPr>
            <w:tcW w:type="dxa" w:w="1234"/>
          </w:tcPr>
          <w:p>
            <w:r/>
            <w:r>
              <w:rPr>
                <w:b/>
                <w:sz w:val="18"/>
              </w:rPr>
              <w:t>corr(DEV, TEST)</w:t>
            </w:r>
          </w:p>
        </w:tc>
      </w:tr>
      <w:tr>
        <w:tc>
          <w:tcPr>
            <w:tcW w:type="dxa" w:w="1234"/>
          </w:tcPr>
          <w:p>
            <w:r/>
            <w:r>
              <w:rPr>
                <w:sz w:val="18"/>
              </w:rPr>
              <w:t>Terra (L4)</w:t>
            </w:r>
          </w:p>
        </w:tc>
        <w:tc>
          <w:tcPr>
            <w:tcW w:type="dxa" w:w="1234"/>
          </w:tcPr>
          <w:p>
            <w:pPr>
              <w:jc w:val="right"/>
            </w:pPr>
            <w:r/>
            <w:r>
              <w:rPr>
                <w:sz w:val="18"/>
              </w:rPr>
              <w:t>40</w:t>
            </w:r>
          </w:p>
        </w:tc>
        <w:tc>
          <w:tcPr>
            <w:tcW w:type="dxa" w:w="1234"/>
          </w:tcPr>
          <w:p>
            <w:pPr>
              <w:jc w:val="right"/>
            </w:pPr>
            <w:r/>
            <w:r>
              <w:rPr>
                <w:sz w:val="18"/>
              </w:rPr>
              <w:t>0.0082</w:t>
            </w:r>
          </w:p>
        </w:tc>
        <w:tc>
          <w:tcPr>
            <w:tcW w:type="dxa" w:w="1234"/>
          </w:tcPr>
          <w:p>
            <w:pPr>
              <w:jc w:val="right"/>
            </w:pPr>
            <w:r/>
            <w:r>
              <w:rPr>
                <w:sz w:val="18"/>
              </w:rPr>
              <w:t>0.0106</w:t>
            </w:r>
          </w:p>
        </w:tc>
        <w:tc>
          <w:tcPr>
            <w:tcW w:type="dxa" w:w="1234"/>
          </w:tcPr>
          <w:p>
            <w:pPr>
              <w:jc w:val="right"/>
            </w:pPr>
            <w:r/>
            <w:r>
              <w:rPr>
                <w:sz w:val="18"/>
              </w:rPr>
              <w:t>0.0133</w:t>
            </w:r>
          </w:p>
        </w:tc>
        <w:tc>
          <w:tcPr>
            <w:tcW w:type="dxa" w:w="1234"/>
          </w:tcPr>
          <w:p>
            <w:pPr>
              <w:jc w:val="right"/>
            </w:pPr>
            <w:r/>
            <w:r>
              <w:rPr>
                <w:sz w:val="18"/>
              </w:rPr>
              <w:t>80%</w:t>
            </w:r>
          </w:p>
        </w:tc>
        <w:tc>
          <w:tcPr>
            <w:tcW w:type="dxa" w:w="1234"/>
          </w:tcPr>
          <w:p>
            <w:pPr>
              <w:jc w:val="right"/>
            </w:pPr>
            <w:r/>
            <w:r>
              <w:rPr>
                <w:sz w:val="18"/>
              </w:rPr>
              <w:t>0.55</w:t>
            </w:r>
          </w:p>
        </w:tc>
      </w:tr>
      <w:tr>
        <w:tc>
          <w:tcPr>
            <w:tcW w:type="dxa" w:w="1234"/>
          </w:tcPr>
          <w:p>
            <w:r/>
            <w:r>
              <w:rPr>
                <w:sz w:val="18"/>
              </w:rPr>
              <w:t>Opus (L2-evolution)</w:t>
            </w:r>
          </w:p>
        </w:tc>
        <w:tc>
          <w:tcPr>
            <w:tcW w:type="dxa" w:w="1234"/>
          </w:tcPr>
          <w:p>
            <w:pPr>
              <w:jc w:val="right"/>
            </w:pPr>
            <w:r/>
            <w:r>
              <w:rPr>
                <w:sz w:val="18"/>
              </w:rPr>
              <w:t>18</w:t>
            </w:r>
          </w:p>
        </w:tc>
        <w:tc>
          <w:tcPr>
            <w:tcW w:type="dxa" w:w="1234"/>
          </w:tcPr>
          <w:p>
            <w:pPr>
              <w:jc w:val="right"/>
            </w:pPr>
            <w:r/>
            <w:r>
              <w:rPr>
                <w:sz w:val="18"/>
              </w:rPr>
              <w:t>0.0135</w:t>
            </w:r>
          </w:p>
        </w:tc>
        <w:tc>
          <w:tcPr>
            <w:tcW w:type="dxa" w:w="1234"/>
          </w:tcPr>
          <w:p>
            <w:pPr>
              <w:jc w:val="right"/>
            </w:pPr>
            <w:r/>
            <w:r>
              <w:rPr>
                <w:sz w:val="18"/>
              </w:rPr>
              <w:t>0.0176</w:t>
            </w:r>
          </w:p>
        </w:tc>
        <w:tc>
          <w:tcPr>
            <w:tcW w:type="dxa" w:w="1234"/>
          </w:tcPr>
          <w:p>
            <w:pPr>
              <w:jc w:val="right"/>
            </w:pPr>
            <w:r/>
            <w:r>
              <w:rPr>
                <w:sz w:val="18"/>
              </w:rPr>
              <w:t>0.0152</w:t>
            </w:r>
          </w:p>
        </w:tc>
        <w:tc>
          <w:tcPr>
            <w:tcW w:type="dxa" w:w="1234"/>
          </w:tcPr>
          <w:p>
            <w:pPr>
              <w:jc w:val="right"/>
            </w:pPr>
            <w:r/>
            <w:r>
              <w:rPr>
                <w:sz w:val="18"/>
              </w:rPr>
              <w:t>83%</w:t>
            </w:r>
          </w:p>
        </w:tc>
        <w:tc>
          <w:tcPr>
            <w:tcW w:type="dxa" w:w="1234"/>
          </w:tcPr>
          <w:p>
            <w:pPr>
              <w:jc w:val="right"/>
            </w:pPr>
            <w:r/>
            <w:r>
              <w:rPr>
                <w:sz w:val="18"/>
              </w:rPr>
              <w:t>0.65</w:t>
            </w:r>
          </w:p>
        </w:tc>
      </w:tr>
      <w:tr>
        <w:tc>
          <w:tcPr>
            <w:tcW w:type="dxa" w:w="1234"/>
          </w:tcPr>
          <w:p>
            <w:r/>
            <w:r>
              <w:rPr>
                <w:sz w:val="18"/>
              </w:rPr>
              <w:t>101 alphas</w:t>
            </w:r>
          </w:p>
        </w:tc>
        <w:tc>
          <w:tcPr>
            <w:tcW w:type="dxa" w:w="1234"/>
          </w:tcPr>
          <w:p>
            <w:pPr>
              <w:jc w:val="right"/>
            </w:pPr>
            <w:r/>
            <w:r>
              <w:rPr>
                <w:sz w:val="18"/>
              </w:rPr>
              <w:t>101</w:t>
            </w:r>
          </w:p>
        </w:tc>
        <w:tc>
          <w:tcPr>
            <w:tcW w:type="dxa" w:w="1234"/>
          </w:tcPr>
          <w:p>
            <w:pPr>
              <w:jc w:val="right"/>
            </w:pPr>
            <w:r/>
            <w:r>
              <w:rPr>
                <w:sz w:val="18"/>
              </w:rPr>
              <w:t>0.0143</w:t>
            </w:r>
          </w:p>
        </w:tc>
        <w:tc>
          <w:tcPr>
            <w:tcW w:type="dxa" w:w="1234"/>
          </w:tcPr>
          <w:p>
            <w:pPr>
              <w:jc w:val="right"/>
            </w:pPr>
            <w:r/>
            <w:r>
              <w:rPr>
                <w:sz w:val="18"/>
              </w:rPr>
              <w:t>0.0110</w:t>
            </w:r>
          </w:p>
        </w:tc>
        <w:tc>
          <w:tcPr>
            <w:tcW w:type="dxa" w:w="1234"/>
          </w:tcPr>
          <w:p>
            <w:pPr>
              <w:jc w:val="right"/>
            </w:pPr>
            <w:r/>
            <w:r>
              <w:rPr>
                <w:sz w:val="18"/>
              </w:rPr>
              <w:t>0.0126</w:t>
            </w:r>
          </w:p>
        </w:tc>
        <w:tc>
          <w:tcPr>
            <w:tcW w:type="dxa" w:w="1234"/>
          </w:tcPr>
          <w:p>
            <w:pPr>
              <w:jc w:val="right"/>
            </w:pPr>
            <w:r/>
            <w:r>
              <w:rPr>
                <w:sz w:val="18"/>
              </w:rPr>
              <w:t>75%</w:t>
            </w:r>
          </w:p>
        </w:tc>
        <w:tc>
          <w:tcPr>
            <w:tcW w:type="dxa" w:w="1234"/>
          </w:tcPr>
          <w:p>
            <w:pPr>
              <w:jc w:val="right"/>
            </w:pPr>
            <w:r/>
            <w:r>
              <w:rPr>
                <w:sz w:val="18"/>
              </w:rPr>
              <w:t>0.66</w:t>
            </w:r>
          </w:p>
        </w:tc>
      </w:tr>
    </w:tbl>
    <w:p/>
    <w:p>
      <w:pPr>
        <w:jc w:val="center"/>
      </w:pPr>
      <w:r>
        <w:drawing>
          <wp:inline xmlns:a="http://schemas.openxmlformats.org/drawingml/2006/main" xmlns:pic="http://schemas.openxmlformats.org/drawingml/2006/picture">
            <wp:extent cx="5760720" cy="3063077"/>
            <wp:docPr id="2" name="Picture 2"/>
            <wp:cNvGraphicFramePr>
              <a:graphicFrameLocks noChangeAspect="1"/>
            </wp:cNvGraphicFramePr>
            <a:graphic>
              <a:graphicData uri="http://schemas.openxmlformats.org/drawingml/2006/picture">
                <pic:pic>
                  <pic:nvPicPr>
                    <pic:cNvPr id="0" name="fig1_ic_scatter.png"/>
                    <pic:cNvPicPr/>
                  </pic:nvPicPr>
                  <pic:blipFill>
                    <a:blip r:embed="rId10"/>
                    <a:stretch>
                      <a:fillRect/>
                    </a:stretch>
                  </pic:blipFill>
                  <pic:spPr>
                    <a:xfrm>
                      <a:off x="0" y="0"/>
                      <a:ext cx="5760720" cy="3063077"/>
                    </a:xfrm>
                    <a:prstGeom prst="rect"/>
                  </pic:spPr>
                </pic:pic>
              </a:graphicData>
            </a:graphic>
          </wp:inline>
        </w:drawing>
      </w:r>
    </w:p>
    <w:p>
      <w:r>
        <w:rPr>
          <w:color w:val="605D54"/>
          <w:sz w:val="18"/>
        </w:rPr>
        <w:t>Figure 1 — Each point is one factor: DEV IC against TEST IC (left) and FORWARD IC (right). Points do not collapse below the diagonal: average per-factor ICs do not degrade out of sample, because the search never selected on standalone IC (it selected on marginal contribution to the book), so standalone IC was never over-optimised. Sign retention is 80–89% for the LLM books vs. 74–75% for the formulaic library.</w:t>
      </w:r>
    </w:p>
    <w:p>
      <w:r>
        <w:rPr>
          <w:b/>
        </w:rPr>
        <w:t xml:space="preserve">Key finding: the apparent overfitting sits in the combining model, not in the factors. </w:t>
      </w:r>
      <w:r>
        <w:t>The combined-book IC drops by roughly an order of magnitude from DEV to TEST (e.g. Terra 0.213 → 0.024), which at first glance looks like heavy factor overfitting. The per-factor evidence contradicts that reading: individual factor ICs are as strong on TEST and FORWARD as on DEV (mean |IC| flat to rising, sign retention 80–89%). What collapses out of sample is the fitted LightGBM combination — its in-sample IC reflects the model memorising DEV-specific interaction patterns, an in-sample artefact that says little about the factors themselves. The honest generalisation gap of the books is the much smaller one visible per factor, plus the 2021 regime break documented in Section 7.</w:t>
      </w:r>
    </w:p>
    <w:p>
      <w:pPr>
        <w:pStyle w:val="Heading1"/>
      </w:pPr>
      <w:r>
        <w:t>4. Strongest individual factors</w:t>
      </w:r>
    </w:p>
    <w:p>
      <w:r>
        <w:rPr>
          <w:b/>
          <w:i w:val="0"/>
        </w:rPr>
        <w:t>Opus — top 8 by |TEST IC|: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Factor</w:t>
            </w:r>
          </w:p>
        </w:tc>
        <w:tc>
          <w:tcPr>
            <w:tcW w:type="dxa" w:w="1728"/>
          </w:tcPr>
          <w:p>
            <w:r/>
            <w:r>
              <w:rPr>
                <w:b/>
                <w:sz w:val="18"/>
              </w:rPr>
              <w:t>Category</w:t>
            </w:r>
          </w:p>
        </w:tc>
        <w:tc>
          <w:tcPr>
            <w:tcW w:type="dxa" w:w="1728"/>
          </w:tcPr>
          <w:p>
            <w:r/>
            <w:r>
              <w:rPr>
                <w:b/>
                <w:sz w:val="18"/>
              </w:rPr>
              <w:t>IC DEV</w:t>
            </w:r>
          </w:p>
        </w:tc>
        <w:tc>
          <w:tcPr>
            <w:tcW w:type="dxa" w:w="1728"/>
          </w:tcPr>
          <w:p>
            <w:r/>
            <w:r>
              <w:rPr>
                <w:b/>
                <w:sz w:val="18"/>
              </w:rPr>
              <w:t>IC TEST</w:t>
            </w:r>
          </w:p>
        </w:tc>
        <w:tc>
          <w:tcPr>
            <w:tcW w:type="dxa" w:w="1728"/>
          </w:tcPr>
          <w:p>
            <w:r/>
            <w:r>
              <w:rPr>
                <w:b/>
                <w:sz w:val="18"/>
              </w:rPr>
              <w:t>IC FWD</w:t>
            </w:r>
          </w:p>
        </w:tc>
      </w:tr>
      <w:tr>
        <w:tc>
          <w:tcPr>
            <w:tcW w:type="dxa" w:w="1728"/>
          </w:tcPr>
          <w:p>
            <w:r/>
            <w:r>
              <w:rPr>
                <w:sz w:val="18"/>
              </w:rPr>
              <w:t>comparable_basket_repair_rate_activity_clock_h6</w:t>
            </w:r>
          </w:p>
        </w:tc>
        <w:tc>
          <w:tcPr>
            <w:tcW w:type="dxa" w:w="1728"/>
          </w:tcPr>
          <w:p>
            <w:r/>
            <w:r>
              <w:rPr>
                <w:sz w:val="18"/>
              </w:rPr>
              <w:t>statistical_arbitrage</w:t>
            </w:r>
          </w:p>
        </w:tc>
        <w:tc>
          <w:tcPr>
            <w:tcW w:type="dxa" w:w="1728"/>
          </w:tcPr>
          <w:p>
            <w:pPr>
              <w:jc w:val="right"/>
            </w:pPr>
            <w:r/>
            <w:r>
              <w:rPr>
                <w:sz w:val="18"/>
              </w:rPr>
              <w:t>0.0235</w:t>
            </w:r>
          </w:p>
        </w:tc>
        <w:tc>
          <w:tcPr>
            <w:tcW w:type="dxa" w:w="1728"/>
          </w:tcPr>
          <w:p>
            <w:pPr>
              <w:jc w:val="right"/>
            </w:pPr>
            <w:r/>
            <w:r>
              <w:rPr>
                <w:b/>
                <w:sz w:val="18"/>
              </w:rPr>
              <w:t>0.0622</w:t>
            </w:r>
          </w:p>
        </w:tc>
        <w:tc>
          <w:tcPr>
            <w:tcW w:type="dxa" w:w="1728"/>
          </w:tcPr>
          <w:p>
            <w:pPr>
              <w:jc w:val="right"/>
            </w:pPr>
            <w:r/>
            <w:r>
              <w:rPr>
                <w:sz w:val="18"/>
              </w:rPr>
              <w:t>0.0242</w:t>
            </w:r>
          </w:p>
        </w:tc>
      </w:tr>
      <w:tr>
        <w:tc>
          <w:tcPr>
            <w:tcW w:type="dxa" w:w="1728"/>
          </w:tcPr>
          <w:p>
            <w:r/>
            <w:r>
              <w:rPr>
                <w:sz w:val="18"/>
              </w:rPr>
              <w:t>rice_consistency_wedge_gated_crossing_clock_fade</w:t>
            </w:r>
          </w:p>
        </w:tc>
        <w:tc>
          <w:tcPr>
            <w:tcW w:type="dxa" w:w="1728"/>
          </w:tcPr>
          <w:p>
            <w:r/>
            <w:r>
              <w:rPr>
                <w:sz w:val="18"/>
              </w:rPr>
              <w:t>mean_reversion</w:t>
            </w:r>
          </w:p>
        </w:tc>
        <w:tc>
          <w:tcPr>
            <w:tcW w:type="dxa" w:w="1728"/>
          </w:tcPr>
          <w:p>
            <w:pPr>
              <w:jc w:val="right"/>
            </w:pPr>
            <w:r/>
            <w:r>
              <w:rPr>
                <w:sz w:val="18"/>
              </w:rPr>
              <w:t>0.0162</w:t>
            </w:r>
          </w:p>
        </w:tc>
        <w:tc>
          <w:tcPr>
            <w:tcW w:type="dxa" w:w="1728"/>
          </w:tcPr>
          <w:p>
            <w:pPr>
              <w:jc w:val="right"/>
            </w:pPr>
            <w:r/>
            <w:r>
              <w:rPr>
                <w:b/>
                <w:sz w:val="18"/>
              </w:rPr>
              <w:t>0.0414</w:t>
            </w:r>
          </w:p>
        </w:tc>
        <w:tc>
          <w:tcPr>
            <w:tcW w:type="dxa" w:w="1728"/>
          </w:tcPr>
          <w:p>
            <w:pPr>
              <w:jc w:val="right"/>
            </w:pPr>
            <w:r/>
            <w:r>
              <w:rPr>
                <w:sz w:val="18"/>
              </w:rPr>
              <w:t>0.0187</w:t>
            </w:r>
          </w:p>
        </w:tc>
      </w:tr>
      <w:tr>
        <w:tc>
          <w:tcPr>
            <w:tcW w:type="dxa" w:w="1728"/>
          </w:tcPr>
          <w:p>
            <w:r/>
            <w:r>
              <w:rPr>
                <w:sz w:val="18"/>
              </w:rPr>
              <w:t>run_surprisal_vs_flip_baseline_exhaustion_h6</w:t>
            </w:r>
          </w:p>
        </w:tc>
        <w:tc>
          <w:tcPr>
            <w:tcW w:type="dxa" w:w="1728"/>
          </w:tcPr>
          <w:p>
            <w:r/>
            <w:r>
              <w:rPr>
                <w:sz w:val="18"/>
              </w:rPr>
              <w:t>mean_reversion</w:t>
            </w:r>
          </w:p>
        </w:tc>
        <w:tc>
          <w:tcPr>
            <w:tcW w:type="dxa" w:w="1728"/>
          </w:tcPr>
          <w:p>
            <w:pPr>
              <w:jc w:val="right"/>
            </w:pPr>
            <w:r/>
            <w:r>
              <w:rPr>
                <w:sz w:val="18"/>
              </w:rPr>
              <w:t>0.0197</w:t>
            </w:r>
          </w:p>
        </w:tc>
        <w:tc>
          <w:tcPr>
            <w:tcW w:type="dxa" w:w="1728"/>
          </w:tcPr>
          <w:p>
            <w:pPr>
              <w:jc w:val="right"/>
            </w:pPr>
            <w:r/>
            <w:r>
              <w:rPr>
                <w:b/>
                <w:sz w:val="18"/>
              </w:rPr>
              <w:t>0.0365</w:t>
            </w:r>
          </w:p>
        </w:tc>
        <w:tc>
          <w:tcPr>
            <w:tcW w:type="dxa" w:w="1728"/>
          </w:tcPr>
          <w:p>
            <w:pPr>
              <w:jc w:val="right"/>
            </w:pPr>
            <w:r/>
            <w:r>
              <w:rPr>
                <w:sz w:val="18"/>
              </w:rPr>
              <w:t>0.0241</w:t>
            </w:r>
          </w:p>
        </w:tc>
      </w:tr>
      <w:tr>
        <w:tc>
          <w:tcPr>
            <w:tcW w:type="dxa" w:w="1728"/>
          </w:tcPr>
          <w:p>
            <w:r/>
            <w:r>
              <w:rPr>
                <w:sz w:val="18"/>
              </w:rPr>
              <w:t>churn_resilience_gated_sweep_debt_snapback_h6</w:t>
            </w:r>
          </w:p>
        </w:tc>
        <w:tc>
          <w:tcPr>
            <w:tcW w:type="dxa" w:w="1728"/>
          </w:tcPr>
          <w:p>
            <w:r/>
            <w:r>
              <w:rPr>
                <w:sz w:val="18"/>
              </w:rPr>
              <w:t>microstructure</w:t>
            </w:r>
          </w:p>
        </w:tc>
        <w:tc>
          <w:tcPr>
            <w:tcW w:type="dxa" w:w="1728"/>
          </w:tcPr>
          <w:p>
            <w:pPr>
              <w:jc w:val="right"/>
            </w:pPr>
            <w:r/>
            <w:r>
              <w:rPr>
                <w:sz w:val="18"/>
              </w:rPr>
              <w:t>0.0403</w:t>
            </w:r>
          </w:p>
        </w:tc>
        <w:tc>
          <w:tcPr>
            <w:tcW w:type="dxa" w:w="1728"/>
          </w:tcPr>
          <w:p>
            <w:pPr>
              <w:jc w:val="right"/>
            </w:pPr>
            <w:r/>
            <w:r>
              <w:rPr>
                <w:b/>
                <w:sz w:val="18"/>
              </w:rPr>
              <w:t>0.0312</w:t>
            </w:r>
          </w:p>
        </w:tc>
        <w:tc>
          <w:tcPr>
            <w:tcW w:type="dxa" w:w="1728"/>
          </w:tcPr>
          <w:p>
            <w:pPr>
              <w:jc w:val="right"/>
            </w:pPr>
            <w:r/>
            <w:r>
              <w:rPr>
                <w:sz w:val="18"/>
              </w:rPr>
              <w:t>0.0208</w:t>
            </w:r>
          </w:p>
        </w:tc>
      </w:tr>
      <w:tr>
        <w:tc>
          <w:tcPr>
            <w:tcW w:type="dxa" w:w="1728"/>
          </w:tcPr>
          <w:p>
            <w:r/>
            <w:r>
              <w:rPr>
                <w:sz w:val="18"/>
              </w:rPr>
              <w:t>reignition_hazard_pending_spell_vs_paid_split_h6</w:t>
            </w:r>
          </w:p>
        </w:tc>
        <w:tc>
          <w:tcPr>
            <w:tcW w:type="dxa" w:w="1728"/>
          </w:tcPr>
          <w:p>
            <w:r/>
            <w:r>
              <w:rPr>
                <w:sz w:val="18"/>
              </w:rPr>
              <w:t>microstructure</w:t>
            </w:r>
          </w:p>
        </w:tc>
        <w:tc>
          <w:tcPr>
            <w:tcW w:type="dxa" w:w="1728"/>
          </w:tcPr>
          <w:p>
            <w:pPr>
              <w:jc w:val="right"/>
            </w:pPr>
            <w:r/>
            <w:r>
              <w:rPr>
                <w:sz w:val="18"/>
              </w:rPr>
              <w:t>0.0372</w:t>
            </w:r>
          </w:p>
        </w:tc>
        <w:tc>
          <w:tcPr>
            <w:tcW w:type="dxa" w:w="1728"/>
          </w:tcPr>
          <w:p>
            <w:pPr>
              <w:jc w:val="right"/>
            </w:pPr>
            <w:r/>
            <w:r>
              <w:rPr>
                <w:b/>
                <w:sz w:val="18"/>
              </w:rPr>
              <w:t>0.0296</w:t>
            </w:r>
          </w:p>
        </w:tc>
        <w:tc>
          <w:tcPr>
            <w:tcW w:type="dxa" w:w="1728"/>
          </w:tcPr>
          <w:p>
            <w:pPr>
              <w:jc w:val="right"/>
            </w:pPr>
            <w:r/>
            <w:r>
              <w:rPr>
                <w:sz w:val="18"/>
              </w:rPr>
              <w:t>0.0328</w:t>
            </w:r>
          </w:p>
        </w:tc>
      </w:tr>
      <w:tr>
        <w:tc>
          <w:tcPr>
            <w:tcW w:type="dxa" w:w="1728"/>
          </w:tcPr>
          <w:p>
            <w:r/>
            <w:r>
              <w:rPr>
                <w:sz w:val="18"/>
              </w:rPr>
              <w:t>program_gated_elasticity_factor_return_snapback</w:t>
            </w:r>
          </w:p>
        </w:tc>
        <w:tc>
          <w:tcPr>
            <w:tcW w:type="dxa" w:w="1728"/>
          </w:tcPr>
          <w:p>
            <w:r/>
            <w:r>
              <w:rPr>
                <w:sz w:val="18"/>
              </w:rPr>
              <w:t>statistical_arbitrage</w:t>
            </w:r>
          </w:p>
        </w:tc>
        <w:tc>
          <w:tcPr>
            <w:tcW w:type="dxa" w:w="1728"/>
          </w:tcPr>
          <w:p>
            <w:pPr>
              <w:jc w:val="right"/>
            </w:pPr>
            <w:r/>
            <w:r>
              <w:rPr>
                <w:sz w:val="18"/>
              </w:rPr>
              <w:t>0.0016</w:t>
            </w:r>
          </w:p>
        </w:tc>
        <w:tc>
          <w:tcPr>
            <w:tcW w:type="dxa" w:w="1728"/>
          </w:tcPr>
          <w:p>
            <w:pPr>
              <w:jc w:val="right"/>
            </w:pPr>
            <w:r/>
            <w:r>
              <w:rPr>
                <w:b/>
                <w:sz w:val="18"/>
              </w:rPr>
              <w:t>0.0189</w:t>
            </w:r>
          </w:p>
        </w:tc>
        <w:tc>
          <w:tcPr>
            <w:tcW w:type="dxa" w:w="1728"/>
          </w:tcPr>
          <w:p>
            <w:pPr>
              <w:jc w:val="right"/>
            </w:pPr>
            <w:r/>
            <w:r>
              <w:rPr>
                <w:sz w:val="18"/>
              </w:rPr>
              <w:t>0.0239</w:t>
            </w:r>
          </w:p>
        </w:tc>
      </w:tr>
      <w:tr>
        <w:tc>
          <w:tcPr>
            <w:tcW w:type="dxa" w:w="1728"/>
          </w:tcPr>
          <w:p>
            <w:r/>
            <w:r>
              <w:rPr>
                <w:sz w:val="18"/>
              </w:rPr>
              <w:t>absorbed_wick_routed_unowed_transient_snapback</w:t>
            </w:r>
          </w:p>
        </w:tc>
        <w:tc>
          <w:tcPr>
            <w:tcW w:type="dxa" w:w="1728"/>
          </w:tcPr>
          <w:p>
            <w:r/>
            <w:r>
              <w:rPr>
                <w:sz w:val="18"/>
              </w:rPr>
              <w:t>microstructure</w:t>
            </w:r>
          </w:p>
        </w:tc>
        <w:tc>
          <w:tcPr>
            <w:tcW w:type="dxa" w:w="1728"/>
          </w:tcPr>
          <w:p>
            <w:pPr>
              <w:jc w:val="right"/>
            </w:pPr>
            <w:r/>
            <w:r>
              <w:rPr>
                <w:sz w:val="18"/>
              </w:rPr>
              <w:t>0.0326</w:t>
            </w:r>
          </w:p>
        </w:tc>
        <w:tc>
          <w:tcPr>
            <w:tcW w:type="dxa" w:w="1728"/>
          </w:tcPr>
          <w:p>
            <w:pPr>
              <w:jc w:val="right"/>
            </w:pPr>
            <w:r/>
            <w:r>
              <w:rPr>
                <w:b/>
                <w:sz w:val="18"/>
              </w:rPr>
              <w:t>0.0171</w:t>
            </w:r>
          </w:p>
        </w:tc>
        <w:tc>
          <w:tcPr>
            <w:tcW w:type="dxa" w:w="1728"/>
          </w:tcPr>
          <w:p>
            <w:pPr>
              <w:jc w:val="right"/>
            </w:pPr>
            <w:r/>
            <w:r>
              <w:rPr>
                <w:sz w:val="18"/>
              </w:rPr>
              <w:t>0.0288</w:t>
            </w:r>
          </w:p>
        </w:tc>
      </w:tr>
      <w:tr>
        <w:tc>
          <w:tcPr>
            <w:tcW w:type="dxa" w:w="1728"/>
          </w:tcPr>
          <w:p>
            <w:r/>
            <w:r>
              <w:rPr>
                <w:sz w:val="18"/>
              </w:rPr>
              <w:t>volume_evenness_entropy_innovation_gated_path_ef</w:t>
            </w:r>
          </w:p>
        </w:tc>
        <w:tc>
          <w:tcPr>
            <w:tcW w:type="dxa" w:w="1728"/>
          </w:tcPr>
          <w:p>
            <w:r/>
            <w:r>
              <w:rPr>
                <w:sz w:val="18"/>
              </w:rPr>
              <w:t>microstructure</w:t>
            </w:r>
          </w:p>
        </w:tc>
        <w:tc>
          <w:tcPr>
            <w:tcW w:type="dxa" w:w="1728"/>
          </w:tcPr>
          <w:p>
            <w:pPr>
              <w:jc w:val="right"/>
            </w:pPr>
            <w:r/>
            <w:r>
              <w:rPr>
                <w:sz w:val="18"/>
              </w:rPr>
              <w:t>-0.0008</w:t>
            </w:r>
          </w:p>
        </w:tc>
        <w:tc>
          <w:tcPr>
            <w:tcW w:type="dxa" w:w="1728"/>
          </w:tcPr>
          <w:p>
            <w:pPr>
              <w:jc w:val="right"/>
            </w:pPr>
            <w:r/>
            <w:r>
              <w:rPr>
                <w:b/>
                <w:sz w:val="18"/>
              </w:rPr>
              <w:t>0.0159</w:t>
            </w:r>
          </w:p>
        </w:tc>
        <w:tc>
          <w:tcPr>
            <w:tcW w:type="dxa" w:w="1728"/>
          </w:tcPr>
          <w:p>
            <w:pPr>
              <w:jc w:val="right"/>
            </w:pPr>
            <w:r/>
            <w:r>
              <w:rPr>
                <w:sz w:val="18"/>
              </w:rPr>
              <w:t>-0.0002</w:t>
            </w:r>
          </w:p>
        </w:tc>
      </w:tr>
    </w:tbl>
    <w:p/>
    <w:p>
      <w:r>
        <w:rPr>
          <w:b/>
          <w:i w:val="0"/>
        </w:rPr>
        <w:t>Terra — top 8 by |TEST IC|: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Factor</w:t>
            </w:r>
          </w:p>
        </w:tc>
        <w:tc>
          <w:tcPr>
            <w:tcW w:type="dxa" w:w="1728"/>
          </w:tcPr>
          <w:p>
            <w:r/>
            <w:r>
              <w:rPr>
                <w:b/>
                <w:sz w:val="18"/>
              </w:rPr>
              <w:t>Category</w:t>
            </w:r>
          </w:p>
        </w:tc>
        <w:tc>
          <w:tcPr>
            <w:tcW w:type="dxa" w:w="1728"/>
          </w:tcPr>
          <w:p>
            <w:r/>
            <w:r>
              <w:rPr>
                <w:b/>
                <w:sz w:val="18"/>
              </w:rPr>
              <w:t>IC DEV</w:t>
            </w:r>
          </w:p>
        </w:tc>
        <w:tc>
          <w:tcPr>
            <w:tcW w:type="dxa" w:w="1728"/>
          </w:tcPr>
          <w:p>
            <w:r/>
            <w:r>
              <w:rPr>
                <w:b/>
                <w:sz w:val="18"/>
              </w:rPr>
              <w:t>IC TEST</w:t>
            </w:r>
          </w:p>
        </w:tc>
        <w:tc>
          <w:tcPr>
            <w:tcW w:type="dxa" w:w="1728"/>
          </w:tcPr>
          <w:p>
            <w:r/>
            <w:r>
              <w:rPr>
                <w:b/>
                <w:sz w:val="18"/>
              </w:rPr>
              <w:t>IC FWD</w:t>
            </w:r>
          </w:p>
        </w:tc>
      </w:tr>
      <w:tr>
        <w:tc>
          <w:tcPr>
            <w:tcW w:type="dxa" w:w="1728"/>
          </w:tcPr>
          <w:p>
            <w:r/>
            <w:r>
              <w:rPr>
                <w:sz w:val="18"/>
              </w:rPr>
              <w:t>nonlinear_downside_coskew_compensation_h6</w:t>
            </w:r>
          </w:p>
        </w:tc>
        <w:tc>
          <w:tcPr>
            <w:tcW w:type="dxa" w:w="1728"/>
          </w:tcPr>
          <w:p>
            <w:r/>
            <w:r>
              <w:rPr>
                <w:sz w:val="18"/>
              </w:rPr>
              <w:t>volatility</w:t>
            </w:r>
          </w:p>
        </w:tc>
        <w:tc>
          <w:tcPr>
            <w:tcW w:type="dxa" w:w="1728"/>
          </w:tcPr>
          <w:p>
            <w:pPr>
              <w:jc w:val="right"/>
            </w:pPr>
            <w:r/>
            <w:r>
              <w:rPr>
                <w:sz w:val="18"/>
              </w:rPr>
              <w:t>0.0039</w:t>
            </w:r>
          </w:p>
        </w:tc>
        <w:tc>
          <w:tcPr>
            <w:tcW w:type="dxa" w:w="1728"/>
          </w:tcPr>
          <w:p>
            <w:pPr>
              <w:jc w:val="right"/>
            </w:pPr>
            <w:r/>
            <w:r>
              <w:rPr>
                <w:b/>
                <w:sz w:val="18"/>
              </w:rPr>
              <w:t>0.0344</w:t>
            </w:r>
          </w:p>
        </w:tc>
        <w:tc>
          <w:tcPr>
            <w:tcW w:type="dxa" w:w="1728"/>
          </w:tcPr>
          <w:p>
            <w:pPr>
              <w:jc w:val="right"/>
            </w:pPr>
            <w:r/>
            <w:r>
              <w:rPr>
                <w:sz w:val="18"/>
              </w:rPr>
              <w:t>0.0063</w:t>
            </w:r>
          </w:p>
        </w:tc>
      </w:tr>
      <w:tr>
        <w:tc>
          <w:tcPr>
            <w:tcW w:type="dxa" w:w="1728"/>
          </w:tcPr>
          <w:p>
            <w:r/>
            <w:r>
              <w:rPr>
                <w:sz w:val="18"/>
              </w:rPr>
              <w:t>peer_hawkes_contagion_underreaction</w:t>
            </w:r>
          </w:p>
        </w:tc>
        <w:tc>
          <w:tcPr>
            <w:tcW w:type="dxa" w:w="1728"/>
          </w:tcPr>
          <w:p>
            <w:r/>
            <w:r>
              <w:rPr>
                <w:sz w:val="18"/>
              </w:rPr>
              <w:t>microstructure</w:t>
            </w:r>
          </w:p>
        </w:tc>
        <w:tc>
          <w:tcPr>
            <w:tcW w:type="dxa" w:w="1728"/>
          </w:tcPr>
          <w:p>
            <w:pPr>
              <w:jc w:val="right"/>
            </w:pPr>
            <w:r/>
            <w:r>
              <w:rPr>
                <w:sz w:val="18"/>
              </w:rPr>
              <w:t>0.0356</w:t>
            </w:r>
          </w:p>
        </w:tc>
        <w:tc>
          <w:tcPr>
            <w:tcW w:type="dxa" w:w="1728"/>
          </w:tcPr>
          <w:p>
            <w:pPr>
              <w:jc w:val="right"/>
            </w:pPr>
            <w:r/>
            <w:r>
              <w:rPr>
                <w:b/>
                <w:sz w:val="18"/>
              </w:rPr>
              <w:t>0.0292</w:t>
            </w:r>
          </w:p>
        </w:tc>
        <w:tc>
          <w:tcPr>
            <w:tcW w:type="dxa" w:w="1728"/>
          </w:tcPr>
          <w:p>
            <w:pPr>
              <w:jc w:val="right"/>
            </w:pPr>
            <w:r/>
            <w:r>
              <w:rPr>
                <w:sz w:val="18"/>
              </w:rPr>
              <w:t>0.0366</w:t>
            </w:r>
          </w:p>
        </w:tc>
      </w:tr>
      <w:tr>
        <w:tc>
          <w:tcPr>
            <w:tcW w:type="dxa" w:w="1728"/>
          </w:tcPr>
          <w:p>
            <w:r/>
            <w:r>
              <w:rPr>
                <w:sz w:val="18"/>
              </w:rPr>
              <w:t>consumption_tail_amplification_premium_h6</w:t>
            </w:r>
          </w:p>
        </w:tc>
        <w:tc>
          <w:tcPr>
            <w:tcW w:type="dxa" w:w="1728"/>
          </w:tcPr>
          <w:p>
            <w:r/>
            <w:r>
              <w:rPr>
                <w:sz w:val="18"/>
              </w:rPr>
              <w:t>other</w:t>
            </w:r>
          </w:p>
        </w:tc>
        <w:tc>
          <w:tcPr>
            <w:tcW w:type="dxa" w:w="1728"/>
          </w:tcPr>
          <w:p>
            <w:pPr>
              <w:jc w:val="right"/>
            </w:pPr>
            <w:r/>
            <w:r>
              <w:rPr>
                <w:sz w:val="18"/>
              </w:rPr>
              <w:t>0.0123</w:t>
            </w:r>
          </w:p>
        </w:tc>
        <w:tc>
          <w:tcPr>
            <w:tcW w:type="dxa" w:w="1728"/>
          </w:tcPr>
          <w:p>
            <w:pPr>
              <w:jc w:val="right"/>
            </w:pPr>
            <w:r/>
            <w:r>
              <w:rPr>
                <w:b/>
                <w:sz w:val="18"/>
              </w:rPr>
              <w:t>0.0271</w:t>
            </w:r>
          </w:p>
        </w:tc>
        <w:tc>
          <w:tcPr>
            <w:tcW w:type="dxa" w:w="1728"/>
          </w:tcPr>
          <w:p>
            <w:pPr>
              <w:jc w:val="right"/>
            </w:pPr>
            <w:r/>
            <w:r>
              <w:rPr>
                <w:sz w:val="18"/>
              </w:rPr>
              <w:t>0.0226</w:t>
            </w:r>
          </w:p>
        </w:tc>
      </w:tr>
      <w:tr>
        <w:tc>
          <w:tcPr>
            <w:tcW w:type="dxa" w:w="1728"/>
          </w:tcPr>
          <w:p>
            <w:r/>
            <w:r>
              <w:rPr>
                <w:sz w:val="18"/>
              </w:rPr>
              <w:t>news_synchrony_forcedflow_conversion_j_1</w:t>
            </w:r>
          </w:p>
        </w:tc>
        <w:tc>
          <w:tcPr>
            <w:tcW w:type="dxa" w:w="1728"/>
          </w:tcPr>
          <w:p>
            <w:r/>
            <w:r>
              <w:rPr>
                <w:sz w:val="18"/>
              </w:rPr>
              <w:t>microstructure</w:t>
            </w:r>
          </w:p>
        </w:tc>
        <w:tc>
          <w:tcPr>
            <w:tcW w:type="dxa" w:w="1728"/>
          </w:tcPr>
          <w:p>
            <w:pPr>
              <w:jc w:val="right"/>
            </w:pPr>
            <w:r/>
            <w:r>
              <w:rPr>
                <w:sz w:val="18"/>
              </w:rPr>
              <w:t>-0.0012</w:t>
            </w:r>
          </w:p>
        </w:tc>
        <w:tc>
          <w:tcPr>
            <w:tcW w:type="dxa" w:w="1728"/>
          </w:tcPr>
          <w:p>
            <w:pPr>
              <w:jc w:val="right"/>
            </w:pPr>
            <w:r/>
            <w:r>
              <w:rPr>
                <w:b/>
                <w:sz w:val="18"/>
              </w:rPr>
              <w:t>-0.0258</w:t>
            </w:r>
          </w:p>
        </w:tc>
        <w:tc>
          <w:tcPr>
            <w:tcW w:type="dxa" w:w="1728"/>
          </w:tcPr>
          <w:p>
            <w:pPr>
              <w:jc w:val="right"/>
            </w:pPr>
            <w:r/>
            <w:r>
              <w:rPr>
                <w:sz w:val="18"/>
              </w:rPr>
              <w:t>0.0139</w:t>
            </w:r>
          </w:p>
        </w:tc>
      </w:tr>
      <w:tr>
        <w:tc>
          <w:tcPr>
            <w:tcW w:type="dxa" w:w="1728"/>
          </w:tcPr>
          <w:p>
            <w:r/>
            <w:r>
              <w:rPr>
                <w:sz w:val="18"/>
              </w:rPr>
              <w:t>stale_surprise_fear_state_cascade_diffusion</w:t>
            </w:r>
          </w:p>
        </w:tc>
        <w:tc>
          <w:tcPr>
            <w:tcW w:type="dxa" w:w="1728"/>
          </w:tcPr>
          <w:p>
            <w:r/>
            <w:r>
              <w:rPr>
                <w:sz w:val="18"/>
              </w:rPr>
              <w:t>sentiment</w:t>
            </w:r>
          </w:p>
        </w:tc>
        <w:tc>
          <w:tcPr>
            <w:tcW w:type="dxa" w:w="1728"/>
          </w:tcPr>
          <w:p>
            <w:pPr>
              <w:jc w:val="right"/>
            </w:pPr>
            <w:r/>
            <w:r>
              <w:rPr>
                <w:sz w:val="18"/>
              </w:rPr>
              <w:t>0.0072</w:t>
            </w:r>
          </w:p>
        </w:tc>
        <w:tc>
          <w:tcPr>
            <w:tcW w:type="dxa" w:w="1728"/>
          </w:tcPr>
          <w:p>
            <w:pPr>
              <w:jc w:val="right"/>
            </w:pPr>
            <w:r/>
            <w:r>
              <w:rPr>
                <w:b/>
                <w:sz w:val="18"/>
              </w:rPr>
              <w:t>0.0229</w:t>
            </w:r>
          </w:p>
        </w:tc>
        <w:tc>
          <w:tcPr>
            <w:tcW w:type="dxa" w:w="1728"/>
          </w:tcPr>
          <w:p>
            <w:pPr>
              <w:jc w:val="right"/>
            </w:pPr>
            <w:r/>
            <w:r>
              <w:rPr>
                <w:sz w:val="18"/>
              </w:rPr>
              <w:t>0.0257</w:t>
            </w:r>
          </w:p>
        </w:tc>
      </w:tr>
      <w:tr>
        <w:tc>
          <w:tcPr>
            <w:tcW w:type="dxa" w:w="1728"/>
          </w:tcPr>
          <w:p>
            <w:r/>
            <w:r>
              <w:rPr>
                <w:sz w:val="18"/>
              </w:rPr>
              <w:t>earnings_turnover_impedance_resolution</w:t>
            </w:r>
          </w:p>
        </w:tc>
        <w:tc>
          <w:tcPr>
            <w:tcW w:type="dxa" w:w="1728"/>
          </w:tcPr>
          <w:p>
            <w:r/>
            <w:r>
              <w:rPr>
                <w:sz w:val="18"/>
              </w:rPr>
              <w:t>microstructure</w:t>
            </w:r>
          </w:p>
        </w:tc>
        <w:tc>
          <w:tcPr>
            <w:tcW w:type="dxa" w:w="1728"/>
          </w:tcPr>
          <w:p>
            <w:pPr>
              <w:jc w:val="right"/>
            </w:pPr>
            <w:r/>
            <w:r>
              <w:rPr>
                <w:sz w:val="18"/>
              </w:rPr>
              <w:t>0.0191</w:t>
            </w:r>
          </w:p>
        </w:tc>
        <w:tc>
          <w:tcPr>
            <w:tcW w:type="dxa" w:w="1728"/>
          </w:tcPr>
          <w:p>
            <w:pPr>
              <w:jc w:val="right"/>
            </w:pPr>
            <w:r/>
            <w:r>
              <w:rPr>
                <w:b/>
                <w:sz w:val="18"/>
              </w:rPr>
              <w:t>0.0221</w:t>
            </w:r>
          </w:p>
        </w:tc>
        <w:tc>
          <w:tcPr>
            <w:tcW w:type="dxa" w:w="1728"/>
          </w:tcPr>
          <w:p>
            <w:pPr>
              <w:jc w:val="right"/>
            </w:pPr>
            <w:r/>
            <w:r>
              <w:rPr>
                <w:sz w:val="18"/>
              </w:rPr>
              <w:t>-0.0015</w:t>
            </w:r>
          </w:p>
        </w:tc>
      </w:tr>
      <w:tr>
        <w:tc>
          <w:tcPr>
            <w:tcW w:type="dxa" w:w="1728"/>
          </w:tcPr>
          <w:p>
            <w:r/>
            <w:r>
              <w:rPr>
                <w:sz w:val="18"/>
              </w:rPr>
              <w:t>coherent_surprise_response_gap_drift</w:t>
            </w:r>
          </w:p>
        </w:tc>
        <w:tc>
          <w:tcPr>
            <w:tcW w:type="dxa" w:w="1728"/>
          </w:tcPr>
          <w:p>
            <w:r/>
            <w:r>
              <w:rPr>
                <w:sz w:val="18"/>
              </w:rPr>
              <w:t>sentiment</w:t>
            </w:r>
          </w:p>
        </w:tc>
        <w:tc>
          <w:tcPr>
            <w:tcW w:type="dxa" w:w="1728"/>
          </w:tcPr>
          <w:p>
            <w:pPr>
              <w:jc w:val="right"/>
            </w:pPr>
            <w:r/>
            <w:r>
              <w:rPr>
                <w:sz w:val="18"/>
              </w:rPr>
              <w:t>-0.0100</w:t>
            </w:r>
          </w:p>
        </w:tc>
        <w:tc>
          <w:tcPr>
            <w:tcW w:type="dxa" w:w="1728"/>
          </w:tcPr>
          <w:p>
            <w:pPr>
              <w:jc w:val="right"/>
            </w:pPr>
            <w:r/>
            <w:r>
              <w:rPr>
                <w:b/>
                <w:sz w:val="18"/>
              </w:rPr>
              <w:t>0.0206</w:t>
            </w:r>
          </w:p>
        </w:tc>
        <w:tc>
          <w:tcPr>
            <w:tcW w:type="dxa" w:w="1728"/>
          </w:tcPr>
          <w:p>
            <w:pPr>
              <w:jc w:val="right"/>
            </w:pPr>
            <w:r/>
            <w:r>
              <w:rPr>
                <w:sz w:val="18"/>
              </w:rPr>
              <w:t>0.0021</w:t>
            </w:r>
          </w:p>
        </w:tc>
      </w:tr>
      <w:tr>
        <w:tc>
          <w:tcPr>
            <w:tcW w:type="dxa" w:w="1728"/>
          </w:tcPr>
          <w:p>
            <w:r/>
            <w:r>
              <w:rPr>
                <w:sz w:val="18"/>
              </w:rPr>
              <w:t>tail_cluster_resilient_liquidity_release</w:t>
            </w:r>
          </w:p>
        </w:tc>
        <w:tc>
          <w:tcPr>
            <w:tcW w:type="dxa" w:w="1728"/>
          </w:tcPr>
          <w:p>
            <w:r/>
            <w:r>
              <w:rPr>
                <w:sz w:val="18"/>
              </w:rPr>
              <w:t>mean_reversion</w:t>
            </w:r>
          </w:p>
        </w:tc>
        <w:tc>
          <w:tcPr>
            <w:tcW w:type="dxa" w:w="1728"/>
          </w:tcPr>
          <w:p>
            <w:pPr>
              <w:jc w:val="right"/>
            </w:pPr>
            <w:r/>
            <w:r>
              <w:rPr>
                <w:sz w:val="18"/>
              </w:rPr>
              <w:t>0.0256</w:t>
            </w:r>
          </w:p>
        </w:tc>
        <w:tc>
          <w:tcPr>
            <w:tcW w:type="dxa" w:w="1728"/>
          </w:tcPr>
          <w:p>
            <w:pPr>
              <w:jc w:val="right"/>
            </w:pPr>
            <w:r/>
            <w:r>
              <w:rPr>
                <w:b/>
                <w:sz w:val="18"/>
              </w:rPr>
              <w:t>0.0172</w:t>
            </w:r>
          </w:p>
        </w:tc>
        <w:tc>
          <w:tcPr>
            <w:tcW w:type="dxa" w:w="1728"/>
          </w:tcPr>
          <w:p>
            <w:pPr>
              <w:jc w:val="right"/>
            </w:pPr>
            <w:r/>
            <w:r>
              <w:rPr>
                <w:sz w:val="18"/>
              </w:rPr>
              <w:t>0.0260</w:t>
            </w:r>
          </w:p>
        </w:tc>
      </w:tr>
    </w:tbl>
    <w:p/>
    <w:p>
      <w:r>
        <w:rPr>
          <w:b w:val="0"/>
          <w:i w:val="0"/>
        </w:rPr>
        <w:t>Reference: the best formulaic alphas on TEST are alpha_024 (0.052) and alpha_035 (0.037). The single best factor of the whole analysis is Opus's comparable_basket_repair_rate_activity (TEST 0.062 from a DEV of only 0.024).</w:t>
      </w:r>
    </w:p>
    <w:p>
      <w:pPr>
        <w:jc w:val="center"/>
      </w:pPr>
      <w:r>
        <w:drawing>
          <wp:inline xmlns:a="http://schemas.openxmlformats.org/drawingml/2006/main" xmlns:pic="http://schemas.openxmlformats.org/drawingml/2006/picture">
            <wp:extent cx="5760720" cy="4204757"/>
            <wp:docPr id="3" name="Picture 3"/>
            <wp:cNvGraphicFramePr>
              <a:graphicFrameLocks noChangeAspect="1"/>
            </wp:cNvGraphicFramePr>
            <a:graphic>
              <a:graphicData uri="http://schemas.openxmlformats.org/drawingml/2006/picture">
                <pic:pic>
                  <pic:nvPicPr>
                    <pic:cNvPr id="0" name="fig2_top_factors_opus.png"/>
                    <pic:cNvPicPr/>
                  </pic:nvPicPr>
                  <pic:blipFill>
                    <a:blip r:embed="rId11"/>
                    <a:stretch>
                      <a:fillRect/>
                    </a:stretch>
                  </pic:blipFill>
                  <pic:spPr>
                    <a:xfrm>
                      <a:off x="0" y="0"/>
                      <a:ext cx="5760720" cy="4204757"/>
                    </a:xfrm>
                    <a:prstGeom prst="rect"/>
                  </pic:spPr>
                </pic:pic>
              </a:graphicData>
            </a:graphic>
          </wp:inline>
        </w:drawing>
      </w:r>
    </w:p>
    <w:p>
      <w:r>
        <w:rPr>
          <w:color w:val="605D54"/>
          <w:sz w:val="18"/>
        </w:rPr>
        <w:t>Figure 2a — Opus: top 15 factors by |DEV IC|, with TEST and FORWARD alongside.</w:t>
      </w:r>
    </w:p>
    <w:p>
      <w:pPr>
        <w:jc w:val="center"/>
      </w:pPr>
      <w:r>
        <w:drawing>
          <wp:inline xmlns:a="http://schemas.openxmlformats.org/drawingml/2006/main" xmlns:pic="http://schemas.openxmlformats.org/drawingml/2006/picture">
            <wp:extent cx="5760720" cy="4228614"/>
            <wp:docPr id="4" name="Picture 4"/>
            <wp:cNvGraphicFramePr>
              <a:graphicFrameLocks noChangeAspect="1"/>
            </wp:cNvGraphicFramePr>
            <a:graphic>
              <a:graphicData uri="http://schemas.openxmlformats.org/drawingml/2006/picture">
                <pic:pic>
                  <pic:nvPicPr>
                    <pic:cNvPr id="0" name="fig2_top_factors_terra.png"/>
                    <pic:cNvPicPr/>
                  </pic:nvPicPr>
                  <pic:blipFill>
                    <a:blip r:embed="rId12"/>
                    <a:stretch>
                      <a:fillRect/>
                    </a:stretch>
                  </pic:blipFill>
                  <pic:spPr>
                    <a:xfrm>
                      <a:off x="0" y="0"/>
                      <a:ext cx="5760720" cy="4228614"/>
                    </a:xfrm>
                    <a:prstGeom prst="rect"/>
                  </pic:spPr>
                </pic:pic>
              </a:graphicData>
            </a:graphic>
          </wp:inline>
        </w:drawing>
      </w:r>
    </w:p>
    <w:p>
      <w:r>
        <w:rPr>
          <w:color w:val="605D54"/>
          <w:sz w:val="18"/>
        </w:rPr>
        <w:t>Figure 2b — Terra: top 15 factors by |DEV IC|.</w:t>
      </w:r>
    </w:p>
    <w:p>
      <w:pPr>
        <w:pStyle w:val="Heading1"/>
      </w:pPr>
      <w:r>
        <w:t>5. Correlation structure and diversity</w:t>
      </w:r>
    </w:p>
    <w:p>
      <w:r>
        <w:rPr>
          <w:b w:val="0"/>
          <w:i w:val="0"/>
        </w:rPr>
        <w:t>Signal correlations are computed on cross-sectionally standardised signals over the DEV window. Within-book redundancy is low for both LLM books (mean |ρ|: Terra 0.093, Opus 0.094, library 0.120), but efficiency differs: the participation ratio of the correlation spectrum gives Opus 12.7 effective factors out of 18 (71%), Terra 19.7 / 41 (48%), and the formulaic library only 25.8 / 101 (26%).</w:t>
      </w:r>
    </w:p>
    <w:p>
      <w:r>
        <w:rPr>
          <w:b w:val="0"/>
          <w:i w:val="0"/>
        </w:rPr>
        <w:t>The cross-blocks are weak: mean |ρ| Terra×Opus 0.056 (max 0.62), Terra×library 0.076, Opus×library 0.093. The two models explored largely orthogonal factor spaces: Opus concentrated on microstructure (12 of 18 factors), Terra spread across sentiment, volatility, fundamentals and microstructure. Pooling everything yields 35.0 effective factors from 160.</w:t>
      </w:r>
    </w:p>
    <w:p>
      <w:pPr>
        <w:jc w:val="center"/>
      </w:pPr>
      <w:r>
        <w:drawing>
          <wp:inline xmlns:a="http://schemas.openxmlformats.org/drawingml/2006/main" xmlns:pic="http://schemas.openxmlformats.org/drawingml/2006/picture">
            <wp:extent cx="5760720" cy="3266902"/>
            <wp:docPr id="5" name="Picture 5"/>
            <wp:cNvGraphicFramePr>
              <a:graphicFrameLocks noChangeAspect="1"/>
            </wp:cNvGraphicFramePr>
            <a:graphic>
              <a:graphicData uri="http://schemas.openxmlformats.org/drawingml/2006/picture">
                <pic:pic>
                  <pic:nvPicPr>
                    <pic:cNvPr id="0" name="fig4_corr_heatmaps.png"/>
                    <pic:cNvPicPr/>
                  </pic:nvPicPr>
                  <pic:blipFill>
                    <a:blip r:embed="rId13"/>
                    <a:stretch>
                      <a:fillRect/>
                    </a:stretch>
                  </pic:blipFill>
                  <pic:spPr>
                    <a:xfrm>
                      <a:off x="0" y="0"/>
                      <a:ext cx="5760720" cy="3266902"/>
                    </a:xfrm>
                    <a:prstGeom prst="rect"/>
                  </pic:spPr>
                </pic:pic>
              </a:graphicData>
            </a:graphic>
          </wp:inline>
        </w:drawing>
      </w:r>
    </w:p>
    <w:p>
      <w:r>
        <w:rPr>
          <w:color w:val="605D54"/>
          <w:sz w:val="18"/>
        </w:rPr>
        <w:t>Figure 4 — Within-book correlations, hierarchically ordered. Terra carries one visible redundancy cluster (liquidity/downside family, pairs up to |ρ| ≈ 0.85); Opus a small four-factor wick/absorption block.</w:t>
      </w:r>
    </w:p>
    <w:p>
      <w:pPr>
        <w:jc w:val="center"/>
      </w:pPr>
      <w:r>
        <w:drawing>
          <wp:inline xmlns:a="http://schemas.openxmlformats.org/drawingml/2006/main" xmlns:pic="http://schemas.openxmlformats.org/drawingml/2006/picture">
            <wp:extent cx="5760720" cy="4897530"/>
            <wp:docPr id="6" name="Picture 6"/>
            <wp:cNvGraphicFramePr>
              <a:graphicFrameLocks noChangeAspect="1"/>
            </wp:cNvGraphicFramePr>
            <a:graphic>
              <a:graphicData uri="http://schemas.openxmlformats.org/drawingml/2006/picture">
                <pic:pic>
                  <pic:nvPicPr>
                    <pic:cNvPr id="0" name="fig5_corr_blocks.png"/>
                    <pic:cNvPicPr/>
                  </pic:nvPicPr>
                  <pic:blipFill>
                    <a:blip r:embed="rId14"/>
                    <a:stretch>
                      <a:fillRect/>
                    </a:stretch>
                  </pic:blipFill>
                  <pic:spPr>
                    <a:xfrm>
                      <a:off x="0" y="0"/>
                      <a:ext cx="5760720" cy="4897530"/>
                    </a:xfrm>
                    <a:prstGeom prst="rect"/>
                  </pic:spPr>
                </pic:pic>
              </a:graphicData>
            </a:graphic>
          </wp:inline>
        </w:drawing>
      </w:r>
    </w:p>
    <w:p>
      <w:r>
        <w:rPr>
          <w:color w:val="605D54"/>
          <w:sz w:val="18"/>
        </w:rPr>
        <w:t>Figure 5 — Full correlation matrix with block boundaries. The library block (bottom right) is visibly denser; the off-diagonal blocks stay pale.</w:t>
      </w:r>
    </w:p>
    <w:p>
      <w:pPr>
        <w:jc w:val="center"/>
      </w:pPr>
      <w:r>
        <w:drawing>
          <wp:inline xmlns:a="http://schemas.openxmlformats.org/drawingml/2006/main" xmlns:pic="http://schemas.openxmlformats.org/drawingml/2006/picture">
            <wp:extent cx="5760720" cy="3015784"/>
            <wp:docPr id="7" name="Picture 7"/>
            <wp:cNvGraphicFramePr>
              <a:graphicFrameLocks noChangeAspect="1"/>
            </wp:cNvGraphicFramePr>
            <a:graphic>
              <a:graphicData uri="http://schemas.openxmlformats.org/drawingml/2006/picture">
                <pic:pic>
                  <pic:nvPicPr>
                    <pic:cNvPr id="0" name="fig7_effective_n.png"/>
                    <pic:cNvPicPr/>
                  </pic:nvPicPr>
                  <pic:blipFill>
                    <a:blip r:embed="rId15"/>
                    <a:stretch>
                      <a:fillRect/>
                    </a:stretch>
                  </pic:blipFill>
                  <pic:spPr>
                    <a:xfrm>
                      <a:off x="0" y="0"/>
                      <a:ext cx="5760720" cy="3015784"/>
                    </a:xfrm>
                    <a:prstGeom prst="rect"/>
                  </pic:spPr>
                </pic:pic>
              </a:graphicData>
            </a:graphic>
          </wp:inline>
        </w:drawing>
      </w:r>
    </w:p>
    <w:p>
      <w:r>
        <w:rPr>
          <w:color w:val="605D54"/>
          <w:sz w:val="18"/>
        </w:rPr>
        <w:t>Figure 7 — Nominal vs. effective factor counts (participation ratio of the correlation eigenvalues).</w:t>
      </w:r>
    </w:p>
    <w:p>
      <w:pPr>
        <w:pStyle w:val="Heading1"/>
      </w:pPr>
      <w:r>
        <w:t>6. Novelty relative to the formulaic library</w:t>
      </w:r>
    </w:p>
    <w:p>
      <w:r>
        <w:rPr>
          <w:b w:val="0"/>
          <w:i w:val="0"/>
        </w:rPr>
        <w:t>For each evolved factor, the maximum |correlation| to any of the 101 formulaic alphas measures how much of it the library already spans. The median is 0.28 (Terra) and 0.29 (Opus): the typical evolved factor is not a disguised formulaic alpha. The most library-like factors of both books attach to the same two alphas (alpha_033, alpha_038), with a maximum of 0.78.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Book</w:t>
            </w:r>
          </w:p>
        </w:tc>
        <w:tc>
          <w:tcPr>
            <w:tcW w:type="dxa" w:w="1728"/>
          </w:tcPr>
          <w:p>
            <w:r/>
            <w:r>
              <w:rPr>
                <w:b/>
                <w:sz w:val="18"/>
              </w:rPr>
              <w:t>Factor</w:t>
            </w:r>
          </w:p>
        </w:tc>
        <w:tc>
          <w:tcPr>
            <w:tcW w:type="dxa" w:w="1728"/>
          </w:tcPr>
          <w:p>
            <w:r/>
            <w:r>
              <w:rPr>
                <w:b/>
                <w:sz w:val="18"/>
              </w:rPr>
              <w:t>Nearest alpha</w:t>
            </w:r>
          </w:p>
        </w:tc>
        <w:tc>
          <w:tcPr>
            <w:tcW w:type="dxa" w:w="1728"/>
          </w:tcPr>
          <w:p>
            <w:r/>
            <w:r>
              <w:rPr>
                <w:b/>
                <w:sz w:val="18"/>
              </w:rPr>
              <w:t>max |ρ| library</w:t>
            </w:r>
          </w:p>
        </w:tc>
        <w:tc>
          <w:tcPr>
            <w:tcW w:type="dxa" w:w="1728"/>
          </w:tcPr>
          <w:p>
            <w:r/>
            <w:r>
              <w:rPr>
                <w:b/>
                <w:sz w:val="18"/>
              </w:rPr>
              <w:t>max |ρ| own book</w:t>
            </w:r>
          </w:p>
        </w:tc>
      </w:tr>
      <w:tr>
        <w:tc>
          <w:tcPr>
            <w:tcW w:type="dxa" w:w="1728"/>
          </w:tcPr>
          <w:p>
            <w:r/>
            <w:r>
              <w:rPr>
                <w:sz w:val="18"/>
              </w:rPr>
              <w:t>Terra</w:t>
            </w:r>
          </w:p>
        </w:tc>
        <w:tc>
          <w:tcPr>
            <w:tcW w:type="dxa" w:w="1728"/>
          </w:tcPr>
          <w:p>
            <w:r/>
            <w:r>
              <w:rPr>
                <w:sz w:val="18"/>
              </w:rPr>
              <w:t>idiosyncratic_downside_hawkes_branch_pressure</w:t>
            </w:r>
          </w:p>
        </w:tc>
        <w:tc>
          <w:tcPr>
            <w:tcW w:type="dxa" w:w="1728"/>
          </w:tcPr>
          <w:p>
            <w:pPr>
              <w:jc w:val="right"/>
            </w:pPr>
            <w:r/>
            <w:r>
              <w:rPr>
                <w:sz w:val="18"/>
              </w:rPr>
              <w:t>alpha_033</w:t>
            </w:r>
          </w:p>
        </w:tc>
        <w:tc>
          <w:tcPr>
            <w:tcW w:type="dxa" w:w="1728"/>
          </w:tcPr>
          <w:p>
            <w:pPr>
              <w:jc w:val="right"/>
            </w:pPr>
            <w:r/>
            <w:r>
              <w:rPr>
                <w:sz w:val="18"/>
              </w:rPr>
              <w:t>0.78</w:t>
            </w:r>
          </w:p>
        </w:tc>
        <w:tc>
          <w:tcPr>
            <w:tcW w:type="dxa" w:w="1728"/>
          </w:tcPr>
          <w:p>
            <w:pPr>
              <w:jc w:val="right"/>
            </w:pPr>
            <w:r/>
            <w:r>
              <w:rPr>
                <w:sz w:val="18"/>
              </w:rPr>
              <w:t>0.63</w:t>
            </w:r>
          </w:p>
        </w:tc>
      </w:tr>
      <w:tr>
        <w:tc>
          <w:tcPr>
            <w:tcW w:type="dxa" w:w="1728"/>
          </w:tcPr>
          <w:p>
            <w:r/>
            <w:r>
              <w:rPr>
                <w:sz w:val="18"/>
              </w:rPr>
              <w:t>Opus</w:t>
            </w:r>
          </w:p>
        </w:tc>
        <w:tc>
          <w:tcPr>
            <w:tcW w:type="dxa" w:w="1728"/>
          </w:tcPr>
          <w:p>
            <w:pPr>
              <w:jc w:val="right"/>
            </w:pPr>
            <w:r/>
            <w:r>
              <w:rPr>
                <w:sz w:val="18"/>
              </w:rPr>
              <w:t>reignition_hazard_pending_spell_vs_paid_split_h6</w:t>
            </w:r>
          </w:p>
        </w:tc>
        <w:tc>
          <w:tcPr>
            <w:tcW w:type="dxa" w:w="1728"/>
          </w:tcPr>
          <w:p>
            <w:pPr>
              <w:jc w:val="right"/>
            </w:pPr>
            <w:r/>
            <w:r>
              <w:rPr>
                <w:sz w:val="18"/>
              </w:rPr>
              <w:t>alpha_038</w:t>
            </w:r>
          </w:p>
        </w:tc>
        <w:tc>
          <w:tcPr>
            <w:tcW w:type="dxa" w:w="1728"/>
          </w:tcPr>
          <w:p>
            <w:pPr>
              <w:jc w:val="right"/>
            </w:pPr>
            <w:r/>
            <w:r>
              <w:rPr>
                <w:sz w:val="18"/>
              </w:rPr>
              <w:t>0.65</w:t>
            </w:r>
          </w:p>
        </w:tc>
        <w:tc>
          <w:tcPr>
            <w:tcW w:type="dxa" w:w="1728"/>
          </w:tcPr>
          <w:p>
            <w:pPr>
              <w:jc w:val="right"/>
            </w:pPr>
            <w:r/>
            <w:r>
              <w:rPr>
                <w:sz w:val="18"/>
              </w:rPr>
              <w:t>0.55</w:t>
            </w:r>
          </w:p>
        </w:tc>
      </w:tr>
      <w:tr>
        <w:tc>
          <w:tcPr>
            <w:tcW w:type="dxa" w:w="1728"/>
          </w:tcPr>
          <w:p>
            <w:r/>
            <w:r>
              <w:rPr>
                <w:sz w:val="18"/>
              </w:rPr>
              <w:t>Terra</w:t>
            </w:r>
          </w:p>
        </w:tc>
        <w:tc>
          <w:tcPr>
            <w:tcW w:type="dxa" w:w="1728"/>
          </w:tcPr>
          <w:p>
            <w:r/>
            <w:r>
              <w:rPr>
                <w:sz w:val="18"/>
              </w:rPr>
              <w:t>conditional_impact_copula_information_residual</w:t>
            </w:r>
          </w:p>
        </w:tc>
        <w:tc>
          <w:tcPr>
            <w:tcW w:type="dxa" w:w="1728"/>
          </w:tcPr>
          <w:p>
            <w:pPr>
              <w:jc w:val="right"/>
            </w:pPr>
            <w:r/>
            <w:r>
              <w:rPr>
                <w:sz w:val="18"/>
              </w:rPr>
              <w:t>alpha_033</w:t>
            </w:r>
          </w:p>
        </w:tc>
        <w:tc>
          <w:tcPr>
            <w:tcW w:type="dxa" w:w="1728"/>
          </w:tcPr>
          <w:p>
            <w:pPr>
              <w:jc w:val="right"/>
            </w:pPr>
            <w:r/>
            <w:r>
              <w:rPr>
                <w:sz w:val="18"/>
              </w:rPr>
              <w:t>0.63</w:t>
            </w:r>
          </w:p>
        </w:tc>
        <w:tc>
          <w:tcPr>
            <w:tcW w:type="dxa" w:w="1728"/>
          </w:tcPr>
          <w:p>
            <w:pPr>
              <w:jc w:val="right"/>
            </w:pPr>
            <w:r/>
            <w:r>
              <w:rPr>
                <w:sz w:val="18"/>
              </w:rPr>
              <w:t>0.73</w:t>
            </w:r>
          </w:p>
        </w:tc>
      </w:tr>
      <w:tr>
        <w:tc>
          <w:tcPr>
            <w:tcW w:type="dxa" w:w="1728"/>
          </w:tcPr>
          <w:p>
            <w:r/>
            <w:r>
              <w:rPr>
                <w:sz w:val="18"/>
              </w:rPr>
              <w:t>Opus</w:t>
            </w:r>
          </w:p>
        </w:tc>
        <w:tc>
          <w:tcPr>
            <w:tcW w:type="dxa" w:w="1728"/>
          </w:tcPr>
          <w:p>
            <w:pPr>
              <w:jc w:val="right"/>
            </w:pPr>
            <w:r/>
            <w:r>
              <w:rPr>
                <w:sz w:val="18"/>
              </w:rPr>
              <w:t>tsrv_kalman_gain_transient_deviation_memory_h6</w:t>
            </w:r>
          </w:p>
        </w:tc>
        <w:tc>
          <w:tcPr>
            <w:tcW w:type="dxa" w:w="1728"/>
          </w:tcPr>
          <w:p>
            <w:pPr>
              <w:jc w:val="right"/>
            </w:pPr>
            <w:r/>
            <w:r>
              <w:rPr>
                <w:sz w:val="18"/>
              </w:rPr>
              <w:t>alpha_033</w:t>
            </w:r>
          </w:p>
        </w:tc>
        <w:tc>
          <w:tcPr>
            <w:tcW w:type="dxa" w:w="1728"/>
          </w:tcPr>
          <w:p>
            <w:pPr>
              <w:jc w:val="right"/>
            </w:pPr>
            <w:r/>
            <w:r>
              <w:rPr>
                <w:sz w:val="18"/>
              </w:rPr>
              <w:t>0.60</w:t>
            </w:r>
          </w:p>
        </w:tc>
        <w:tc>
          <w:tcPr>
            <w:tcW w:type="dxa" w:w="1728"/>
          </w:tcPr>
          <w:p>
            <w:pPr>
              <w:jc w:val="right"/>
            </w:pPr>
            <w:r/>
            <w:r>
              <w:rPr>
                <w:sz w:val="18"/>
              </w:rPr>
              <w:t>0.41</w:t>
            </w:r>
          </w:p>
        </w:tc>
      </w:tr>
      <w:tr>
        <w:tc>
          <w:tcPr>
            <w:tcW w:type="dxa" w:w="1728"/>
          </w:tcPr>
          <w:p>
            <w:r/>
            <w:r>
              <w:rPr>
                <w:sz w:val="18"/>
              </w:rPr>
              <w:t>Terra</w:t>
            </w:r>
          </w:p>
        </w:tc>
        <w:tc>
          <w:tcPr>
            <w:tcW w:type="dxa" w:w="1728"/>
          </w:tcPr>
          <w:p>
            <w:r/>
            <w:r>
              <w:rPr>
                <w:sz w:val="18"/>
              </w:rPr>
              <w:t>tail_cluster_resilient_liquidity_release</w:t>
            </w:r>
          </w:p>
        </w:tc>
        <w:tc>
          <w:tcPr>
            <w:tcW w:type="dxa" w:w="1728"/>
          </w:tcPr>
          <w:p>
            <w:pPr>
              <w:jc w:val="right"/>
            </w:pPr>
            <w:r/>
            <w:r>
              <w:rPr>
                <w:sz w:val="18"/>
              </w:rPr>
              <w:t>alpha_038</w:t>
            </w:r>
          </w:p>
        </w:tc>
        <w:tc>
          <w:tcPr>
            <w:tcW w:type="dxa" w:w="1728"/>
          </w:tcPr>
          <w:p>
            <w:pPr>
              <w:jc w:val="right"/>
            </w:pPr>
            <w:r/>
            <w:r>
              <w:rPr>
                <w:sz w:val="18"/>
              </w:rPr>
              <w:t>0.59</w:t>
            </w:r>
          </w:p>
        </w:tc>
        <w:tc>
          <w:tcPr>
            <w:tcW w:type="dxa" w:w="1728"/>
          </w:tcPr>
          <w:p>
            <w:pPr>
              <w:jc w:val="right"/>
            </w:pPr>
            <w:r/>
            <w:r>
              <w:rPr>
                <w:sz w:val="18"/>
              </w:rPr>
              <w:t>0.36</w:t>
            </w:r>
          </w:p>
        </w:tc>
      </w:tr>
      <w:tr>
        <w:tc>
          <w:tcPr>
            <w:tcW w:type="dxa" w:w="1728"/>
          </w:tcPr>
          <w:p>
            <w:r/>
            <w:r>
              <w:rPr>
                <w:sz w:val="18"/>
              </w:rPr>
              <w:t>Terra</w:t>
            </w:r>
          </w:p>
        </w:tc>
        <w:tc>
          <w:tcPr>
            <w:tcW w:type="dxa" w:w="1728"/>
          </w:tcPr>
          <w:p>
            <w:pPr>
              <w:jc w:val="right"/>
            </w:pPr>
            <w:r/>
            <w:r>
              <w:rPr>
                <w:sz w:val="18"/>
              </w:rPr>
              <w:t>sparse_liquidity_vacuum_repair_h6</w:t>
            </w:r>
          </w:p>
        </w:tc>
        <w:tc>
          <w:tcPr>
            <w:tcW w:type="dxa" w:w="1728"/>
          </w:tcPr>
          <w:p>
            <w:pPr>
              <w:jc w:val="right"/>
            </w:pPr>
            <w:r/>
            <w:r>
              <w:rPr>
                <w:sz w:val="18"/>
              </w:rPr>
              <w:t>alpha_062</w:t>
            </w:r>
          </w:p>
        </w:tc>
        <w:tc>
          <w:tcPr>
            <w:tcW w:type="dxa" w:w="1728"/>
          </w:tcPr>
          <w:p>
            <w:pPr>
              <w:jc w:val="right"/>
            </w:pPr>
            <w:r/>
            <w:r>
              <w:rPr>
                <w:sz w:val="18"/>
              </w:rPr>
              <w:t>0.59</w:t>
            </w:r>
          </w:p>
        </w:tc>
        <w:tc>
          <w:tcPr>
            <w:tcW w:type="dxa" w:w="1728"/>
          </w:tcPr>
          <w:p>
            <w:pPr>
              <w:jc w:val="right"/>
            </w:pPr>
            <w:r/>
            <w:r>
              <w:rPr>
                <w:sz w:val="18"/>
              </w:rPr>
              <w:t>0.85</w:t>
            </w:r>
          </w:p>
        </w:tc>
      </w:tr>
    </w:tbl>
    <w:p/>
    <w:p>
      <w:pPr>
        <w:jc w:val="center"/>
      </w:pPr>
      <w:r>
        <w:drawing>
          <wp:inline xmlns:a="http://schemas.openxmlformats.org/drawingml/2006/main" xmlns:pic="http://schemas.openxmlformats.org/drawingml/2006/picture">
            <wp:extent cx="5760720" cy="2542605"/>
            <wp:docPr id="8" name="Picture 8"/>
            <wp:cNvGraphicFramePr>
              <a:graphicFrameLocks noChangeAspect="1"/>
            </wp:cNvGraphicFramePr>
            <a:graphic>
              <a:graphicData uri="http://schemas.openxmlformats.org/drawingml/2006/picture">
                <pic:pic>
                  <pic:nvPicPr>
                    <pic:cNvPr id="0" name="fig6_zoo_novelty.png"/>
                    <pic:cNvPicPr/>
                  </pic:nvPicPr>
                  <pic:blipFill>
                    <a:blip r:embed="rId16"/>
                    <a:stretch>
                      <a:fillRect/>
                    </a:stretch>
                  </pic:blipFill>
                  <pic:spPr>
                    <a:xfrm>
                      <a:off x="0" y="0"/>
                      <a:ext cx="5760720" cy="2542605"/>
                    </a:xfrm>
                    <a:prstGeom prst="rect"/>
                  </pic:spPr>
                </pic:pic>
              </a:graphicData>
            </a:graphic>
          </wp:inline>
        </w:drawing>
      </w:r>
    </w:p>
    <w:p>
      <w:r>
        <w:rPr>
          <w:color w:val="605D54"/>
          <w:sz w:val="18"/>
        </w:rPr>
        <w:t>Figure 6 — Left: distribution of library-similarity (binned in 0.1-wide buckets); Terra has a solid block of genuinely novel factors below 0.15. Right: factors above the diagonal are more redundant within their own book than with the library — Terra's redundancy is home-grown (the cluster of Figure 4), not library imitation.</w:t>
      </w:r>
    </w:p>
    <w:p>
      <w:pPr>
        <w:pStyle w:val="Heading1"/>
      </w:pPr>
      <w:r>
        <w:t>7. IC through time: the 2021 regime break</w:t>
      </w:r>
    </w:p>
    <w:p>
      <w:r>
        <w:rPr>
          <w:b w:val="0"/>
          <w:i w:val="0"/>
        </w:rPr>
        <w:t>The pooled per-underlying IC is one number per window and has no daily analogue, so the time-resolved view uses the daily cross-sectional IC (each day, the correlation across stocks between signal and forward return) as a diagnostic; its level is not comparable to the pooled numbers above.</w:t>
      </w:r>
    </w:p>
    <w:p>
      <w:pPr>
        <w:jc w:val="center"/>
      </w:pPr>
      <w:r>
        <w:drawing>
          <wp:inline xmlns:a="http://schemas.openxmlformats.org/drawingml/2006/main" xmlns:pic="http://schemas.openxmlformats.org/drawingml/2006/picture">
            <wp:extent cx="5760720" cy="2483069"/>
            <wp:docPr id="9" name="Picture 9"/>
            <wp:cNvGraphicFramePr>
              <a:graphicFrameLocks noChangeAspect="1"/>
            </wp:cNvGraphicFramePr>
            <a:graphic>
              <a:graphicData uri="http://schemas.openxmlformats.org/drawingml/2006/picture">
                <pic:pic>
                  <pic:nvPicPr>
                    <pic:cNvPr id="0" name="fig8_rolling_ic.png"/>
                    <pic:cNvPicPr/>
                  </pic:nvPicPr>
                  <pic:blipFill>
                    <a:blip r:embed="rId17"/>
                    <a:stretch>
                      <a:fillRect/>
                    </a:stretch>
                  </pic:blipFill>
                  <pic:spPr>
                    <a:xfrm>
                      <a:off x="0" y="0"/>
                      <a:ext cx="5760720" cy="2483069"/>
                    </a:xfrm>
                    <a:prstGeom prst="rect"/>
                  </pic:spPr>
                </pic:pic>
              </a:graphicData>
            </a:graphic>
          </wp:inline>
        </w:drawing>
      </w:r>
    </w:p>
    <w:p>
      <w:r>
        <w:rPr>
          <w:color w:val="605D54"/>
          <w:sz w:val="18"/>
        </w:rPr>
        <w:t>Figure 8 — 63-day rolling mean of the daily cross-sectional IC of the combined signals (fitted on DEV only). All three books — including the formulaic library, which was never fitted to this panel — collapse simultaneously at the 2021 TEST boundary: the cross-sectional factor regime in the Nasdaq-100 itself changed (mega-cap concentration), so the DEV→TEST drop is not pure overfitting. The Opus signal stays above zero most often out of sample; the library turns clearly negative in 2025–26.</w:t>
      </w:r>
    </w:p>
    <w:p>
      <w:pPr>
        <w:pStyle w:val="Heading1"/>
      </w:pPr>
      <w:r>
        <w:t>8. Conclusions</w:t>
      </w:r>
    </w:p>
    <w:p>
      <w:pPr>
        <w:pStyle w:val="ListBullet"/>
      </w:pPr>
      <w:r>
        <w:rPr>
          <w:b/>
        </w:rPr>
        <w:t xml:space="preserve">Per-factor quality: Opus. </w:t>
      </w:r>
      <w:r>
        <w:t>Individually stronger and more stable factors (mean |TEST IC| 0.018 vs. 0.011), the best standalone generalisation of the combined book (TEST 0.045), and the highest effective-dimension efficiency — at 5× the cost ($452 vs. $87) and with only 18 factors.</w:t>
      </w:r>
    </w:p>
    <w:p>
      <w:pPr>
        <w:pStyle w:val="ListBullet"/>
      </w:pPr>
      <w:r>
        <w:rPr>
          <w:b/>
        </w:rPr>
        <w:t xml:space="preserve">Breadth and marginal value: Terra. </w:t>
      </w:r>
      <w:r>
        <w:t>More factors, more genuine novelty, the largest diversity gain to the pooled book, and the best FORWARD results appear only in combination (Terra + 101: 0.041) — exactly the selection objective of the L4 configuration.</w:t>
      </w:r>
    </w:p>
    <w:p>
      <w:pPr>
        <w:pStyle w:val="ListBullet"/>
      </w:pPr>
      <w:r>
        <w:rPr>
          <w:b/>
        </w:rPr>
        <w:t xml:space="preserve">Near-orthogonal books. </w:t>
      </w:r>
      <w:r>
        <w:t>Mean cross-correlation of 0.056 between the two books; combining them (with or without the formulaic library) is the natural next step and already outperforms either book alone on TEST.</w:t>
      </w:r>
    </w:p>
    <w:p>
      <w:pPr>
        <w:pStyle w:val="ListBullet"/>
      </w:pPr>
      <w:r>
        <w:rPr>
          <w:b/>
        </w:rPr>
        <w:t xml:space="preserve">The DEV→TEST gap is a model artefact, not factor overfitting. </w:t>
      </w:r>
      <w:r>
        <w:t>Per-factor ICs hold or improve out of sample while only the fitted combination collapses; in-sample combined ICs should never be quoted as evidence of book quality.</w:t>
      </w:r>
    </w:p>
    <w:p>
      <w:pPr>
        <w:pStyle w:val="ListBullet"/>
      </w:pPr>
      <w:r>
        <w:rPr>
          <w:b/>
        </w:rPr>
        <w:t xml:space="preserve">Attribution caveat. </w:t>
      </w:r>
      <w:r>
        <w:t>Model (GPT-5.6 vs. Opus 5) and configuration (L4 GraphRAG / 8 groups vs. L2 no-retrieval / 1 group) are confounded; a clean model comparison would require the never-run L4 Opus arm.</w:t>
      </w:r>
    </w:p>
    <w:p>
      <w:r>
        <w:rPr>
          <w:b w:val="0"/>
          <w:i w:val="0"/>
          <w:color w:val="605D54"/>
          <w:sz w:val="18"/>
        </w:rPr>
        <w:t>Reproduction: scripts/analyze_l4_factor_books.py → data/comparisons/l4_factor_analysis/ (CSVs, summary.json), figures: scripts/plot_l4_factor_books_en.py.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Factor-Level Analysis of Two LLM-Evolved Alpha Books</dc:title>
  <dc:subject/>
  <dc:creator>Luca Wuerker</dc:creator>
  <cp:keywords/>
  <dc:description/>
  <cp:lastModifiedBy>Luca Wuerker</cp:lastModifiedBy>
  <cp:revision>1</cp:revision>
  <dcterms:created xsi:type="dcterms:W3CDTF">2013-12-23T23:15:00Z</dcterms:created>
  <dcterms:modified xsi:type="dcterms:W3CDTF">2013-12-23T23:15:00Z</dcterms:modified>
  <cp:category/>
</cp:coreProperties>
</file>