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33475" cy="711200"/>
                  <wp:effectExtent b="0" l="0" r="0" t="0"/>
                  <wp:docPr descr="ifpe.jpg — IFPE Instituto Federal de Pernambuco" id="1" name="image1.jpg"/>
                  <a:graphic>
                    <a:graphicData uri="http://schemas.openxmlformats.org/drawingml/2006/picture">
                      <pic:pic>
                        <pic:nvPicPr>
                          <pic:cNvPr descr="ifpe.jpg — IFPE Instituto Federal de Pernambuco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TERMO DE ENCERRAMENTO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por objetivo registrar o encerramento do projeto.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Implantação do Geplanes Empresarial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26/08/2021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Araújo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Matheus Brant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Etapa do projeto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Fase de implantação do Geplanes Empresarial como ferramenta de gestão de planejamento na PRODIN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Motivo do Encerramento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Fim do cronograma previamente planejado com cliente parcialmente satisfeito.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Declaramos encerrad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a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a fase de implantação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do Ge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planes Empresarial 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e consideramos encerrados os compromissos entre as partes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, pois o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cronograma previamente planejado chegou à data final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Recife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,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28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de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agosto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de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2021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2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Marco Antonio Eugenio 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Instituto Federal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