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w:t>
      </w:r>
    </w:p>
    <w:p>
      <w:pPr>
        <w:spacing w:after="120" w:before="0"/>
        <w:jc w:val="center"/>
      </w:pPr>
      <w:r>
        <w:rPr>
          <w:rFonts w:ascii="Arial" w:cs="Arial" w:eastAsia="Arial" w:hAnsi="Arial"/>
          <w:b/>
          <w:bCs/>
          <w:color w:val="E8472A"/>
          <w:sz w:val="120"/>
          <w:szCs w:val="120"/>
        </w:rPr>
        <w:t xml:space="preserve">FORGE</w:t>
      </w:r>
    </w:p>
    <w:p>
      <w:pPr>
        <w:spacing w:after="240" w:before="0"/>
        <w:jc w:val="center"/>
      </w:pPr>
      <w:r>
        <w:rPr>
          <w:rFonts w:ascii="Arial" w:cs="Arial" w:eastAsia="Arial" w:hAnsi="Arial"/>
          <w:i/>
          <w:iCs/>
          <w:color w:val="4A5368"/>
          <w:sz w:val="32"/>
          <w:szCs w:val="32"/>
        </w:rPr>
        <w:t xml:space="preserve">The Autonomous Compute Exchange</w:t>
      </w:r>
    </w:p>
    <w:p>
      <w:pPr>
        <w:spacing w:after="80" w:before="0"/>
        <w:jc w:val="center"/>
      </w:pPr>
      <w:r>
        <w:rPr>
          <w:rFonts w:ascii="Arial" w:cs="Arial" w:eastAsia="Arial" w:hAnsi="Arial"/>
          <w:b/>
          <w:bCs/>
          <w:color w:val="1A1D23"/>
          <w:sz w:val="32"/>
          <w:szCs w:val="32"/>
        </w:rPr>
        <w:t xml:space="preserve">Full Product Requirements Document</w:t>
      </w:r>
    </w:p>
    <w:p>
      <w:pPr>
        <w:spacing w:after="80" w:before="0"/>
        <w:jc w:val="center"/>
      </w:pPr>
      <w:r>
        <w:rPr>
          <w:rFonts w:ascii="Arial" w:cs="Arial" w:eastAsia="Arial" w:hAnsi="Arial"/>
          <w:color w:val="1A5FAD"/>
          <w:sz w:val="24"/>
          <w:szCs w:val="24"/>
        </w:rPr>
        <w:t xml:space="preserve">Layers 1 through 6  —  Conceptual + Technical PRD</w:t>
      </w:r>
    </w:p>
    <w:p>
      <w:pPr>
        <w:spacing w:after="480" w:before="0"/>
        <w:jc w:val="center"/>
      </w:pPr>
      <w:r>
        <w:rPr>
          <w:rFonts w:ascii="Arial" w:cs="Arial" w:eastAsia="Arial" w:hAnsi="Arial"/>
          <w:color w:val="8B96AA"/>
          <w:sz w:val="22"/>
          <w:szCs w:val="22"/>
        </w:rPr>
        <w:t xml:space="preserve">Version 0.1  —  May 2026</w:t>
      </w:r>
    </w:p>
    <w:p>
      <w:pPr>
        <w:spacing w:after="40" w:before="40"/>
      </w:pPr>
      <w:r>
        <w:rPr>
          <w:rFonts w:ascii="Arial" w:cs="Arial" w:eastAsia="Arial" w:hAnsi="Arial"/>
          <w:sz w:val="22"/>
          <w:szCs w:val="22"/>
        </w:rPr>
        <w:t xml:space="preserve"> </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E8472A" w:val="clear"/>
            <w:tcMar>
              <w:top w:type="dxa" w:w="120"/>
              <w:left w:type="dxa" w:w="80"/>
              <w:bottom w:type="dxa" w:w="120"/>
              <w:right w:type="dxa" w:w="80"/>
            </w:tcMar>
          </w:tcPr>
          <w:p>
            <w:pPr>
              <w:spacing w:after="40" w:before="0"/>
              <w:jc w:val="center"/>
            </w:pPr>
            <w:r>
              <w:rPr>
                <w:rFonts w:ascii="Arial" w:cs="Arial" w:eastAsia="Arial" w:hAnsi="Arial"/>
                <w:b/>
                <w:bCs/>
                <w:color w:val="FFFFFF"/>
                <w:sz w:val="16"/>
                <w:szCs w:val="16"/>
              </w:rPr>
              <w:t xml:space="preserve">Layer 1</w:t>
            </w:r>
          </w:p>
          <w:p>
            <w:pPr>
              <w:spacing w:after="0" w:before="0"/>
              <w:jc w:val="center"/>
            </w:pPr>
            <w:r>
              <w:rPr>
                <w:rFonts w:ascii="Arial" w:cs="Arial" w:eastAsia="Arial" w:hAnsi="Arial"/>
                <w:color w:val="FFFFFF"/>
                <w:sz w:val="16"/>
                <w:szCs w:val="16"/>
              </w:rPr>
              <w:t xml:space="preserve">Hackathon</w:t>
            </w:r>
          </w:p>
        </w:tc>
        <w:tc>
          <w:tcPr>
            <w:tcW w:type="dxa" w:w="1560"/>
            <w:tcBorders>
              <w:top w:val="none" w:color="FFFFFF" w:sz="0"/>
              <w:left w:val="none" w:color="FFFFFF" w:sz="0"/>
              <w:bottom w:val="none" w:color="FFFFFF" w:sz="0"/>
              <w:right w:val="none" w:color="FFFFFF" w:sz="0"/>
            </w:tcBorders>
            <w:shd w:fill="1A5FAD" w:val="clear"/>
            <w:tcMar>
              <w:top w:type="dxa" w:w="120"/>
              <w:left w:type="dxa" w:w="80"/>
              <w:bottom w:type="dxa" w:w="120"/>
              <w:right w:type="dxa" w:w="80"/>
            </w:tcMar>
          </w:tcPr>
          <w:p>
            <w:pPr>
              <w:spacing w:after="40" w:before="0"/>
              <w:jc w:val="center"/>
            </w:pPr>
            <w:r>
              <w:rPr>
                <w:rFonts w:ascii="Arial" w:cs="Arial" w:eastAsia="Arial" w:hAnsi="Arial"/>
                <w:b/>
                <w:bCs/>
                <w:color w:val="FFFFFF"/>
                <w:sz w:val="16"/>
                <w:szCs w:val="16"/>
              </w:rPr>
              <w:t xml:space="preserve">Layer 2</w:t>
            </w:r>
          </w:p>
          <w:p>
            <w:pPr>
              <w:spacing w:after="0" w:before="0"/>
              <w:jc w:val="center"/>
            </w:pPr>
            <w:r>
              <w:rPr>
                <w:rFonts w:ascii="Arial" w:cs="Arial" w:eastAsia="Arial" w:hAnsi="Arial"/>
                <w:color w:val="FFFFFF"/>
                <w:sz w:val="16"/>
                <w:szCs w:val="16"/>
              </w:rPr>
              <w:t xml:space="preserve">Multi-Cloud</w:t>
            </w:r>
          </w:p>
        </w:tc>
        <w:tc>
          <w:tcPr>
            <w:tcW w:type="dxa" w:w="1560"/>
            <w:tcBorders>
              <w:top w:val="none" w:color="FFFFFF" w:sz="0"/>
              <w:left w:val="none" w:color="FFFFFF" w:sz="0"/>
              <w:bottom w:val="none" w:color="FFFFFF" w:sz="0"/>
              <w:right w:val="none" w:color="FFFFFF" w:sz="0"/>
            </w:tcBorders>
            <w:shd w:fill="1B7F4A" w:val="clear"/>
            <w:tcMar>
              <w:top w:type="dxa" w:w="120"/>
              <w:left w:type="dxa" w:w="80"/>
              <w:bottom w:type="dxa" w:w="120"/>
              <w:right w:type="dxa" w:w="80"/>
            </w:tcMar>
          </w:tcPr>
          <w:p>
            <w:pPr>
              <w:spacing w:after="40" w:before="0"/>
              <w:jc w:val="center"/>
            </w:pPr>
            <w:r>
              <w:rPr>
                <w:rFonts w:ascii="Arial" w:cs="Arial" w:eastAsia="Arial" w:hAnsi="Arial"/>
                <w:b/>
                <w:bCs/>
                <w:color w:val="FFFFFF"/>
                <w:sz w:val="16"/>
                <w:szCs w:val="16"/>
              </w:rPr>
              <w:t xml:space="preserve">Layer 3</w:t>
            </w:r>
          </w:p>
          <w:p>
            <w:pPr>
              <w:spacing w:after="0" w:before="0"/>
              <w:jc w:val="center"/>
            </w:pPr>
            <w:r>
              <w:rPr>
                <w:rFonts w:ascii="Arial" w:cs="Arial" w:eastAsia="Arial" w:hAnsi="Arial"/>
                <w:color w:val="FFFFFF"/>
                <w:sz w:val="16"/>
                <w:szCs w:val="16"/>
              </w:rPr>
              <w:t xml:space="preserve">Universal</w:t>
            </w:r>
          </w:p>
        </w:tc>
        <w:tc>
          <w:tcPr>
            <w:tcW w:type="dxa" w:w="1560"/>
            <w:tcBorders>
              <w:top w:val="none" w:color="FFFFFF" w:sz="0"/>
              <w:left w:val="none" w:color="FFFFFF" w:sz="0"/>
              <w:bottom w:val="none" w:color="FFFFFF" w:sz="0"/>
              <w:right w:val="none" w:color="FFFFFF" w:sz="0"/>
            </w:tcBorders>
            <w:shd w:fill="6B3FA0" w:val="clear"/>
            <w:tcMar>
              <w:top w:type="dxa" w:w="120"/>
              <w:left w:type="dxa" w:w="80"/>
              <w:bottom w:type="dxa" w:w="120"/>
              <w:right w:type="dxa" w:w="80"/>
            </w:tcMar>
          </w:tcPr>
          <w:p>
            <w:pPr>
              <w:spacing w:after="40" w:before="0"/>
              <w:jc w:val="center"/>
            </w:pPr>
            <w:r>
              <w:rPr>
                <w:rFonts w:ascii="Arial" w:cs="Arial" w:eastAsia="Arial" w:hAnsi="Arial"/>
                <w:b/>
                <w:bCs/>
                <w:color w:val="FFFFFF"/>
                <w:sz w:val="16"/>
                <w:szCs w:val="16"/>
              </w:rPr>
              <w:t xml:space="preserve">Layer 4</w:t>
            </w:r>
          </w:p>
          <w:p>
            <w:pPr>
              <w:spacing w:after="0" w:before="0"/>
              <w:jc w:val="center"/>
            </w:pPr>
            <w:r>
              <w:rPr>
                <w:rFonts w:ascii="Arial" w:cs="Arial" w:eastAsia="Arial" w:hAnsi="Arial"/>
                <w:color w:val="FFFFFF"/>
                <w:sz w:val="16"/>
                <w:szCs w:val="16"/>
              </w:rPr>
              <w:t xml:space="preserve">Intelligence</w:t>
            </w:r>
          </w:p>
        </w:tc>
        <w:tc>
          <w:tcPr>
            <w:tcW w:type="dxa" w:w="1560"/>
            <w:tcBorders>
              <w:top w:val="none" w:color="FFFFFF" w:sz="0"/>
              <w:left w:val="none" w:color="FFFFFF" w:sz="0"/>
              <w:bottom w:val="none" w:color="FFFFFF" w:sz="0"/>
              <w:right w:val="none" w:color="FFFFFF" w:sz="0"/>
            </w:tcBorders>
            <w:shd w:fill="0D7C6E" w:val="clear"/>
            <w:tcMar>
              <w:top w:type="dxa" w:w="120"/>
              <w:left w:type="dxa" w:w="80"/>
              <w:bottom w:type="dxa" w:w="120"/>
              <w:right w:type="dxa" w:w="80"/>
            </w:tcMar>
          </w:tcPr>
          <w:p>
            <w:pPr>
              <w:spacing w:after="40" w:before="0"/>
              <w:jc w:val="center"/>
            </w:pPr>
            <w:r>
              <w:rPr>
                <w:rFonts w:ascii="Arial" w:cs="Arial" w:eastAsia="Arial" w:hAnsi="Arial"/>
                <w:b/>
                <w:bCs/>
                <w:color w:val="FFFFFF"/>
                <w:sz w:val="16"/>
                <w:szCs w:val="16"/>
              </w:rPr>
              <w:t xml:space="preserve">Layer 5</w:t>
            </w:r>
          </w:p>
          <w:p>
            <w:pPr>
              <w:spacing w:after="0" w:before="0"/>
              <w:jc w:val="center"/>
            </w:pPr>
            <w:r>
              <w:rPr>
                <w:rFonts w:ascii="Arial" w:cs="Arial" w:eastAsia="Arial" w:hAnsi="Arial"/>
                <w:color w:val="FFFFFF"/>
                <w:sz w:val="16"/>
                <w:szCs w:val="16"/>
              </w:rPr>
              <w:t xml:space="preserve">Edge</w:t>
            </w:r>
          </w:p>
        </w:tc>
        <w:tc>
          <w:tcPr>
            <w:tcW w:type="dxa" w:w="1560"/>
            <w:tcBorders>
              <w:top w:val="none" w:color="FFFFFF" w:sz="0"/>
              <w:left w:val="none" w:color="FFFFFF" w:sz="0"/>
              <w:bottom w:val="none" w:color="FFFFFF" w:sz="0"/>
              <w:right w:val="none" w:color="FFFFFF" w:sz="0"/>
            </w:tcBorders>
            <w:shd w:fill="C45B00" w:val="clear"/>
            <w:tcMar>
              <w:top w:type="dxa" w:w="120"/>
              <w:left w:type="dxa" w:w="80"/>
              <w:bottom w:type="dxa" w:w="120"/>
              <w:right w:type="dxa" w:w="80"/>
            </w:tcMar>
          </w:tcPr>
          <w:p>
            <w:pPr>
              <w:spacing w:after="40" w:before="0"/>
              <w:jc w:val="center"/>
            </w:pPr>
            <w:r>
              <w:rPr>
                <w:rFonts w:ascii="Arial" w:cs="Arial" w:eastAsia="Arial" w:hAnsi="Arial"/>
                <w:b/>
                <w:bCs/>
                <w:color w:val="FFFFFF"/>
                <w:sz w:val="16"/>
                <w:szCs w:val="16"/>
              </w:rPr>
              <w:t xml:space="preserve">Layer 6</w:t>
            </w:r>
          </w:p>
          <w:p>
            <w:pPr>
              <w:spacing w:after="0" w:before="0"/>
              <w:jc w:val="center"/>
            </w:pPr>
            <w:r>
              <w:rPr>
                <w:rFonts w:ascii="Arial" w:cs="Arial" w:eastAsia="Arial" w:hAnsi="Arial"/>
                <w:color w:val="FFFFFF"/>
                <w:sz w:val="16"/>
                <w:szCs w:val="16"/>
              </w:rPr>
              <w:t xml:space="preserve">Ecosystem</w:t>
            </w:r>
          </w:p>
        </w:tc>
      </w:tr>
    </w:tbl>
    <w:p>
      <w:r>
        <w:br w:type="page"/>
      </w:r>
    </w:p>
    <w:p>
      <w:pPr>
        <w:pStyle w:val="Heading1"/>
        <w:pBdr>
          <w:bottom w:val="single" w:color="1A1D23" w:sz="6" w:space="4"/>
        </w:pBdr>
        <w:spacing w:after="160" w:before="480"/>
      </w:pPr>
      <w:r>
        <w:rPr>
          <w:rFonts w:ascii="Arial" w:cs="Arial" w:eastAsia="Arial" w:hAnsi="Arial"/>
          <w:b/>
          <w:bCs/>
          <w:color w:val="1A1D23"/>
          <w:sz w:val="36"/>
          <w:szCs w:val="36"/>
        </w:rPr>
        <w:t xml:space="preserve">FORGE — Full 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57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Name &amp; Scope</w:t>
            </w:r>
          </w:p>
        </w:tc>
        <w:tc>
          <w:tcPr>
            <w:tcW w:type="dxa" w:w="24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Layer 1</w:t>
            </w:r>
          </w:p>
        </w:tc>
        <w:tc>
          <w:tcPr>
            <w:tcW w:type="dxa" w:w="5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Hackathon Build — AMD only, 3 agents, X402, live dashboard</w:t>
            </w:r>
          </w:p>
        </w:tc>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May 11–19 2026</w:t>
            </w:r>
          </w:p>
        </w:tc>
      </w:tr>
      <w:tr>
        <w:tc>
          <w:tcPr>
            <w:tcW w:type="dxa" w:w="1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Layer 2</w:t>
            </w:r>
          </w:p>
        </w:tc>
        <w:tc>
          <w:tcPr>
            <w:tcW w:type="dxa" w:w="5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Multi-Cloud GPU Exchange — AMD, Lambda, CoreWeave, RunPod, AWS, GCP</w:t>
            </w:r>
          </w:p>
        </w:tc>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Month 3–6</w:t>
            </w:r>
          </w:p>
        </w:tc>
      </w:tr>
      <w:tr>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Layer 3</w:t>
            </w:r>
          </w:p>
        </w:tc>
        <w:tc>
          <w:tcPr>
            <w:tcW w:type="dxa" w:w="5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Universal Compute Exchange — CPU, RAM, NVMe, TPU, Apple Silicon, CC</w:t>
            </w:r>
          </w:p>
        </w:tc>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Month 6–12</w:t>
            </w:r>
          </w:p>
        </w:tc>
      </w:tr>
      <w:tr>
        <w:tc>
          <w:tcPr>
            <w:tcW w:type="dxa" w:w="1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Layer 4</w:t>
            </w:r>
          </w:p>
        </w:tc>
        <w:tc>
          <w:tcPr>
            <w:tcW w:type="dxa" w:w="5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Predictive Intelligence — Pricing engine, fingerprinting, anomaly detection</w:t>
            </w:r>
          </w:p>
        </w:tc>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Month 12–18</w:t>
            </w:r>
          </w:p>
        </w:tc>
      </w:tr>
      <w:tr>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Layer 5</w:t>
            </w:r>
          </w:p>
        </w:tc>
        <w:tc>
          <w:tcPr>
            <w:tcW w:type="dxa" w:w="5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Edge &amp; On-Premise — Enterprise clusters, university HPC, personal GPU pools</w:t>
            </w:r>
          </w:p>
        </w:tc>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Month 18–24</w:t>
            </w:r>
          </w:p>
        </w:tc>
      </w:tr>
      <w:tr>
        <w:tc>
          <w:tcPr>
            <w:tcW w:type="dxa" w:w="1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Layer 6</w:t>
            </w:r>
          </w:p>
        </w:tc>
        <w:tc>
          <w:tcPr>
            <w:tcW w:type="dxa" w:w="5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Ecosystem &amp; Financial Instruments — Futures, Intelligence API, CI/CD, partnerships</w:t>
            </w:r>
          </w:p>
        </w:tc>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Year 2+</w:t>
            </w:r>
          </w:p>
        </w:tc>
      </w:tr>
    </w:tbl>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D" w:sz="1"/>
              <w:left w:val="single" w:color="1A5FAD" w:sz="12"/>
              <w:bottom w:val="single" w:color="1A5FAD" w:sz="1"/>
              <w:right w:val="single" w:color="1A5FAD" w:sz="1"/>
            </w:tcBorders>
            <w:shd w:fill="D5E8F8" w:val="clear"/>
            <w:tcMar>
              <w:top w:type="dxa" w:w="120"/>
              <w:left w:type="dxa" w:w="200"/>
              <w:bottom w:type="dxa" w:w="120"/>
              <w:right w:type="dxa" w:w="200"/>
            </w:tcMar>
          </w:tcPr>
          <w:p>
            <w:pPr>
              <w:spacing w:after="60" w:before="0"/>
            </w:pPr>
            <w:r>
              <w:rPr>
                <w:rFonts w:ascii="Arial" w:cs="Arial" w:eastAsia="Arial" w:hAnsi="Arial"/>
                <w:b/>
                <w:bCs/>
                <w:color w:val="1A5FAD"/>
                <w:sz w:val="18"/>
                <w:szCs w:val="18"/>
              </w:rPr>
              <w:t xml:space="preserve">The Architecture Principle Across All Layers</w:t>
            </w:r>
          </w:p>
          <w:p>
            <w:pPr>
              <w:spacing w:after="0" w:before="0"/>
            </w:pPr>
            <w:r>
              <w:rPr>
                <w:rFonts w:ascii="Arial" w:cs="Arial" w:eastAsia="Arial" w:hAnsi="Arial"/>
                <w:color w:val="1A1D23"/>
                <w:sz w:val="20"/>
                <w:szCs w:val="20"/>
              </w:rPr>
              <w:t xml:space="preserve">Every architectural decision in Layer 1 is designed to make subsequent layers extensions, not rewrites. The provider interface is generic from day one. The agent logic is provider-agnostic. The X402 settlement layer is infrastructure, not a feature. Each layer adds surface area; the core mechanism does not change.</w:t>
            </w:r>
          </w:p>
        </w:tc>
      </w:tr>
    </w:tbl>
    <w:p>
      <w:r>
        <w:br w:type="page"/>
      </w:r>
    </w:p>
    <w:p>
      <w:pPr>
        <w:shd w:fill="E8472A" w:val="clear"/>
        <w:spacing w:after="0" w:before="160"/>
        <w:jc w:val="center"/>
      </w:pPr>
      <w:r>
        <w:rPr>
          <w:rFonts w:ascii="Arial" w:cs="Arial" w:eastAsia="Arial" w:hAnsi="Arial"/>
          <w:b/>
          <w:bCs/>
          <w:color w:val="FFFFFF"/>
          <w:sz w:val="18"/>
          <w:szCs w:val="18"/>
        </w:rPr>
        <w:t xml:space="preserve">LAYER 1</w:t>
      </w:r>
    </w:p>
    <w:p>
      <w:pPr>
        <w:shd w:fill="E8472A" w:val="clear"/>
        <w:spacing w:after="0" w:before="0"/>
        <w:jc w:val="center"/>
      </w:pPr>
      <w:r>
        <w:rPr>
          <w:rFonts w:ascii="Arial" w:cs="Arial" w:eastAsia="Arial" w:hAnsi="Arial"/>
          <w:b/>
          <w:bCs/>
          <w:color w:val="FFFFFF"/>
          <w:sz w:val="44"/>
          <w:szCs w:val="44"/>
        </w:rPr>
        <w:t xml:space="preserve">Hackathon Build</w:t>
      </w:r>
    </w:p>
    <w:p>
      <w:pPr>
        <w:shd w:fill="E8472A" w:val="clear"/>
        <w:spacing w:after="240" w:before="0"/>
        <w:jc w:val="center"/>
      </w:pPr>
      <w:r>
        <w:rPr>
          <w:rFonts w:ascii="Arial" w:cs="Arial" w:eastAsia="Arial" w:hAnsi="Arial"/>
          <w:i/>
          <w:iCs/>
          <w:color w:val="FFFFFF"/>
          <w:sz w:val="22"/>
          <w:szCs w:val="22"/>
        </w:rPr>
        <w:t xml:space="preserve">AMD Developer Cloud · May 11–19 2026 · Proof of Concept</w:t>
      </w:r>
    </w:p>
    <w:p>
      <w:pPr>
        <w:shd w:fill="E8472A" w:val="clear"/>
        <w:spacing w:after="240" w:before="240"/>
        <w:jc w:val="center"/>
      </w:pPr>
      <w:r>
        <w:rPr>
          <w:rFonts w:ascii="Arial" w:cs="Arial" w:eastAsia="Arial" w:hAnsi="Arial"/>
          <w:b/>
          <w:bCs/>
          <w:color w:val="FFFFFF"/>
          <w:sz w:val="32"/>
          <w:szCs w:val="32"/>
        </w:rPr>
        <w:t xml:space="preserve">PART 1A  —  Conceptual PRD — Layer 1</w:t>
      </w:r>
    </w:p>
    <w:p>
      <w:pPr>
        <w:pStyle w:val="Heading1"/>
        <w:pBdr>
          <w:bottom w:val="single" w:color="E8472A" w:sz="6" w:space="4"/>
        </w:pBdr>
        <w:spacing w:after="160" w:before="480"/>
      </w:pPr>
      <w:r>
        <w:rPr>
          <w:rFonts w:ascii="Arial" w:cs="Arial" w:eastAsia="Arial" w:hAnsi="Arial"/>
          <w:b/>
          <w:bCs/>
          <w:color w:val="E8472A"/>
          <w:sz w:val="36"/>
          <w:szCs w:val="36"/>
        </w:rPr>
        <w:t xml:space="preserve">Overview</w:t>
      </w:r>
    </w:p>
    <w:p>
      <w:pPr>
        <w:spacing w:after="60" w:before="60"/>
      </w:pPr>
      <w:r>
        <w:rPr>
          <w:rFonts w:ascii="Arial" w:cs="Arial" w:eastAsia="Arial" w:hAnsi="Arial"/>
          <w:color w:val="1A1D23"/>
          <w:sz w:val="22"/>
          <w:szCs w:val="22"/>
        </w:rPr>
        <w:t xml:space="preserve">Layer 1 is the proof of concept: a working autonomous compute exchange running on AMD Developer Cloud, demonstrating the core loop of the entire FORGE platform. Three agents — Watcher, Strategist, Executor — autonomously match jobs, batch compatible workloads, and settle every transaction via X402 in real time. The demo proves the mechanism. Everything else is extension.</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72A" w:sz="1"/>
              <w:left w:val="single" w:color="E8472A" w:sz="12"/>
              <w:bottom w:val="single" w:color="E8472A" w:sz="1"/>
              <w:right w:val="single" w:color="E8472A" w:sz="1"/>
            </w:tcBorders>
            <w:shd w:fill="FDECEA" w:val="clear"/>
            <w:tcMar>
              <w:top w:type="dxa" w:w="120"/>
              <w:left w:type="dxa" w:w="200"/>
              <w:bottom w:type="dxa" w:w="120"/>
              <w:right w:type="dxa" w:w="200"/>
            </w:tcMar>
          </w:tcPr>
          <w:p>
            <w:pPr>
              <w:spacing w:after="60" w:before="0"/>
            </w:pPr>
            <w:r>
              <w:rPr>
                <w:rFonts w:ascii="Arial" w:cs="Arial" w:eastAsia="Arial" w:hAnsi="Arial"/>
                <w:b/>
                <w:bCs/>
                <w:color w:val="E8472A"/>
                <w:sz w:val="18"/>
                <w:szCs w:val="18"/>
              </w:rPr>
              <w:t xml:space="preserve">The Demo Moment</w:t>
            </w:r>
          </w:p>
          <w:p>
            <w:pPr>
              <w:spacing w:after="0" w:before="0"/>
            </w:pPr>
            <w:r>
              <w:rPr>
                <w:rFonts w:ascii="Arial" w:cs="Arial" w:eastAsia="Arial" w:hAnsi="Arial"/>
                <w:color w:val="1A1D23"/>
                <w:sz w:val="20"/>
                <w:szCs w:val="20"/>
              </w:rPr>
              <w:t xml:space="preserve">Three users, one AMD instance, everyone pays less than they would alone. X402 receipts appear in real time. A savings counter ticks up. The Renter earns credits on idle capacity. This 90-second sequence is the entire business model made visible.</w:t>
            </w:r>
          </w:p>
        </w:tc>
      </w:tr>
    </w:tbl>
    <w:p>
      <w:pPr>
        <w:spacing w:after="40" w:before="40"/>
      </w:pPr>
      <w:r>
        <w:rPr>
          <w:rFonts w:ascii="Arial" w:cs="Arial" w:eastAsia="Arial" w:hAnsi="Arial"/>
          <w:sz w:val="22"/>
          <w:szCs w:val="22"/>
        </w:rPr>
        <w:t xml:space="preserve"> </w:t>
      </w:r>
    </w:p>
    <w:p>
      <w:pPr>
        <w:pStyle w:val="Heading1"/>
        <w:pBdr>
          <w:bottom w:val="single" w:color="E8472A" w:sz="6" w:space="4"/>
        </w:pBdr>
        <w:spacing w:after="160" w:before="480"/>
      </w:pPr>
      <w:r>
        <w:rPr>
          <w:rFonts w:ascii="Arial" w:cs="Arial" w:eastAsia="Arial" w:hAnsi="Arial"/>
          <w:b/>
          <w:bCs/>
          <w:color w:val="E8472A"/>
          <w:sz w:val="36"/>
          <w:szCs w:val="36"/>
        </w:rPr>
        <w:t xml:space="preserve">Problem &amp; Solution</w:t>
      </w:r>
    </w:p>
    <w:p>
      <w:pPr>
        <w:pStyle w:val="Heading2"/>
        <w:spacing w:after="120" w:before="320"/>
      </w:pPr>
      <w:r>
        <w:rPr>
          <w:rFonts w:ascii="Arial" w:cs="Arial" w:eastAsia="Arial" w:hAnsi="Arial"/>
          <w:b/>
          <w:bCs/>
          <w:color w:val="1A5FAD"/>
          <w:sz w:val="28"/>
          <w:szCs w:val="28"/>
        </w:rPr>
        <w:t xml:space="preserve">The Cost Problem</w:t>
      </w:r>
    </w:p>
    <w:p>
      <w:pPr>
        <w:spacing w:after="60" w:before="60"/>
      </w:pPr>
      <w:r>
        <w:rPr>
          <w:rFonts w:ascii="Arial" w:cs="Arial" w:eastAsia="Arial" w:hAnsi="Arial"/>
          <w:color w:val="1A1D23"/>
          <w:sz w:val="22"/>
          <w:szCs w:val="22"/>
        </w:rPr>
        <w:t xml:space="preserve">AI compute is priced per hour but most workloads run for minutes. Spot pricing fluctuates 20–40% within a two-hour window. Individual users have no visibility into this before launching a job and no mechanism to share instance costs with compatible neighbours.</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Pain Point</w:t>
            </w:r>
          </w:p>
        </w:tc>
        <w:tc>
          <w:tcPr>
            <w:tcW w:type="dxa" w:w="61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Jobs run at peak spot pricing</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Users overpay 20–40% vs. optimal window</w:t>
            </w:r>
          </w:p>
        </w:tc>
      </w:tr>
      <w:tr>
        <w:tc>
          <w:tcPr>
            <w:tcW w:type="dxa" w:w="3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No cross-user job batching</w:t>
            </w:r>
          </w:p>
        </w:tc>
        <w:tc>
          <w:tcPr>
            <w:tcW w:type="dxa" w:w="6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Each user pays full instance cost alone</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Idle instances earn nothing</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Renters pay for standby time passively</w:t>
            </w:r>
          </w:p>
        </w:tc>
      </w:tr>
      <w:tr>
        <w:tc>
          <w:tcPr>
            <w:tcW w:type="dxa" w:w="3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No real-time cost visibility</w:t>
            </w:r>
          </w:p>
        </w:tc>
        <w:tc>
          <w:tcPr>
            <w:tcW w:type="dxa" w:w="6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No feedback loop to change behaviour</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Payment is session-based</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No per-job audit trail or micropayment receipt</w:t>
            </w:r>
          </w:p>
        </w:tc>
      </w:tr>
    </w:tbl>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Layer 1 Solution</w:t>
      </w:r>
    </w:p>
    <w:p>
      <w:pPr>
        <w:spacing w:after="60" w:before="60"/>
      </w:pPr>
      <w:r>
        <w:rPr>
          <w:rFonts w:ascii="Arial" w:cs="Arial" w:eastAsia="Arial" w:hAnsi="Arial"/>
          <w:color w:val="1A1D23"/>
          <w:sz w:val="22"/>
          <w:szCs w:val="22"/>
        </w:rPr>
        <w:t xml:space="preserve">An agentic pipeline that monitors AMD pricing in real time (Watcher), decides when and how to batch or time jobs (Strategist), executes on AMD hardware and settles payment per job via X402 (Executor). The result is surfaced in a live dashboard showing receipts, savings, and agent reasoning.</w:t>
      </w:r>
    </w:p>
    <w:p>
      <w:pPr>
        <w:spacing w:after="40" w:before="40"/>
      </w:pPr>
      <w:r>
        <w:rPr>
          <w:rFonts w:ascii="Arial" w:cs="Arial" w:eastAsia="Arial" w:hAnsi="Arial"/>
          <w:sz w:val="22"/>
          <w:szCs w:val="22"/>
        </w:rPr>
        <w:t xml:space="preserve"> </w:t>
      </w:r>
    </w:p>
    <w:p>
      <w:pPr>
        <w:pStyle w:val="Heading1"/>
        <w:pBdr>
          <w:bottom w:val="single" w:color="E8472A" w:sz="6" w:space="4"/>
        </w:pBdr>
        <w:spacing w:after="160" w:before="480"/>
      </w:pPr>
      <w:r>
        <w:rPr>
          <w:rFonts w:ascii="Arial" w:cs="Arial" w:eastAsia="Arial" w:hAnsi="Arial"/>
          <w:b/>
          <w:bCs/>
          <w:color w:val="E8472A"/>
          <w:sz w:val="36"/>
          <w:szCs w:val="36"/>
        </w:rPr>
        <w:t xml:space="preserve">User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Archetype</w:t>
            </w:r>
          </w:p>
        </w:tc>
        <w:tc>
          <w:tcPr>
            <w:tcW w:type="dxa" w:w="388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Profile</w:t>
            </w:r>
          </w:p>
        </w:tc>
        <w:tc>
          <w:tcPr>
            <w:tcW w:type="dxa" w:w="388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Value Proposition</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Renter</w:t>
            </w:r>
          </w:p>
        </w:tc>
        <w:tc>
          <w:tcPr>
            <w:tcW w:type="dxa" w:w="38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Has a running AMD instance with idle capacity</w:t>
            </w:r>
          </w:p>
        </w:tc>
        <w:tc>
          <w:tcPr>
            <w:tcW w:type="dxa" w:w="38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Earn compute credits passively when FORGE sub-leases idle capacity to other jobs</w:t>
            </w:r>
          </w:p>
        </w:tc>
      </w:tr>
      <w:tr>
        <w:tc>
          <w:tcPr>
            <w:tcW w:type="dxa" w:w="1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Batcher</w:t>
            </w:r>
          </w:p>
        </w:tc>
        <w:tc>
          <w:tcPr>
            <w:tcW w:type="dxa" w:w="38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Has an AI job, flexible on timing (±2h window)</w:t>
            </w:r>
          </w:p>
        </w:tc>
        <w:tc>
          <w:tcPr>
            <w:tcW w:type="dxa" w:w="38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Pay a proportional share of instance cost by sharing with compatible jobs</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Solo</w:t>
            </w:r>
          </w:p>
        </w:tc>
        <w:tc>
          <w:tcPr>
            <w:tcW w:type="dxa" w:w="38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Has an AI job, needs it to run now</w:t>
            </w:r>
          </w:p>
        </w:tc>
        <w:tc>
          <w:tcPr>
            <w:tcW w:type="dxa" w:w="38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Run immediately at spot rate; optional Watcher savings mode for non-urgent jobs</w:t>
            </w:r>
          </w:p>
        </w:tc>
      </w:tr>
    </w:tbl>
    <w:p>
      <w:pPr>
        <w:spacing w:after="40" w:before="40"/>
      </w:pPr>
      <w:r>
        <w:rPr>
          <w:rFonts w:ascii="Arial" w:cs="Arial" w:eastAsia="Arial" w:hAnsi="Arial"/>
          <w:sz w:val="22"/>
          <w:szCs w:val="22"/>
        </w:rPr>
        <w:t xml:space="preserve"> </w:t>
      </w:r>
    </w:p>
    <w:p>
      <w:pPr>
        <w:pStyle w:val="Heading1"/>
        <w:pBdr>
          <w:bottom w:val="single" w:color="E8472A" w:sz="6" w:space="4"/>
        </w:pBdr>
        <w:spacing w:after="160" w:before="480"/>
      </w:pPr>
      <w:r>
        <w:rPr>
          <w:rFonts w:ascii="Arial" w:cs="Arial" w:eastAsia="Arial" w:hAnsi="Arial"/>
          <w:b/>
          <w:bCs/>
          <w:color w:val="E8472A"/>
          <w:sz w:val="36"/>
          <w:szCs w:val="36"/>
        </w:rPr>
        <w:t xml:space="preserve">User Stories</w:t>
      </w:r>
    </w:p>
    <w:p>
      <w:pPr>
        <w:pStyle w:val="Heading2"/>
        <w:spacing w:after="120" w:before="320"/>
      </w:pPr>
      <w:r>
        <w:rPr>
          <w:rFonts w:ascii="Arial" w:cs="Arial" w:eastAsia="Arial" w:hAnsi="Arial"/>
          <w:b/>
          <w:bCs/>
          <w:color w:val="1A5FAD"/>
          <w:sz w:val="28"/>
          <w:szCs w:val="28"/>
        </w:rPr>
        <w:t xml:space="preserve">Renter</w:t>
      </w:r>
    </w:p>
    <w:p>
      <w:pPr>
        <w:pStyle w:val="ListParagraph"/>
        <w:numPr>
          <w:ilvl w:val="0"/>
          <w:numId w:val="2"/>
        </w:numPr>
        <w:spacing w:after="40" w:before="40"/>
      </w:pPr>
      <w:r>
        <w:rPr>
          <w:rFonts w:ascii="Arial" w:cs="Arial" w:eastAsia="Arial" w:hAnsi="Arial"/>
          <w:color w:val="1A1D23"/>
          <w:sz w:val="22"/>
          <w:szCs w:val="22"/>
        </w:rPr>
        <w:t xml:space="preserve">As a Renter, I want FORGE to detect idle capacity after 15 minutes and automatically offer it to pending jobs, so I earn credits without manual action.</w:t>
      </w:r>
    </w:p>
    <w:p>
      <w:pPr>
        <w:pStyle w:val="ListParagraph"/>
        <w:numPr>
          <w:ilvl w:val="0"/>
          <w:numId w:val="2"/>
        </w:numPr>
        <w:spacing w:after="40" w:before="40"/>
      </w:pPr>
      <w:r>
        <w:rPr>
          <w:rFonts w:ascii="Arial" w:cs="Arial" w:eastAsia="Arial" w:hAnsi="Arial"/>
          <w:color w:val="1A1D23"/>
          <w:sz w:val="22"/>
          <w:szCs w:val="22"/>
        </w:rPr>
        <w:t xml:space="preserve">As a Renter, I want a kill-switch to instantly reclaim my instance at any time.</w:t>
      </w:r>
    </w:p>
    <w:p>
      <w:pPr>
        <w:pStyle w:val="ListParagraph"/>
        <w:numPr>
          <w:ilvl w:val="0"/>
          <w:numId w:val="2"/>
        </w:numPr>
        <w:spacing w:after="40" w:before="40"/>
      </w:pPr>
      <w:r>
        <w:rPr>
          <w:rFonts w:ascii="Arial" w:cs="Arial" w:eastAsia="Arial" w:hAnsi="Arial"/>
          <w:color w:val="1A1D23"/>
          <w:sz w:val="22"/>
          <w:szCs w:val="22"/>
        </w:rPr>
        <w:t xml:space="preserve">As a Renter, I want a real-time credit balance showing every earning event.</w:t>
      </w:r>
    </w:p>
    <w:p>
      <w:pPr>
        <w:pStyle w:val="Heading2"/>
        <w:spacing w:after="120" w:before="320"/>
      </w:pPr>
      <w:r>
        <w:rPr>
          <w:rFonts w:ascii="Arial" w:cs="Arial" w:eastAsia="Arial" w:hAnsi="Arial"/>
          <w:b/>
          <w:bCs/>
          <w:color w:val="1A5FAD"/>
          <w:sz w:val="28"/>
          <w:szCs w:val="28"/>
        </w:rPr>
        <w:t xml:space="preserve">Batcher</w:t>
      </w:r>
    </w:p>
    <w:p>
      <w:pPr>
        <w:pStyle w:val="ListParagraph"/>
        <w:numPr>
          <w:ilvl w:val="0"/>
          <w:numId w:val="2"/>
        </w:numPr>
        <w:spacing w:after="40" w:before="40"/>
      </w:pPr>
      <w:r>
        <w:rPr>
          <w:rFonts w:ascii="Arial" w:cs="Arial" w:eastAsia="Arial" w:hAnsi="Arial"/>
          <w:color w:val="1A1D23"/>
          <w:sz w:val="22"/>
          <w:szCs w:val="22"/>
        </w:rPr>
        <w:t xml:space="preserve">As a Batcher, I want FORGE to group my job with compatible jobs so I pay a split cost rather than full rate.</w:t>
      </w:r>
    </w:p>
    <w:p>
      <w:pPr>
        <w:pStyle w:val="ListParagraph"/>
        <w:numPr>
          <w:ilvl w:val="0"/>
          <w:numId w:val="2"/>
        </w:numPr>
        <w:spacing w:after="40" w:before="40"/>
      </w:pPr>
      <w:r>
        <w:rPr>
          <w:rFonts w:ascii="Arial" w:cs="Arial" w:eastAsia="Arial" w:hAnsi="Arial"/>
          <w:color w:val="1A1D23"/>
          <w:sz w:val="22"/>
          <w:szCs w:val="22"/>
        </w:rPr>
        <w:t xml:space="preserve">As a Batcher, I want to specify a deadline window so FORGE can wait for a batch opportunity without making me wait indefinitely.</w:t>
      </w:r>
    </w:p>
    <w:p>
      <w:pPr>
        <w:pStyle w:val="ListParagraph"/>
        <w:numPr>
          <w:ilvl w:val="0"/>
          <w:numId w:val="2"/>
        </w:numPr>
        <w:spacing w:after="40" w:before="40"/>
      </w:pPr>
      <w:r>
        <w:rPr>
          <w:rFonts w:ascii="Arial" w:cs="Arial" w:eastAsia="Arial" w:hAnsi="Arial"/>
          <w:color w:val="1A1D23"/>
          <w:sz w:val="22"/>
          <w:szCs w:val="22"/>
        </w:rPr>
        <w:t xml:space="preserve">As a Batcher, I want full transparency on who I am sharing with and exactly what I am paying.</w:t>
      </w:r>
    </w:p>
    <w:p>
      <w:pPr>
        <w:pStyle w:val="Heading2"/>
        <w:spacing w:after="120" w:before="320"/>
      </w:pPr>
      <w:r>
        <w:rPr>
          <w:rFonts w:ascii="Arial" w:cs="Arial" w:eastAsia="Arial" w:hAnsi="Arial"/>
          <w:b/>
          <w:bCs/>
          <w:color w:val="1A5FAD"/>
          <w:sz w:val="28"/>
          <w:szCs w:val="28"/>
        </w:rPr>
        <w:t xml:space="preserve">Solo</w:t>
      </w:r>
    </w:p>
    <w:p>
      <w:pPr>
        <w:pStyle w:val="ListParagraph"/>
        <w:numPr>
          <w:ilvl w:val="0"/>
          <w:numId w:val="2"/>
        </w:numPr>
        <w:spacing w:after="40" w:before="40"/>
      </w:pPr>
      <w:r>
        <w:rPr>
          <w:rFonts w:ascii="Arial" w:cs="Arial" w:eastAsia="Arial" w:hAnsi="Arial"/>
          <w:color w:val="1A1D23"/>
          <w:sz w:val="22"/>
          <w:szCs w:val="22"/>
        </w:rPr>
        <w:t xml:space="preserve">As a Solo user, I want my job to run immediately at current spot rate with no extra configuration.</w:t>
      </w:r>
    </w:p>
    <w:p>
      <w:pPr>
        <w:pStyle w:val="ListParagraph"/>
        <w:numPr>
          <w:ilvl w:val="0"/>
          <w:numId w:val="2"/>
        </w:numPr>
        <w:spacing w:after="40" w:before="40"/>
      </w:pPr>
      <w:r>
        <w:rPr>
          <w:rFonts w:ascii="Arial" w:cs="Arial" w:eastAsia="Arial" w:hAnsi="Arial"/>
          <w:color w:val="1A1D23"/>
          <w:sz w:val="22"/>
          <w:szCs w:val="22"/>
        </w:rPr>
        <w:t xml:space="preserve">As a Solo user, I want an X402 receipt for every job — a verifiable audit trail of every payment.</w:t>
      </w:r>
    </w:p>
    <w:p>
      <w:pPr>
        <w:spacing w:after="40" w:before="40"/>
      </w:pPr>
      <w:r>
        <w:rPr>
          <w:rFonts w:ascii="Arial" w:cs="Arial" w:eastAsia="Arial" w:hAnsi="Arial"/>
          <w:sz w:val="22"/>
          <w:szCs w:val="22"/>
        </w:rPr>
        <w:t xml:space="preserve"> </w:t>
      </w:r>
    </w:p>
    <w:p>
      <w:pPr>
        <w:pStyle w:val="Heading1"/>
        <w:pBdr>
          <w:bottom w:val="single" w:color="E8472A" w:sz="6" w:space="4"/>
        </w:pBdr>
        <w:spacing w:after="160" w:before="480"/>
      </w:pPr>
      <w:r>
        <w:rPr>
          <w:rFonts w:ascii="Arial" w:cs="Arial" w:eastAsia="Arial" w:hAnsi="Arial"/>
          <w:b/>
          <w:bCs/>
          <w:color w:val="E8472A"/>
          <w:sz w:val="36"/>
          <w:szCs w:val="36"/>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51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r>
      <w:tr>
        <w:tc>
          <w:tcPr>
            <w:tcW w:type="dxa" w:w="4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Demo runs end-to-end without manual intervention</w:t>
            </w:r>
          </w:p>
        </w:tc>
        <w:tc>
          <w:tcPr>
            <w:tcW w:type="dxa" w:w="5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100% of rehearsal runs</w:t>
            </w:r>
          </w:p>
        </w:tc>
      </w:tr>
      <w:tr>
        <w:tc>
          <w:tcPr>
            <w:tcW w:type="dxa" w:w="4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Batch matching fires on 2 compatible jobs</w:t>
            </w:r>
          </w:p>
        </w:tc>
        <w:tc>
          <w:tcPr>
            <w:tcW w:type="dxa" w:w="5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Every demo run</w:t>
            </w:r>
          </w:p>
        </w:tc>
      </w:tr>
      <w:tr>
        <w:tc>
          <w:tcPr>
            <w:tcW w:type="dxa" w:w="4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X402 receipt appears within 1 second of settlement</w:t>
            </w:r>
          </w:p>
        </w:tc>
        <w:tc>
          <w:tcPr>
            <w:tcW w:type="dxa" w:w="5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&lt; 1s latency</w:t>
            </w:r>
          </w:p>
        </w:tc>
      </w:tr>
      <w:tr>
        <w:tc>
          <w:tcPr>
            <w:tcW w:type="dxa" w:w="4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Savings counter accurate vs. pay-as-you-go baseline</w:t>
            </w:r>
          </w:p>
        </w:tc>
        <w:tc>
          <w:tcPr>
            <w:tcW w:type="dxa" w:w="5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±$0.01</w:t>
            </w:r>
          </w:p>
        </w:tc>
      </w:tr>
      <w:tr>
        <w:tc>
          <w:tcPr>
            <w:tcW w:type="dxa" w:w="4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At least one real AMD MI300X inference call per demo</w:t>
            </w:r>
          </w:p>
        </w:tc>
        <w:tc>
          <w:tcPr>
            <w:tcW w:type="dxa" w:w="5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Every demo run</w:t>
            </w:r>
          </w:p>
        </w:tc>
      </w:tr>
      <w:tr>
        <w:tc>
          <w:tcPr>
            <w:tcW w:type="dxa" w:w="4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90-second demo script completes within target window</w:t>
            </w:r>
          </w:p>
        </w:tc>
        <w:tc>
          <w:tcPr>
            <w:tcW w:type="dxa" w:w="5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90–100 seconds</w:t>
            </w:r>
          </w:p>
        </w:tc>
      </w:tr>
    </w:tbl>
    <w:p>
      <w:pPr>
        <w:spacing w:after="40" w:before="40"/>
      </w:pPr>
      <w:r>
        <w:rPr>
          <w:rFonts w:ascii="Arial" w:cs="Arial" w:eastAsia="Arial" w:hAnsi="Arial"/>
          <w:sz w:val="22"/>
          <w:szCs w:val="22"/>
        </w:rPr>
        <w:t xml:space="preserve"> </w:t>
      </w:r>
    </w:p>
    <w:p>
      <w:pPr>
        <w:pStyle w:val="Heading1"/>
        <w:pBdr>
          <w:bottom w:val="single" w:color="E8472A" w:sz="6" w:space="4"/>
        </w:pBdr>
        <w:spacing w:after="160" w:before="480"/>
      </w:pPr>
      <w:r>
        <w:rPr>
          <w:rFonts w:ascii="Arial" w:cs="Arial" w:eastAsia="Arial" w:hAnsi="Arial"/>
          <w:b/>
          <w:bCs/>
          <w:color w:val="E8472A"/>
          <w:sz w:val="36"/>
          <w:szCs w:val="36"/>
        </w:rPr>
        <w:t xml:space="preserve">Constraints</w:t>
      </w:r>
    </w:p>
    <w:p>
      <w:pPr>
        <w:pStyle w:val="ListParagraph"/>
        <w:numPr>
          <w:ilvl w:val="0"/>
          <w:numId w:val="2"/>
        </w:numPr>
        <w:spacing w:after="40" w:before="40"/>
      </w:pPr>
      <w:r>
        <w:rPr>
          <w:rFonts w:ascii="Arial" w:cs="Arial" w:eastAsia="Arial" w:hAnsi="Arial"/>
          <w:color w:val="1A1D23"/>
          <w:sz w:val="22"/>
          <w:szCs w:val="22"/>
        </w:rPr>
        <w:t xml:space="preserve">Build window: 8 days (May 11–19, 2026)</w:t>
      </w:r>
    </w:p>
    <w:p>
      <w:pPr>
        <w:pStyle w:val="ListParagraph"/>
        <w:numPr>
          <w:ilvl w:val="0"/>
          <w:numId w:val="2"/>
        </w:numPr>
        <w:spacing w:after="40" w:before="40"/>
      </w:pPr>
      <w:r>
        <w:rPr>
          <w:rFonts w:ascii="Arial" w:cs="Arial" w:eastAsia="Arial" w:hAnsi="Arial"/>
          <w:color w:val="1A1D23"/>
          <w:sz w:val="22"/>
          <w:szCs w:val="22"/>
        </w:rPr>
        <w:t xml:space="preserve">Team: 2 engineers, full-stack (Python + TypeScript)</w:t>
      </w:r>
    </w:p>
    <w:p>
      <w:pPr>
        <w:pStyle w:val="ListParagraph"/>
        <w:numPr>
          <w:ilvl w:val="0"/>
          <w:numId w:val="2"/>
        </w:numPr>
        <w:spacing w:after="40" w:before="40"/>
      </w:pPr>
      <w:r>
        <w:rPr>
          <w:rFonts w:ascii="Arial" w:cs="Arial" w:eastAsia="Arial" w:hAnsi="Arial"/>
          <w:color w:val="1A1D23"/>
          <w:sz w:val="22"/>
          <w:szCs w:val="22"/>
        </w:rPr>
        <w:t xml:space="preserve">Compute provider: AMD Developer Cloud only</w:t>
      </w:r>
    </w:p>
    <w:p>
      <w:pPr>
        <w:pStyle w:val="ListParagraph"/>
        <w:numPr>
          <w:ilvl w:val="0"/>
          <w:numId w:val="2"/>
        </w:numPr>
        <w:spacing w:after="40" w:before="40"/>
      </w:pPr>
      <w:r>
        <w:rPr>
          <w:rFonts w:ascii="Arial" w:cs="Arial" w:eastAsia="Arial" w:hAnsi="Arial"/>
          <w:color w:val="1A1D23"/>
          <w:sz w:val="22"/>
          <w:szCs w:val="22"/>
        </w:rPr>
        <w:t xml:space="preserve">Budget: up to $200 AMD credits ($100 per team member)</w:t>
      </w:r>
    </w:p>
    <w:p>
      <w:pPr>
        <w:pStyle w:val="ListParagraph"/>
        <w:numPr>
          <w:ilvl w:val="0"/>
          <w:numId w:val="2"/>
        </w:numPr>
        <w:spacing w:after="40" w:before="40"/>
      </w:pPr>
      <w:r>
        <w:rPr>
          <w:rFonts w:ascii="Arial" w:cs="Arial" w:eastAsia="Arial" w:hAnsi="Arial"/>
          <w:color w:val="1A1D23"/>
          <w:sz w:val="22"/>
          <w:szCs w:val="22"/>
        </w:rPr>
        <w:t xml:space="preserve">No persistent database — in-memory state for demo</w:t>
      </w:r>
    </w:p>
    <w:p>
      <w:pPr>
        <w:pStyle w:val="ListParagraph"/>
        <w:numPr>
          <w:ilvl w:val="0"/>
          <w:numId w:val="2"/>
        </w:numPr>
        <w:spacing w:after="40" w:before="40"/>
      </w:pPr>
      <w:r>
        <w:rPr>
          <w:rFonts w:ascii="Arial" w:cs="Arial" w:eastAsia="Arial" w:hAnsi="Arial"/>
          <w:color w:val="1A1D23"/>
          <w:sz w:val="22"/>
          <w:szCs w:val="22"/>
        </w:rPr>
        <w:t xml:space="preserve">No real user auth — synthetic archetypes only</w:t>
      </w:r>
    </w:p>
    <w:p>
      <w:pPr>
        <w:spacing w:after="40" w:before="40"/>
      </w:pPr>
      <w:r>
        <w:rPr>
          <w:rFonts w:ascii="Arial" w:cs="Arial" w:eastAsia="Arial" w:hAnsi="Arial"/>
          <w:sz w:val="22"/>
          <w:szCs w:val="22"/>
        </w:rPr>
        <w:t xml:space="preserve"> </w:t>
      </w:r>
    </w:p>
    <w:p>
      <w:pPr>
        <w:shd w:fill="E8472A" w:val="clear"/>
        <w:spacing w:after="240" w:before="240"/>
        <w:jc w:val="center"/>
      </w:pPr>
      <w:r>
        <w:rPr>
          <w:rFonts w:ascii="Arial" w:cs="Arial" w:eastAsia="Arial" w:hAnsi="Arial"/>
          <w:b/>
          <w:bCs/>
          <w:color w:val="FFFFFF"/>
          <w:sz w:val="32"/>
          <w:szCs w:val="32"/>
        </w:rPr>
        <w:t xml:space="preserve">PART 1B  —  Technical PRD — Layer 1</w:t>
      </w:r>
    </w:p>
    <w:p>
      <w:pPr>
        <w:pStyle w:val="Heading1"/>
        <w:pBdr>
          <w:bottom w:val="single" w:color="E8472A" w:sz="6" w:space="4"/>
        </w:pBdr>
        <w:spacing w:after="160" w:before="480"/>
      </w:pPr>
      <w:r>
        <w:rPr>
          <w:rFonts w:ascii="Arial" w:cs="Arial" w:eastAsia="Arial" w:hAnsi="Arial"/>
          <w:b/>
          <w:bCs/>
          <w:color w:val="E8472A"/>
          <w:sz w:val="36"/>
          <w:szCs w:val="36"/>
        </w:rPr>
        <w:t xml:space="preserve">System Architecture</w:t>
      </w:r>
    </w:p>
    <w:p>
      <w:pPr>
        <w:spacing w:after="60" w:before="60"/>
      </w:pPr>
      <w:r>
        <w:rPr>
          <w:rFonts w:ascii="Arial" w:cs="Arial" w:eastAsia="Arial" w:hAnsi="Arial"/>
          <w:color w:val="1A1D23"/>
          <w:sz w:val="22"/>
          <w:szCs w:val="22"/>
        </w:rPr>
        <w:t xml:space="preserve">Three-tier system: React frontend, Python/FastAPI backend hosting the agent pipeline, AMD Developer Cloud as compute provider. Real-time communication over WebSocket. All compute jobs execute as inference calls on AMD MI300X hardware via an OpenAI-compatible endpoint.</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67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Responsibility</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Watcher Agent</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Polls AMD pricing API every 30s; maintains 2h price ring buffer; emits PriceTick events</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Strategist Agent</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Receives PriceTick + job events; applies batch/wait/run rules; emits ExecutionPlan</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Executor Agent</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Provisions AMD instance; triggers X402 payment per job; writes SettlementReceipt to ledger</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FastAPI Backend</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Hosts agent pipeline; REST /submit-job; WebSocket hub for all real-time events</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AMD Client Module</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Wraps AMD Dev Cloud REST API; get_instance_prices(), run_inference(); realistic mock fallback</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X402 Client Module</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Per-job micropayments with receipt hash; testnet preferred, mock fallback if unavailable</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React Dashboard</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4-panel UI: Job Submit, Live Ledger, Savings Counter, Agent Activity Log</w:t>
            </w:r>
          </w:p>
        </w:tc>
      </w:tr>
    </w:tbl>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Agent Specifications</w:t>
      </w:r>
    </w:p>
    <w:p>
      <w:pPr>
        <w:pStyle w:val="Heading3"/>
        <w:spacing w:after="80" w:before="200"/>
      </w:pPr>
      <w:r>
        <w:rPr>
          <w:rFonts w:ascii="Arial" w:cs="Arial" w:eastAsia="Arial" w:hAnsi="Arial"/>
          <w:b/>
          <w:bCs/>
          <w:color w:val="4A5368"/>
          <w:sz w:val="24"/>
          <w:szCs w:val="24"/>
        </w:rPr>
        <w:t xml:space="preserve">Watcher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7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File</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backend/agents/watcher.py</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Trigger</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asyncio.sleep(30) polling loop</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Input</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AMD Dev Cloud pricing REST endpoint</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Output</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PriceTick { timestamp, instance_type, price_per_hr, queue_depth, trend }</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LangChain usage</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One tool (get_amd_pricing), one LLM call to classify trend: rising / stable / falling</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Fallback</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Realistic price schedule with ±15% random variance if endpoint unavailable</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Ring buffer</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2-hour rolling window, 240 ticks max</w:t>
            </w:r>
          </w:p>
        </w:tc>
      </w:tr>
    </w:tbl>
    <w:p>
      <w:pPr>
        <w:spacing w:after="40" w:before="40"/>
      </w:pPr>
      <w:r>
        <w:rPr>
          <w:rFonts w:ascii="Arial" w:cs="Arial" w:eastAsia="Arial" w:hAnsi="Arial"/>
          <w:sz w:val="22"/>
          <w:szCs w:val="22"/>
        </w:rPr>
        <w:t xml:space="preserve"> </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watcher.py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async def run(price_queue: asyncio.Queue):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while True: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tick = await poll_pricing()           # real AMD API call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price_buffer.append(tick)              # 2h ring buffer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price_queue.put(tick)            # notify Strategist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broadcast_ws('price_tick', tick) # notify frontend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asyncio.sleep(30)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async def poll_pricing() -&gt; PriceTick:</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try: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 = await amd_client.get_instance_prices()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trend = await llm_classify_trend(price_buffer, r['MI300X.2xlarge'])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PriceTick(timestamp=time.time(),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instance_type='MI300X.2xlarge',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price_per_hr=r['MI300X.2xlarge'],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queue_depth=r.get('queue_depth', 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trend=trend)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except Exception:</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return mock_price_tick()  # fallback</w:t>
      </w:r>
    </w:p>
    <w:p>
      <w:pPr>
        <w:spacing w:after="40" w:before="40"/>
      </w:pPr>
      <w:r>
        <w:rPr>
          <w:rFonts w:ascii="Arial" w:cs="Arial" w:eastAsia="Arial" w:hAnsi="Arial"/>
          <w:sz w:val="22"/>
          <w:szCs w:val="22"/>
        </w:rPr>
        <w:t xml:space="preserve"> </w:t>
      </w:r>
    </w:p>
    <w:p>
      <w:pPr>
        <w:pStyle w:val="Heading3"/>
        <w:spacing w:after="80" w:before="200"/>
      </w:pPr>
      <w:r>
        <w:rPr>
          <w:rFonts w:ascii="Arial" w:cs="Arial" w:eastAsia="Arial" w:hAnsi="Arial"/>
          <w:b/>
          <w:bCs/>
          <w:color w:val="4A5368"/>
          <w:sz w:val="24"/>
          <w:szCs w:val="24"/>
        </w:rPr>
        <w:t xml:space="preserve">Strategist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7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File</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backend/agents/strategist.py</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Trigger</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On new PriceTick or job submission</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Decision — BATCH</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2+ jobs with same instance_type and overlapping deadline windows → split cost equally</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Decision — WAIT</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current_price &gt; 2h_avg × 1.20 AND deadline not within 30 minutes</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Decision — RUN_NOW</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Deadline imminent OR price at or below 2h average</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Decision — SUBLEASED</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Renter idle &gt; 15 min AND pending jobs exist → route to idle instance</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LangChain usage</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Python rules decide; LLM generates human-readable explanation for Agent Activity Log</w:t>
            </w:r>
          </w:p>
        </w:tc>
      </w:tr>
    </w:tbl>
    <w:p>
      <w:pPr>
        <w:spacing w:after="40" w:before="40"/>
      </w:pPr>
      <w:r>
        <w:rPr>
          <w:rFonts w:ascii="Arial" w:cs="Arial" w:eastAsia="Arial" w:hAnsi="Arial"/>
          <w:sz w:val="22"/>
          <w:szCs w:val="22"/>
        </w:rPr>
        <w:t xml:space="preserve"> </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strategist.py — pure Python decision logic</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def evaluate_jobs(pending, price_signal, idle_capacity):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avg   = price_buffer.two_hour_avg()</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plans =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 group in find_batchable_pairs(pending):</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plans.append(ExecutionPlan(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job_ids=[j.id for j in group], strategy='BATCH',</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split_ratio=1/len(group),</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estimated_cost=price_signal.price_per_hr * avg_hours(group) / len(group)</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 job in non_batchable(pending):</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price_signal.price_per_hr &gt; avg * 1.2 and not job.deadline_imminent():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plans.append(ExecutionPlan(job_ids=[job.id], strategy='WAIT'))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elif idle_capacity and job.compatible(idle_capacity):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plans.append(ExecutionPlan(job_ids=[job.id], strategy='SUBLEASED',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instance_id=idle_capacity.instance_id))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else: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plans.append(ExecutionPlan(job_ids=[job.id], strategy='RUN_NOW'))</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return plans</w:t>
      </w:r>
    </w:p>
    <w:p>
      <w:pPr>
        <w:spacing w:after="40" w:before="40"/>
      </w:pPr>
      <w:r>
        <w:rPr>
          <w:rFonts w:ascii="Arial" w:cs="Arial" w:eastAsia="Arial" w:hAnsi="Arial"/>
          <w:sz w:val="22"/>
          <w:szCs w:val="22"/>
        </w:rPr>
        <w:t xml:space="preserve"> </w:t>
      </w:r>
    </w:p>
    <w:p>
      <w:pPr>
        <w:pStyle w:val="Heading3"/>
        <w:spacing w:after="80" w:before="200"/>
      </w:pPr>
      <w:r>
        <w:rPr>
          <w:rFonts w:ascii="Arial" w:cs="Arial" w:eastAsia="Arial" w:hAnsi="Arial"/>
          <w:b/>
          <w:bCs/>
          <w:color w:val="4A5368"/>
          <w:sz w:val="24"/>
          <w:szCs w:val="24"/>
        </w:rPr>
        <w:t xml:space="preserve">Executor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67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File</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backend/agents/executor.py</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Trigger</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Receives ExecutionPlan from plan_queue</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AMD call</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POST /chat/completions, max_tokens: 50 — lightweight inference ping</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X402 flow</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One pay() call per job_id; amounts split proportionally for BATCH</w:t>
            </w:r>
          </w:p>
        </w:tc>
      </w:tr>
      <w:tr>
        <w:tc>
          <w:tcPr>
            <w:tcW w:type="dxa" w:w="2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Retry</w:t>
            </w:r>
          </w:p>
        </w:tc>
        <w:tc>
          <w:tcPr>
            <w:tcW w:type="dxa" w:w="67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Provision failure: retry once after 2s, then fail gracefully</w:t>
            </w:r>
          </w:p>
        </w:tc>
      </w:tr>
      <w:tr>
        <w:tc>
          <w:tcPr>
            <w:tcW w:type="dxa" w:w="2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Refund</w:t>
            </w:r>
          </w:p>
        </w:tc>
        <w:tc>
          <w:tcPr>
            <w:tcW w:type="dxa" w:w="67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Job abort or provision failure: X402 refund + ledger cancellation event</w:t>
            </w:r>
          </w:p>
        </w:tc>
      </w:tr>
    </w:tbl>
    <w:p>
      <w:pPr>
        <w:spacing w:after="40" w:before="40"/>
      </w:pPr>
      <w:r>
        <w:rPr>
          <w:rFonts w:ascii="Arial" w:cs="Arial" w:eastAsia="Arial" w:hAnsi="Arial"/>
          <w:sz w:val="22"/>
          <w:szCs w:val="22"/>
        </w:rPr>
        <w:t xml:space="preserve"> </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executor.py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async def execute_plan(plan: ExecutionPlan):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instance = (await amd_client.get_instance(plan.instance_id)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plan.strategy == 'SUBLEASED'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else await amd_client.provision(plan.instance_type))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 job_id, user_id in zip(plan.job_ids, plan.user_ids):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amount  = plan.estimated_cost * plan.split_ratio</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receipt = await x402_client.pay(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from_wallet=users[user_id].wallet,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to_wallet=AMD_PROVIDER_WALLET,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amount_usd=amount,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memo=f'FORGE {plan.strategy} {job_id}')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ledger.append(SettlementReceipt(job_id, user_id, amount, receipt.hash, plan.strategy))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broadcast_ws('settlement', ledger[-1])</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amd_client.run_inference(instance.id, 'ping', AMD_MODEL)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plan.strategy != 'SUBLEASED':</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await amd_client.terminate(instance.id)</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Data Models</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state.py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Job:</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id: str; user_id: str; instance_type: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model: str; est_hours: float; deadline: datetime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status: str  # PENDING | BATCHED | RUNNING | COMPLETE | FAILED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PriceTick:</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timestamp: float; instance_type: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price_per_hr: float; queue_depth: int; trend: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ExecutionPlan: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job_ids: list[str]; instance_type: str; strategy: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split_ratio: float; estimated_cost: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instance_id: str | None = None  # for SUBLEASED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SettlementReceipt: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id: str; job_id: str; user_id: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amount_usd: float; hash: str  # '0xabcd...'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strategy: str; savings_vs_solo: float</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timestamp: float; network: str</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49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Backend</w:t>
            </w:r>
          </w:p>
        </w:tc>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Python 3.11+</w:t>
            </w:r>
          </w:p>
        </w:tc>
        <w:tc>
          <w:tcPr>
            <w:tcW w:type="dxa" w:w="4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Runtime</w:t>
            </w:r>
          </w:p>
        </w:tc>
      </w:tr>
      <w:tr>
        <w:tc>
          <w:tcPr>
            <w:tcW w:type="dxa" w:w="1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Backend</w:t>
            </w:r>
          </w:p>
        </w:tc>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LangChain 0.3.x</w:t>
            </w:r>
          </w:p>
        </w:tc>
        <w:tc>
          <w:tcPr>
            <w:tcW w:type="dxa" w:w="4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Agent framework — tool-using agents</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Backend</w:t>
            </w:r>
          </w:p>
        </w:tc>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FastAPI 0.115.x</w:t>
            </w:r>
          </w:p>
        </w:tc>
        <w:tc>
          <w:tcPr>
            <w:tcW w:type="dxa" w:w="4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REST + WebSocket server</w:t>
            </w:r>
          </w:p>
        </w:tc>
      </w:tr>
      <w:tr>
        <w:tc>
          <w:tcPr>
            <w:tcW w:type="dxa" w:w="1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Backend</w:t>
            </w:r>
          </w:p>
        </w:tc>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httpx</w:t>
            </w:r>
          </w:p>
        </w:tc>
        <w:tc>
          <w:tcPr>
            <w:tcW w:type="dxa" w:w="4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Async HTTP client for AMD API</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Backend</w:t>
            </w:r>
          </w:p>
        </w:tc>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pydantic v2</w:t>
            </w:r>
          </w:p>
        </w:tc>
        <w:tc>
          <w:tcPr>
            <w:tcW w:type="dxa" w:w="4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Data validation</w:t>
            </w:r>
          </w:p>
        </w:tc>
      </w:tr>
      <w:tr>
        <w:tc>
          <w:tcPr>
            <w:tcW w:type="dxa" w:w="1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Backend</w:t>
            </w:r>
          </w:p>
        </w:tc>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x402-python</w:t>
            </w:r>
          </w:p>
        </w:tc>
        <w:tc>
          <w:tcPr>
            <w:tcW w:type="dxa" w:w="4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X402 payment client</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Frontend</w:t>
            </w:r>
          </w:p>
        </w:tc>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Node.js v20 LTS</w:t>
            </w:r>
          </w:p>
        </w:tc>
        <w:tc>
          <w:tcPr>
            <w:tcW w:type="dxa" w:w="4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Runtime</w:t>
            </w:r>
          </w:p>
        </w:tc>
      </w:tr>
      <w:tr>
        <w:tc>
          <w:tcPr>
            <w:tcW w:type="dxa" w:w="1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Frontend</w:t>
            </w:r>
          </w:p>
        </w:tc>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Vite 5.x + React 18</w:t>
            </w:r>
          </w:p>
        </w:tc>
        <w:tc>
          <w:tcPr>
            <w:tcW w:type="dxa" w:w="4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Build tool + UI framework</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Frontend</w:t>
            </w:r>
          </w:p>
        </w:tc>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TypeScript 5.x</w:t>
            </w:r>
          </w:p>
        </w:tc>
        <w:tc>
          <w:tcPr>
            <w:tcW w:type="dxa" w:w="4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Type safety</w:t>
            </w:r>
          </w:p>
        </w:tc>
      </w:tr>
      <w:tr>
        <w:tc>
          <w:tcPr>
            <w:tcW w:type="dxa" w:w="1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Frontend</w:t>
            </w:r>
          </w:p>
        </w:tc>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Recharts 2.x</w:t>
            </w:r>
          </w:p>
        </w:tc>
        <w:tc>
          <w:tcPr>
            <w:tcW w:type="dxa" w:w="4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Savings chart</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Infra</w:t>
            </w:r>
          </w:p>
        </w:tc>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MI300X</w:t>
            </w:r>
          </w:p>
        </w:tc>
        <w:tc>
          <w:tcPr>
            <w:tcW w:type="dxa" w:w="4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GPU compute — ROCm stack</w:t>
            </w:r>
          </w:p>
        </w:tc>
      </w:tr>
      <w:tr>
        <w:tc>
          <w:tcPr>
            <w:tcW w:type="dxa" w:w="1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Infra</w:t>
            </w:r>
          </w:p>
        </w:tc>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Vercel (free)</w:t>
            </w:r>
          </w:p>
        </w:tc>
        <w:tc>
          <w:tcPr>
            <w:tcW w:type="dxa" w:w="4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Frontend hosting for demo day</w:t>
            </w:r>
          </w:p>
        </w:tc>
      </w:tr>
    </w:tbl>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X402 Integration</w:t>
      </w:r>
    </w:p>
    <w:p>
      <w:pPr>
        <w:spacing w:after="60" w:before="60"/>
      </w:pPr>
      <w:r>
        <w:rPr>
          <w:rFonts w:ascii="Arial" w:cs="Arial" w:eastAsia="Arial" w:hAnsi="Arial"/>
          <w:color w:val="1A1D23"/>
          <w:sz w:val="22"/>
          <w:szCs w:val="22"/>
        </w:rPr>
        <w:t xml:space="preserve">X402 is an HTTP payment protocol — server returns 402 Payment Required, client responds with a signed payment header. FORGE uses X402 for per-job micropayments. Priority: real x402-python client on Base Sepolia testnet (4-hour timebox); fallback to mock client producing identical receipt UX.</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Payment Event</w:t>
            </w:r>
          </w:p>
        </w:tc>
        <w:tc>
          <w:tcPr>
            <w:tcW w:type="dxa" w:w="69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Trigger &amp; Amount</w:t>
            </w:r>
          </w:p>
        </w:tc>
      </w:tr>
      <w:tr>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JOB_START</w:t>
            </w:r>
          </w:p>
        </w:tc>
        <w:tc>
          <w:tcPr>
            <w:tcW w:type="dxa" w:w="6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Executor begins job → spot rate × estimated hours</w:t>
            </w:r>
          </w:p>
        </w:tc>
      </w:tr>
      <w:tr>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BATCH_SPLIT</w:t>
            </w:r>
          </w:p>
        </w:tc>
        <w:tc>
          <w:tcPr>
            <w:tcW w:type="dxa" w:w="6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2+ jobs share instance → spot rate × est hours ÷ n jobs</w:t>
            </w:r>
          </w:p>
        </w:tc>
      </w:tr>
      <w:tr>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SUBLEASED_CREDIT</w:t>
            </w:r>
          </w:p>
        </w:tc>
        <w:tc>
          <w:tcPr>
            <w:tcW w:type="dxa" w:w="6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Renter capacity earns → proportional credit to Renter wallet</w:t>
            </w:r>
          </w:p>
        </w:tc>
      </w:tr>
      <w:tr>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REFUND</w:t>
            </w:r>
          </w:p>
        </w:tc>
        <w:tc>
          <w:tcPr>
            <w:tcW w:type="dxa" w:w="6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Job abort or provision failure → full amount back to user</w:t>
            </w:r>
          </w:p>
        </w:tc>
      </w:tr>
    </w:tbl>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8-Day Build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c>
          <w:tcPr>
            <w:tcW w:type="dxa" w:w="9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423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Person A — Backend</w:t>
            </w:r>
          </w:p>
        </w:tc>
        <w:tc>
          <w:tcPr>
            <w:tcW w:type="dxa" w:w="423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Person B — Frontend</w:t>
            </w:r>
          </w:p>
        </w:tc>
      </w:tr>
      <w:tr>
        <w:tc>
          <w:tcPr>
            <w:tcW w:type="dxa" w:w="9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1</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registration, API keys, amd_client.py + fallback, FastAPI skeleton + WS hub, all dataclasses</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Vite + React setup, useSocket hook, 4-panel layout, user switcher</w:t>
            </w:r>
          </w:p>
        </w:tc>
      </w:tr>
      <w:tr>
        <w:tc>
          <w:tcPr>
            <w:tcW w:type="dxa" w:w="9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2</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Watcher + LangChain wrapper, Strategist batch logic, price_queue → plan_queue</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JobSubmit form, price feed panel, agent activity log</w:t>
            </w:r>
          </w:p>
        </w:tc>
      </w:tr>
      <w:tr>
        <w:tc>
          <w:tcPr>
            <w:tcW w:type="dxa" w:w="9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3</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Executor + AMD call + X402 (4h timebox → mock fallback), receipt broadcast</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LiveLedger, SavingsCounter, BatchView</w:t>
            </w:r>
          </w:p>
        </w:tc>
      </w:tr>
      <w:tr>
        <w:tc>
          <w:tcPr>
            <w:tcW w:type="dxa" w:w="9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4</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Integration day — connect frontend ↔ backend, fix breakages, run demo 5×</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Integration day — same</w:t>
            </w:r>
          </w:p>
        </w:tc>
      </w:tr>
      <w:tr>
        <w:tc>
          <w:tcPr>
            <w:tcW w:type="dxa" w:w="9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5</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Sub-lease idle detection, Renter credit flow, error handling</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Savings counter animation, UI polish</w:t>
            </w:r>
          </w:p>
        </w:tc>
      </w:tr>
      <w:tr>
        <w:tc>
          <w:tcPr>
            <w:tcW w:type="dxa" w:w="9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6–7</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Demo rehearsal 10×, video backup, pitch prep</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Demo rehearsal, README, Vercel deploy</w:t>
            </w:r>
          </w:p>
        </w:tc>
      </w:tr>
      <w:tr>
        <w:tc>
          <w:tcPr>
            <w:tcW w:type="dxa" w:w="9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8</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Final run at 9am, submit before noon</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Verify submission, final checks</w:t>
            </w:r>
          </w:p>
        </w:tc>
      </w:tr>
    </w:tbl>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4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51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pricing endpoint not exposed</w:t>
            </w:r>
          </w:p>
        </w:tc>
        <w:tc>
          <w:tcPr>
            <w:tcW w:type="dxa" w:w="1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HIGH</w:t>
            </w:r>
          </w:p>
        </w:tc>
        <w:tc>
          <w:tcPr>
            <w:tcW w:type="dxa" w:w="5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Realistic price simulation ±15% variance — inference calls remain real</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provisioning too slow for demo</w:t>
            </w:r>
          </w:p>
        </w:tc>
        <w:tc>
          <w:tcPr>
            <w:tcW w:type="dxa" w:w="1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HIGH</w:t>
            </w:r>
          </w:p>
        </w:tc>
        <w:tc>
          <w:tcPr>
            <w:tcW w:type="dxa" w:w="5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Pre-warm instance before demo; provisioning in UI is a status event, not a blocking wait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X402 real integration &gt; 4 hours</w:t>
            </w:r>
          </w:p>
        </w:tc>
        <w:tc>
          <w:tcPr>
            <w:tcW w:type="dxa" w:w="1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HIGH</w:t>
            </w:r>
          </w:p>
        </w:tc>
        <w:tc>
          <w:tcPr>
            <w:tcW w:type="dxa" w:w="5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Switch to mock client at 4h mark — UX is identical; receipt hashes appear live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LangChain LLM latency disrupts demo</w:t>
            </w:r>
          </w:p>
        </w:tc>
        <w:tc>
          <w:tcPr>
            <w:tcW w:type="dxa" w:w="1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MED</w:t>
            </w:r>
          </w:p>
        </w:tc>
        <w:tc>
          <w:tcPr>
            <w:tcW w:type="dxa" w:w="5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Pre-compute agent reasoning for scripted demo path — decisions are deterministic Python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WebSocket drops during demo</w:t>
            </w:r>
          </w:p>
        </w:tc>
        <w:tc>
          <w:tcPr>
            <w:tcW w:type="dxa" w:w="1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MED</w:t>
            </w:r>
          </w:p>
        </w:tc>
        <w:tc>
          <w:tcPr>
            <w:tcW w:type="dxa" w:w="5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Auto-reconnect with 500ms backoff; record video backup</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$100 credits exhausted</w:t>
            </w:r>
          </w:p>
        </w:tc>
        <w:tc>
          <w:tcPr>
            <w:tcW w:type="dxa" w:w="1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MED</w:t>
            </w:r>
          </w:p>
        </w:tc>
        <w:tc>
          <w:tcPr>
            <w:tcW w:type="dxa" w:w="5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Cap max_tokens: 50; use both accounts ($200 total); hard stop at $50 per account</w:t>
            </w:r>
          </w:p>
        </w:tc>
      </w:tr>
    </w:tbl>
    <w:p>
      <w:r>
        <w:br w:type="page"/>
      </w:r>
    </w:p>
    <w:p>
      <w:pPr>
        <w:shd w:fill="1A5FAD" w:val="clear"/>
        <w:spacing w:after="0" w:before="160"/>
        <w:jc w:val="center"/>
      </w:pPr>
      <w:r>
        <w:rPr>
          <w:rFonts w:ascii="Arial" w:cs="Arial" w:eastAsia="Arial" w:hAnsi="Arial"/>
          <w:b/>
          <w:bCs/>
          <w:color w:val="FFFFFF"/>
          <w:sz w:val="18"/>
          <w:szCs w:val="18"/>
        </w:rPr>
        <w:t xml:space="preserve">LAYER 2</w:t>
      </w:r>
    </w:p>
    <w:p>
      <w:pPr>
        <w:shd w:fill="1A5FAD" w:val="clear"/>
        <w:spacing w:after="0" w:before="0"/>
        <w:jc w:val="center"/>
      </w:pPr>
      <w:r>
        <w:rPr>
          <w:rFonts w:ascii="Arial" w:cs="Arial" w:eastAsia="Arial" w:hAnsi="Arial"/>
          <w:b/>
          <w:bCs/>
          <w:color w:val="FFFFFF"/>
          <w:sz w:val="44"/>
          <w:szCs w:val="44"/>
        </w:rPr>
        <w:t xml:space="preserve">Multi-Cloud GPU Exchange</w:t>
      </w:r>
    </w:p>
    <w:p>
      <w:pPr>
        <w:shd w:fill="1A5FAD" w:val="clear"/>
        <w:spacing w:after="240" w:before="0"/>
        <w:jc w:val="center"/>
      </w:pPr>
      <w:r>
        <w:rPr>
          <w:rFonts w:ascii="Arial" w:cs="Arial" w:eastAsia="Arial" w:hAnsi="Arial"/>
          <w:i/>
          <w:iCs/>
          <w:color w:val="FFFFFF"/>
          <w:sz w:val="22"/>
          <w:szCs w:val="22"/>
        </w:rPr>
        <w:t xml:space="preserve">Lambda · CoreWeave · RunPod · AWS · GCP · Month 3–6 Post-Hackathon</w:t>
      </w:r>
    </w:p>
    <w:p>
      <w:pPr>
        <w:shd w:fill="1A5FAD" w:val="clear"/>
        <w:spacing w:after="240" w:before="240"/>
        <w:jc w:val="center"/>
      </w:pPr>
      <w:r>
        <w:rPr>
          <w:rFonts w:ascii="Arial" w:cs="Arial" w:eastAsia="Arial" w:hAnsi="Arial"/>
          <w:b/>
          <w:bCs/>
          <w:color w:val="FFFFFF"/>
          <w:sz w:val="32"/>
          <w:szCs w:val="32"/>
        </w:rPr>
        <w:t xml:space="preserve">PART 2A  —  Conceptual PRD — Layer 2</w:t>
      </w:r>
    </w:p>
    <w:p>
      <w:pPr>
        <w:pStyle w:val="Heading1"/>
        <w:pBdr>
          <w:bottom w:val="single" w:color="1A5FAD" w:sz="6" w:space="4"/>
        </w:pBdr>
        <w:spacing w:after="160" w:before="480"/>
      </w:pPr>
      <w:r>
        <w:rPr>
          <w:rFonts w:ascii="Arial" w:cs="Arial" w:eastAsia="Arial" w:hAnsi="Arial"/>
          <w:b/>
          <w:bCs/>
          <w:color w:val="1A5FAD"/>
          <w:sz w:val="36"/>
          <w:szCs w:val="36"/>
        </w:rPr>
        <w:t xml:space="preserve">Overview</w:t>
      </w:r>
    </w:p>
    <w:p>
      <w:pPr>
        <w:spacing w:after="60" w:before="60"/>
      </w:pPr>
      <w:r>
        <w:rPr>
          <w:rFonts w:ascii="Arial" w:cs="Arial" w:eastAsia="Arial" w:hAnsi="Arial"/>
          <w:color w:val="1A1D23"/>
          <w:sz w:val="22"/>
          <w:szCs w:val="22"/>
        </w:rPr>
        <w:t xml:space="preserve">Layer 2 expands FORGE from a single-provider tool to a genuine multi-cloud exchange. The same Watcher–Strategist–Executor loop now operates across AMD Developer Cloud, Lambda Labs, CoreWeave, RunPod, AWS EC2 GPU spot instances, and Google Cloud TPUs. The Strategist gains a richer decision surface: not just when to run, but where — across six providers simultaneously.</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D" w:sz="1"/>
              <w:left w:val="single" w:color="1A5FAD" w:sz="12"/>
              <w:bottom w:val="single" w:color="1A5FAD" w:sz="1"/>
              <w:right w:val="single" w:color="1A5FAD" w:sz="1"/>
            </w:tcBorders>
            <w:shd w:fill="D5E8F8" w:val="clear"/>
            <w:tcMar>
              <w:top w:type="dxa" w:w="120"/>
              <w:left w:type="dxa" w:w="200"/>
              <w:bottom w:type="dxa" w:w="120"/>
              <w:right w:type="dxa" w:w="200"/>
            </w:tcMar>
          </w:tcPr>
          <w:p>
            <w:pPr>
              <w:spacing w:after="60" w:before="0"/>
            </w:pPr>
            <w:r>
              <w:rPr>
                <w:rFonts w:ascii="Arial" w:cs="Arial" w:eastAsia="Arial" w:hAnsi="Arial"/>
                <w:b/>
                <w:bCs/>
                <w:color w:val="1A5FAD"/>
                <w:sz w:val="18"/>
                <w:szCs w:val="18"/>
              </w:rPr>
              <w:t xml:space="preserve">The Key Insight</w:t>
            </w:r>
          </w:p>
          <w:p>
            <w:pPr>
              <w:spacing w:after="0" w:before="0"/>
            </w:pPr>
            <w:r>
              <w:rPr>
                <w:rFonts w:ascii="Arial" w:cs="Arial" w:eastAsia="Arial" w:hAnsi="Arial"/>
                <w:color w:val="1A1D23"/>
                <w:sz w:val="20"/>
                <w:szCs w:val="20"/>
              </w:rPr>
              <w:t xml:space="preserve">No single provider sees cross-provider economics. Each provider only sees their own traffic and their own pricing. FORGE sees all of them simultaneously. This information asymmetry is the core competitive advantage, and it compounds with every additional provider added.</w:t>
            </w:r>
          </w:p>
        </w:tc>
      </w:tr>
    </w:tbl>
    <w:p>
      <w:pPr>
        <w:spacing w:after="40" w:before="40"/>
      </w:pPr>
      <w:r>
        <w:rPr>
          <w:rFonts w:ascii="Arial" w:cs="Arial" w:eastAsia="Arial" w:hAnsi="Arial"/>
          <w:sz w:val="22"/>
          <w:szCs w:val="22"/>
        </w:rPr>
        <w:t xml:space="preserve"> </w:t>
      </w:r>
    </w:p>
    <w:p>
      <w:pPr>
        <w:pStyle w:val="Heading1"/>
        <w:pBdr>
          <w:bottom w:val="single" w:color="1A5FAD" w:sz="6" w:space="4"/>
        </w:pBdr>
        <w:spacing w:after="160" w:before="480"/>
      </w:pPr>
      <w:r>
        <w:rPr>
          <w:rFonts w:ascii="Arial" w:cs="Arial" w:eastAsia="Arial" w:hAnsi="Arial"/>
          <w:b/>
          <w:bCs/>
          <w:color w:val="1A5FAD"/>
          <w:sz w:val="36"/>
          <w:szCs w:val="36"/>
        </w:rPr>
        <w:t xml:space="preserve">New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Capability</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Provider arbitrage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Strategist scores all 6 providers simultaneously; routes each job to the cheapest provider at execution time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Cross-provider job splitting</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Large jobs can be split: preprocessing on cheap CPU (AWS), inference on GPU (AMD or Lambda), post-processing back to CPU</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Real-time price matrix</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Watcher maintains a live 6×N price matrix — all providers × all instance types — updated every 30–60 seconds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Provider performance scoring</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Executor tracks actual vs. estimated job runtime per provider; Strategist penalises underperforming providers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Anomaly detection (early)</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If AMD jobs take 40% longer than predicted, FORGE detects and reroutes before the provider's own status page updates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Vast.ai arbitrage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Vast.ai treated as both a source and a competitor — FORGE can undercut Vast.ai pricing by routing to cheaper spot capacity</w:t>
            </w:r>
          </w:p>
        </w:tc>
      </w:tr>
    </w:tbl>
    <w:p>
      <w:pPr>
        <w:spacing w:after="40" w:before="40"/>
      </w:pPr>
      <w:r>
        <w:rPr>
          <w:rFonts w:ascii="Arial" w:cs="Arial" w:eastAsia="Arial" w:hAnsi="Arial"/>
          <w:sz w:val="22"/>
          <w:szCs w:val="22"/>
        </w:rPr>
        <w:t xml:space="preserve"> </w:t>
      </w:r>
    </w:p>
    <w:p>
      <w:pPr>
        <w:pStyle w:val="Heading1"/>
        <w:pBdr>
          <w:bottom w:val="single" w:color="1A5FAD" w:sz="6" w:space="4"/>
        </w:pBdr>
        <w:spacing w:after="160" w:before="480"/>
      </w:pPr>
      <w:r>
        <w:rPr>
          <w:rFonts w:ascii="Arial" w:cs="Arial" w:eastAsia="Arial" w:hAnsi="Arial"/>
          <w:b/>
          <w:bCs/>
          <w:color w:val="1A5FAD"/>
          <w:sz w:val="36"/>
          <w:szCs w:val="36"/>
        </w:rPr>
        <w:t xml:space="preserve">Provider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Provider</w:t>
            </w:r>
          </w:p>
        </w:tc>
        <w:tc>
          <w:tcPr>
            <w:tcW w:type="dxa" w:w="348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Instance Types</w:t>
            </w:r>
          </w:p>
        </w:tc>
        <w:tc>
          <w:tcPr>
            <w:tcW w:type="dxa" w:w="408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19"/>
                <w:szCs w:val="19"/>
              </w:rPr>
              <w:t xml:space="preserve">Integration Method</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Dev Cloud</w:t>
            </w:r>
          </w:p>
        </w:tc>
        <w:tc>
          <w:tcPr>
            <w:tcW w:type="dxa" w:w="34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MI300X.2xl, MI300X.4xl, MI300X.8xl</w:t>
            </w:r>
          </w:p>
        </w:tc>
        <w:tc>
          <w:tcPr>
            <w:tcW w:type="dxa" w:w="40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REST API — OpenAI-compat inference endpoint</w:t>
            </w:r>
          </w:p>
        </w:tc>
      </w:tr>
      <w:tr>
        <w:tc>
          <w:tcPr>
            <w:tcW w:type="dxa" w:w="1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Lambda Labs</w:t>
            </w:r>
          </w:p>
        </w:tc>
        <w:tc>
          <w:tcPr>
            <w:tcW w:type="dxa" w:w="34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A100 80GB, H100 SXM, A10 24GB</w:t>
            </w:r>
          </w:p>
        </w:tc>
        <w:tc>
          <w:tcPr>
            <w:tcW w:type="dxa" w:w="40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Lambda Cloud REST API — instance lifecycle + SSH</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CoreWeave</w:t>
            </w:r>
          </w:p>
        </w:tc>
        <w:tc>
          <w:tcPr>
            <w:tcW w:type="dxa" w:w="34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A100 80GB, H100 PCIe, RTX A6000</w:t>
            </w:r>
          </w:p>
        </w:tc>
        <w:tc>
          <w:tcPr>
            <w:tcW w:type="dxa" w:w="40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CoreWeave Kubernetes API + Prometheus metrics</w:t>
            </w:r>
          </w:p>
        </w:tc>
      </w:tr>
      <w:tr>
        <w:tc>
          <w:tcPr>
            <w:tcW w:type="dxa" w:w="1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RunPod</w:t>
            </w:r>
          </w:p>
        </w:tc>
        <w:tc>
          <w:tcPr>
            <w:tcW w:type="dxa" w:w="34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RTX 4090, A100 SXM, H100 NVL</w:t>
            </w:r>
          </w:p>
        </w:tc>
        <w:tc>
          <w:tcPr>
            <w:tcW w:type="dxa" w:w="40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RunPod GraphQL API — serverless + pod modes</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AWS EC2 Spot</w:t>
            </w:r>
          </w:p>
        </w:tc>
        <w:tc>
          <w:tcPr>
            <w:tcW w:type="dxa" w:w="34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p3.8xl (V100), p4d.24xl (A100), p5.48xl (H100)</w:t>
            </w:r>
          </w:p>
        </w:tc>
        <w:tc>
          <w:tcPr>
            <w:tcW w:type="dxa" w:w="40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AWS SDK (boto3) — spot instance lifecycle</w:t>
            </w:r>
          </w:p>
        </w:tc>
      </w:tr>
      <w:tr>
        <w:tc>
          <w:tcPr>
            <w:tcW w:type="dxa" w:w="1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Google Cloud TPU</w:t>
            </w:r>
          </w:p>
        </w:tc>
        <w:tc>
          <w:tcPr>
            <w:tcW w:type="dxa" w:w="34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TPU v4, TPU v5e, TPU v5p</w:t>
            </w:r>
          </w:p>
        </w:tc>
        <w:tc>
          <w:tcPr>
            <w:tcW w:type="dxa" w:w="40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GCP Python SDK — TPU node lifecycle</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Vast.ai</w:t>
            </w:r>
          </w:p>
        </w:tc>
        <w:tc>
          <w:tcPr>
            <w:tcW w:type="dxa" w:w="34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Community GPU marketplace</w:t>
            </w:r>
          </w:p>
        </w:tc>
        <w:tc>
          <w:tcPr>
            <w:tcW w:type="dxa" w:w="40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Vast.ai REST API — monitored for arbitrage signals</w:t>
            </w:r>
          </w:p>
        </w:tc>
      </w:tr>
    </w:tbl>
    <w:p>
      <w:pPr>
        <w:spacing w:after="40" w:before="40"/>
      </w:pPr>
      <w:r>
        <w:rPr>
          <w:rFonts w:ascii="Arial" w:cs="Arial" w:eastAsia="Arial" w:hAnsi="Arial"/>
          <w:sz w:val="22"/>
          <w:szCs w:val="22"/>
        </w:rPr>
        <w:t xml:space="preserve"> </w:t>
      </w:r>
    </w:p>
    <w:p>
      <w:pPr>
        <w:pStyle w:val="Heading1"/>
        <w:pBdr>
          <w:bottom w:val="single" w:color="1A5FAD" w:sz="6" w:space="4"/>
        </w:pBdr>
        <w:spacing w:after="160" w:before="480"/>
      </w:pPr>
      <w:r>
        <w:rPr>
          <w:rFonts w:ascii="Arial" w:cs="Arial" w:eastAsia="Arial" w:hAnsi="Arial"/>
          <w:b/>
          <w:bCs/>
          <w:color w:val="1A5FAD"/>
          <w:sz w:val="36"/>
          <w:szCs w:val="36"/>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Revenue Stream</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Transaction fee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3–5% on every settled payment across all providers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Premium tier</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Priority matching, advanced scheduling analytics, dedicated agent config — $99/month</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Enterprise tier</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Private pool management, SLA guarantees, white-label API — custom pricing</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Provider referral</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Preferential pricing tiers negotiated as FORGE becomes a meaningful traffic source</w:t>
            </w:r>
          </w:p>
        </w:tc>
      </w:tr>
    </w:tbl>
    <w:p>
      <w:pPr>
        <w:spacing w:after="40" w:before="40"/>
      </w:pPr>
      <w:r>
        <w:rPr>
          <w:rFonts w:ascii="Arial" w:cs="Arial" w:eastAsia="Arial" w:hAnsi="Arial"/>
          <w:sz w:val="22"/>
          <w:szCs w:val="22"/>
        </w:rPr>
        <w:t xml:space="preserve"> </w:t>
      </w:r>
    </w:p>
    <w:p>
      <w:pPr>
        <w:shd w:fill="1A5FAD" w:val="clear"/>
        <w:spacing w:after="240" w:before="240"/>
        <w:jc w:val="center"/>
      </w:pPr>
      <w:r>
        <w:rPr>
          <w:rFonts w:ascii="Arial" w:cs="Arial" w:eastAsia="Arial" w:hAnsi="Arial"/>
          <w:b/>
          <w:bCs/>
          <w:color w:val="FFFFFF"/>
          <w:sz w:val="32"/>
          <w:szCs w:val="32"/>
        </w:rPr>
        <w:t xml:space="preserve">PART 2B  —  Technical PRD — Layer 2</w:t>
      </w:r>
    </w:p>
    <w:p>
      <w:pPr>
        <w:pStyle w:val="Heading1"/>
        <w:pBdr>
          <w:bottom w:val="single" w:color="1A5FAD" w:sz="6" w:space="4"/>
        </w:pBdr>
        <w:spacing w:after="160" w:before="480"/>
      </w:pPr>
      <w:r>
        <w:rPr>
          <w:rFonts w:ascii="Arial" w:cs="Arial" w:eastAsia="Arial" w:hAnsi="Arial"/>
          <w:b/>
          <w:bCs/>
          <w:color w:val="1A5FAD"/>
          <w:sz w:val="36"/>
          <w:szCs w:val="36"/>
        </w:rPr>
        <w:t xml:space="preserve">Architecture Changes from Layer 1</w:t>
      </w:r>
    </w:p>
    <w:p>
      <w:pPr>
        <w:spacing w:after="60" w:before="60"/>
      </w:pPr>
      <w:r>
        <w:rPr>
          <w:rFonts w:ascii="Arial" w:cs="Arial" w:eastAsia="Arial" w:hAnsi="Arial"/>
          <w:color w:val="1A1D23"/>
          <w:sz w:val="22"/>
          <w:szCs w:val="22"/>
        </w:rPr>
        <w:t xml:space="preserve">Layer 2 is an extension of Layer 1, not a rewrite. The provider-agnostic interface designed in Layer 1 (amd_client.py behind a standard interface) now has five additional implementations. The agent logic does not change — only the data flowing into it does.</w:t>
      </w:r>
    </w:p>
    <w:p>
      <w:pPr>
        <w:spacing w:after="40" w:before="40"/>
      </w:pPr>
      <w:r>
        <w:rPr>
          <w:rFonts w:ascii="Arial" w:cs="Arial" w:eastAsia="Arial" w:hAnsi="Arial"/>
          <w:sz w:val="22"/>
          <w:szCs w:val="22"/>
        </w:rPr>
        <w:t xml:space="preserve"> </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Provider interface — same contract for all providers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ComputeProvider(Protocol):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get_instance_prices(self) -&gt; dict[str, float]: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provision(self, instance_type: str) -&gt; Instance: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run_inference(self, instance_id: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prompt: str, model: str) -&gt; dict: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terminate(self, instance_id: str) -&gt; None: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get_performance_score(self) -&gt; float: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Concrete implementations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AMDProvider(ComputeProvider):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LambdaProvider(ComputeProvider):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CoreWeaveProvider(ComputeProvider):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RunPodProvider(ComputeProvider):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AWSSpotProvider(ComputeProvider): ...</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class GCPTPUProvider(ComputeProvider): ...</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Enhanced Watcher — Multi-Provider Price Matrix</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watcher.py — Layer 2</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MultiProviderWatcher: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providers: dict[str, ComputeProvider]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price_matrix: dict[str, dict[str, PriceTick]]  # provider → instance → tick</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run(self, price_queue: asyncio.Queue):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while True: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tasks = [self._poll_provider(name, p)</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 name, p in self.providers.items()]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ticks = await asyncio.gather(*tasks, return_exceptions=True)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matrix_update = {name: tick for name, tick</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in zip(self.providers, ticks)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not isinstance(tick, Exception)}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self.price_matrix.update(matrix_update)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price_queue.put(MatrixTick(matrix=self.price_matrix))</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broadcast_ws('matrix_tick', self.price_matrix)</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await asyncio.sleep(45)  # stagger to avoid rate limits</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Enhanced Strategist — Cross-Provider Scoring</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strategist.py — Layer 2</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def score_providers(job: Job, matrix: PriceMatrix) -&gt; list[ProviderScore]: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scores =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 provider_name, prices in matrix.items():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job.instance_type not in prices: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continue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tick      = prices[job.instance_type]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perf      = performance_tracker.get_score(provider_name)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est_cost  = tick.price_per_hr * job.est_hours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adj_cost  = est_cost / perf  # penalise slow providers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scores.append(ProviderScore(provider_name, adj_cost, tick))</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sorted(scores, key=lambda s: s.adjusted_cost)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def evaluate_with_splitting(job: Job, matrix: PriceMatrix) -&gt; ExecutionPlan: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Check if splitting across providers saves &gt; 15%</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gpu_best  = score_providers(job, matrix, filter='gpu')[0]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cpu_cheap = score_providers(preprocess_job(job), matrix, filter='cpu')[0]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cpu_cheap.cost + gpu_best.cost &lt; single_provider_cost(job) * 0.85:</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ExecutionPlan(strategy='SPLIT',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phases=[('preprocess', cpu_cheap.provider),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('inference',  gpu_best.provider)])</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return ExecutionPlan(strategy='SINGLE', provider=gpu_best.provider)</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New Data Models</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MatrixTick:</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timestamp: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matrix: dict[str, dict[str, PriceTick]]  # provider → instance → tick</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ProviderScore: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provider: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raw_cost: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adjusted_cost: float  # raw_cost / performance_score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tick: PriceTick</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PerformanceRecord: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provider: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job_id: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estimated_seconds: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actual_seconds: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ratio: float  # actual / estimated; 1.0 = perfect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timestamp: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SplitExecutionPlan(ExecutionPlan):</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phases: list[tuple[str, str]]  # [(phase_name, provider_name)]</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Database — Layer 2 Requires Persistence</w:t>
      </w:r>
    </w:p>
    <w:p>
      <w:pPr>
        <w:spacing w:after="60" w:before="60"/>
      </w:pPr>
      <w:r>
        <w:rPr>
          <w:rFonts w:ascii="Arial" w:cs="Arial" w:eastAsia="Arial" w:hAnsi="Arial"/>
          <w:color w:val="1A1D23"/>
          <w:sz w:val="22"/>
          <w:szCs w:val="22"/>
        </w:rPr>
        <w:t xml:space="preserve">Layer 1 used in-memory state. Layer 2 needs persistence for cross-session price history, performance records, and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Store</w:t>
            </w:r>
          </w:p>
        </w:tc>
        <w:tc>
          <w:tcPr>
            <w:tcW w:type="dxa" w:w="69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 &amp; Purpose</w:t>
            </w:r>
          </w:p>
        </w:tc>
      </w:tr>
      <w:tr>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Time-series prices</w:t>
            </w:r>
          </w:p>
        </w:tc>
        <w:tc>
          <w:tcPr>
            <w:tcW w:type="dxa" w:w="6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TimescaleDB (Postgres extension) — price matrix history, 90-day retention</w:t>
            </w:r>
          </w:p>
        </w:tc>
      </w:tr>
      <w:tr>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Job ledger</w:t>
            </w:r>
          </w:p>
        </w:tc>
        <w:tc>
          <w:tcPr>
            <w:tcW w:type="dxa" w:w="6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Postgres — jobs, receipts, user accounts, performance records</w:t>
            </w:r>
          </w:p>
        </w:tc>
      </w:tr>
      <w:tr>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Real-time cache</w:t>
            </w:r>
          </w:p>
        </w:tc>
        <w:tc>
          <w:tcPr>
            <w:tcW w:type="dxa" w:w="6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Redis — live price matrix, active job queue, WebSocket session registry</w:t>
            </w:r>
          </w:p>
        </w:tc>
      </w:tr>
      <w:tr>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Provider config</w:t>
            </w:r>
          </w:p>
        </w:tc>
        <w:tc>
          <w:tcPr>
            <w:tcW w:type="dxa" w:w="6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Postgres — provider credentials, enabled/disabled flags, rate limit state</w:t>
            </w:r>
          </w:p>
        </w:tc>
      </w:tr>
    </w:tbl>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New API Endpoints — Layer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Endpoint</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GET /providers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List all registered providers with current status and last price tick</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GET /prices/matrix</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Return full price matrix across all providers and instance types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POST /jobs/route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Preview routing decision for a job without executing it</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GET /performance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Provider performance scores based on actual vs. estimated job runtimes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GET /arbitrage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Current arbitrage opportunities: jobs where provider switching saves &gt; 10%</w:t>
            </w:r>
          </w:p>
        </w:tc>
      </w:tr>
    </w:tbl>
    <w:p>
      <w:r>
        <w:br w:type="page"/>
      </w:r>
    </w:p>
    <w:p>
      <w:pPr>
        <w:shd w:fill="1B7F4A" w:val="clear"/>
        <w:spacing w:after="0" w:before="160"/>
        <w:jc w:val="center"/>
      </w:pPr>
      <w:r>
        <w:rPr>
          <w:rFonts w:ascii="Arial" w:cs="Arial" w:eastAsia="Arial" w:hAnsi="Arial"/>
          <w:b/>
          <w:bCs/>
          <w:color w:val="FFFFFF"/>
          <w:sz w:val="18"/>
          <w:szCs w:val="18"/>
        </w:rPr>
        <w:t xml:space="preserve">LAYER 3</w:t>
      </w:r>
    </w:p>
    <w:p>
      <w:pPr>
        <w:shd w:fill="1B7F4A" w:val="clear"/>
        <w:spacing w:after="0" w:before="0"/>
        <w:jc w:val="center"/>
      </w:pPr>
      <w:r>
        <w:rPr>
          <w:rFonts w:ascii="Arial" w:cs="Arial" w:eastAsia="Arial" w:hAnsi="Arial"/>
          <w:b/>
          <w:bCs/>
          <w:color w:val="FFFFFF"/>
          <w:sz w:val="44"/>
          <w:szCs w:val="44"/>
        </w:rPr>
        <w:t xml:space="preserve">Universal Compute Exchange</w:t>
      </w:r>
    </w:p>
    <w:p>
      <w:pPr>
        <w:shd w:fill="1B7F4A" w:val="clear"/>
        <w:spacing w:after="240" w:before="0"/>
        <w:jc w:val="center"/>
      </w:pPr>
      <w:r>
        <w:rPr>
          <w:rFonts w:ascii="Arial" w:cs="Arial" w:eastAsia="Arial" w:hAnsi="Arial"/>
          <w:i/>
          <w:iCs/>
          <w:color w:val="FFFFFF"/>
          <w:sz w:val="22"/>
          <w:szCs w:val="22"/>
        </w:rPr>
        <w:t xml:space="preserve">CPU · RAM · NVMe · TPU · Apple Silicon · Compute Credits · Month 6–12</w:t>
      </w:r>
    </w:p>
    <w:p>
      <w:pPr>
        <w:shd w:fill="1B7F4A" w:val="clear"/>
        <w:spacing w:after="240" w:before="240"/>
        <w:jc w:val="center"/>
      </w:pPr>
      <w:r>
        <w:rPr>
          <w:rFonts w:ascii="Arial" w:cs="Arial" w:eastAsia="Arial" w:hAnsi="Arial"/>
          <w:b/>
          <w:bCs/>
          <w:color w:val="FFFFFF"/>
          <w:sz w:val="32"/>
          <w:szCs w:val="32"/>
        </w:rPr>
        <w:t xml:space="preserve">PART 3A  —  Conceptual PRD — Layer 3</w:t>
      </w:r>
    </w:p>
    <w:p>
      <w:pPr>
        <w:pStyle w:val="Heading1"/>
        <w:pBdr>
          <w:bottom w:val="single" w:color="1B7F4A" w:sz="6" w:space="4"/>
        </w:pBdr>
        <w:spacing w:after="160" w:before="480"/>
      </w:pPr>
      <w:r>
        <w:rPr>
          <w:rFonts w:ascii="Arial" w:cs="Arial" w:eastAsia="Arial" w:hAnsi="Arial"/>
          <w:b/>
          <w:bCs/>
          <w:color w:val="1B7F4A"/>
          <w:sz w:val="36"/>
          <w:szCs w:val="36"/>
        </w:rPr>
        <w:t xml:space="preserve">Overview</w:t>
      </w:r>
    </w:p>
    <w:p>
      <w:pPr>
        <w:spacing w:after="60" w:before="60"/>
      </w:pPr>
      <w:r>
        <w:rPr>
          <w:rFonts w:ascii="Arial" w:cs="Arial" w:eastAsia="Arial" w:hAnsi="Arial"/>
          <w:color w:val="1A1D23"/>
          <w:sz w:val="22"/>
          <w:szCs w:val="22"/>
        </w:rPr>
        <w:t xml:space="preserve">Layer 3 is the boundary at which FORGE stops being a GPU marketplace and becomes a universal compute exchange. The core insight: most AI workloads are not GPU-bound for their entire lifecycle. Data preprocessing is CPU-bound. Tokenisation is CPU-bound. Post-processing, logging, orchestration, and API serving for smaller models — all CPU. Users currently pay for GPU instances during these phases because it is simpler than spinning up separate instances. FORGE arbitrages this gap automatically.</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A" w:sz="1"/>
              <w:left w:val="single" w:color="1B7F4A" w:sz="12"/>
              <w:bottom w:val="single" w:color="1B7F4A" w:sz="1"/>
              <w:right w:val="single" w:color="1B7F4A" w:sz="1"/>
            </w:tcBorders>
            <w:shd w:fill="D5F0E4" w:val="clear"/>
            <w:tcMar>
              <w:top w:type="dxa" w:w="120"/>
              <w:left w:type="dxa" w:w="200"/>
              <w:bottom w:type="dxa" w:w="120"/>
              <w:right w:type="dxa" w:w="200"/>
            </w:tcMar>
          </w:tcPr>
          <w:p>
            <w:pPr>
              <w:spacing w:after="60" w:before="0"/>
            </w:pPr>
            <w:r>
              <w:rPr>
                <w:rFonts w:ascii="Arial" w:cs="Arial" w:eastAsia="Arial" w:hAnsi="Arial"/>
                <w:b/>
                <w:bCs/>
                <w:color w:val="1B7F4A"/>
                <w:sz w:val="18"/>
                <w:szCs w:val="18"/>
              </w:rPr>
              <w:t xml:space="preserve">The Compute Credit (CC)</w:t>
            </w:r>
          </w:p>
          <w:p>
            <w:pPr>
              <w:spacing w:after="0" w:before="0"/>
            </w:pPr>
            <w:r>
              <w:rPr>
                <w:rFonts w:ascii="Arial" w:cs="Arial" w:eastAsia="Arial" w:hAnsi="Arial"/>
                <w:color w:val="1A1D23"/>
                <w:sz w:val="20"/>
                <w:szCs w:val="20"/>
              </w:rPr>
              <w:t xml:space="preserve">Layer 3 introduces FORGE's internal accounting unit — the Compute Credit. CC abstracts away pricing differences between providers and resource types. Users think in terms of what their job needs (memory, FLOPS, time), not which provider's pricing model applies. FORGE does the conversion and settles provider-side payments as a treasury function.</w:t>
            </w:r>
          </w:p>
        </w:tc>
      </w:tr>
    </w:tbl>
    <w:p>
      <w:pPr>
        <w:spacing w:after="40" w:before="40"/>
      </w:pPr>
      <w:r>
        <w:rPr>
          <w:rFonts w:ascii="Arial" w:cs="Arial" w:eastAsia="Arial" w:hAnsi="Arial"/>
          <w:sz w:val="22"/>
          <w:szCs w:val="22"/>
        </w:rPr>
        <w:t xml:space="preserve"> </w:t>
      </w:r>
    </w:p>
    <w:p>
      <w:pPr>
        <w:pStyle w:val="Heading1"/>
        <w:pBdr>
          <w:bottom w:val="single" w:color="1B7F4A" w:sz="6" w:space="4"/>
        </w:pBdr>
        <w:spacing w:after="160" w:before="480"/>
      </w:pPr>
      <w:r>
        <w:rPr>
          <w:rFonts w:ascii="Arial" w:cs="Arial" w:eastAsia="Arial" w:hAnsi="Arial"/>
          <w:b/>
          <w:bCs/>
          <w:color w:val="1B7F4A"/>
          <w:sz w:val="36"/>
          <w:szCs w:val="36"/>
        </w:rPr>
        <w:t xml:space="preserve">New Resource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Resource Type</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Use Cases &amp; Rationale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CPU cores (high-memory)</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Data preprocessing, tokenisation, post-processing, orchestration — currently over-paid on GPU instances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RAM allocation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Large-memory jobs: genomics, simulation, graph processing — RAM is often the binding constraint, not compute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NVMe storage bandwidth</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Fast scratch space for training runs — large model checkpoints, dataset shuffling, pipeline staging</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Network egress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Data transfer cost between providers — often invisible until it dominates the bill for large jobs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Google TPUs (v4/v5)</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Different programming model (XLA vs CUDA) — FORGE abstracts the difference for compatible workloads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Apple Silicon clusters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M3 Ultra and M4 clusters increasingly used for inference — underserved, low-cost, high efficiency</w:t>
            </w:r>
          </w:p>
        </w:tc>
      </w:tr>
    </w:tbl>
    <w:p>
      <w:pPr>
        <w:spacing w:after="40" w:before="40"/>
      </w:pPr>
      <w:r>
        <w:rPr>
          <w:rFonts w:ascii="Arial" w:cs="Arial" w:eastAsia="Arial" w:hAnsi="Arial"/>
          <w:sz w:val="22"/>
          <w:szCs w:val="22"/>
        </w:rPr>
        <w:t xml:space="preserve"> </w:t>
      </w:r>
    </w:p>
    <w:p>
      <w:pPr>
        <w:pStyle w:val="Heading1"/>
        <w:pBdr>
          <w:bottom w:val="single" w:color="1B7F4A" w:sz="6" w:space="4"/>
        </w:pBdr>
        <w:spacing w:after="160" w:before="480"/>
      </w:pPr>
      <w:r>
        <w:rPr>
          <w:rFonts w:ascii="Arial" w:cs="Arial" w:eastAsia="Arial" w:hAnsi="Arial"/>
          <w:b/>
          <w:bCs/>
          <w:color w:val="1B7F4A"/>
          <w:sz w:val="36"/>
          <w:szCs w:val="36"/>
        </w:rPr>
        <w:t xml:space="preserve">Compute Credit (CC) Design</w:t>
      </w:r>
    </w:p>
    <w:p>
      <w:pPr>
        <w:pStyle w:val="Heading2"/>
        <w:spacing w:after="120" w:before="320"/>
      </w:pPr>
      <w:r>
        <w:rPr>
          <w:rFonts w:ascii="Arial" w:cs="Arial" w:eastAsia="Arial" w:hAnsi="Arial"/>
          <w:b/>
          <w:bCs/>
          <w:color w:val="1A5FAD"/>
          <w:sz w:val="28"/>
          <w:szCs w:val="28"/>
        </w:rPr>
        <w:t xml:space="preserve">Why CC Now</w:t>
      </w:r>
    </w:p>
    <w:p>
      <w:pPr>
        <w:spacing w:after="60" w:before="60"/>
      </w:pPr>
      <w:r>
        <w:rPr>
          <w:rFonts w:ascii="Arial" w:cs="Arial" w:eastAsia="Arial" w:hAnsi="Arial"/>
          <w:color w:val="1A1D23"/>
          <w:sz w:val="22"/>
          <w:szCs w:val="22"/>
        </w:rPr>
        <w:t xml:space="preserve">With 6+ providers and 8+ resource types, direct price comparison becomes unwieldy. CC provides a stable unit of account. Users pre-authorise a CC spend envelope; FORGE handles multi-provider settlement internally. X402 settles provider-side in native currency; CC is FORGE's internal layer.</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CC Property</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Base unit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1 CC = 1 normalised GPU-equivalent hour at market mid-price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Conversion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publishes a live CC/USD rate updated every 5 minutes based on weighted average spot prices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Settlement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X402 settles provider invoices in USD/stablecoin; CC is an accounting abstraction</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User-facing</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Users set budgets in CC; receipts show both CC and USD equivalents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Renter earnings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Sub-lease credits issued in CC; redeemable against future job costs or converted to USD via FORGE treasury</w:t>
            </w:r>
          </w:p>
        </w:tc>
      </w:tr>
    </w:tbl>
    <w:p>
      <w:pPr>
        <w:spacing w:after="40" w:before="40"/>
      </w:pPr>
      <w:r>
        <w:rPr>
          <w:rFonts w:ascii="Arial" w:cs="Arial" w:eastAsia="Arial" w:hAnsi="Arial"/>
          <w:sz w:val="22"/>
          <w:szCs w:val="22"/>
        </w:rPr>
        <w:t xml:space="preserve"> </w:t>
      </w:r>
    </w:p>
    <w:p>
      <w:pPr>
        <w:pStyle w:val="Heading1"/>
        <w:pBdr>
          <w:bottom w:val="single" w:color="1B7F4A" w:sz="6" w:space="4"/>
        </w:pBdr>
        <w:spacing w:after="160" w:before="480"/>
      </w:pPr>
      <w:r>
        <w:rPr>
          <w:rFonts w:ascii="Arial" w:cs="Arial" w:eastAsia="Arial" w:hAnsi="Arial"/>
          <w:b/>
          <w:bCs/>
          <w:color w:val="1B7F4A"/>
          <w:sz w:val="36"/>
          <w:szCs w:val="36"/>
        </w:rPr>
        <w:t xml:space="preserve">Revenue Model — Layer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Stream</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Transaction fee (expanded)</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3–5% on all resource types — CPU, RAM, NVMe, TPU, network egress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CC float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Users pre-purchase CC at current rate; FORGE earns float on prepurchased credits (early step toward FORGE Finance in Layer 6)</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Premium tier expansion</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Analytics dashboard covering all resource types, cross-resource optimisation reports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Apple Silicon premium</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M-series clusters command higher margin — scarce, high-demand for inference workloads</w:t>
            </w:r>
          </w:p>
        </w:tc>
      </w:tr>
    </w:tbl>
    <w:p>
      <w:pPr>
        <w:spacing w:after="40" w:before="40"/>
      </w:pPr>
      <w:r>
        <w:rPr>
          <w:rFonts w:ascii="Arial" w:cs="Arial" w:eastAsia="Arial" w:hAnsi="Arial"/>
          <w:sz w:val="22"/>
          <w:szCs w:val="22"/>
        </w:rPr>
        <w:t xml:space="preserve"> </w:t>
      </w:r>
    </w:p>
    <w:p>
      <w:pPr>
        <w:shd w:fill="1B7F4A" w:val="clear"/>
        <w:spacing w:after="240" w:before="240"/>
        <w:jc w:val="center"/>
      </w:pPr>
      <w:r>
        <w:rPr>
          <w:rFonts w:ascii="Arial" w:cs="Arial" w:eastAsia="Arial" w:hAnsi="Arial"/>
          <w:b/>
          <w:bCs/>
          <w:color w:val="FFFFFF"/>
          <w:sz w:val="32"/>
          <w:szCs w:val="32"/>
        </w:rPr>
        <w:t xml:space="preserve">PART 3B  —  Technical PRD — Layer 3</w:t>
      </w:r>
    </w:p>
    <w:p>
      <w:pPr>
        <w:pStyle w:val="Heading1"/>
        <w:pBdr>
          <w:bottom w:val="single" w:color="1B7F4A" w:sz="6" w:space="4"/>
        </w:pBdr>
        <w:spacing w:after="160" w:before="480"/>
      </w:pPr>
      <w:r>
        <w:rPr>
          <w:rFonts w:ascii="Arial" w:cs="Arial" w:eastAsia="Arial" w:hAnsi="Arial"/>
          <w:b/>
          <w:bCs/>
          <w:color w:val="1B7F4A"/>
          <w:sz w:val="36"/>
          <w:szCs w:val="36"/>
        </w:rPr>
        <w:t xml:space="preserve">Resource Abstraction Layer</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resources.py — unified resource model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ResourceSpec:</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"""What a job needs — provider-agnostic."""</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gpu_flops:    float | None  # TFLOPS required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cpu_cores:    int   | None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ram_gb:       float | None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nvme_gb:      float | None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network_gbps: float | None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duration_hrs: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deadline:     datetime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ResourceOffer: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"""What a provider offers for a ResourceSpec."""</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provider: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instance_type: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cost_cc:        float   # in Compute Credits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cost_usd:       float   # settled via X402</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availability:   str     # 'available' | 'queued' | 'unavailable'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perf_score:     float   # historical performance ratio</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ComputeCredit conversion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CCEngine: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def usd_to_cc(self, usd: float) -&gt;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usd / self.cc_rate  # cc_rate updated every 5 min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def cc_to_usd(self, cc: float) -&gt;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cc * self.cc_rate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def estimate_job_cc(self, spec: ResourceSpec) -&gt; float:</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return self.usd_to_cc(self.estimate_job_usd(spec))</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Apple Silicon Provider</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providers/apple_silicon.py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AppleSiliconProvider(ComputeProvider):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"""M3 Ultra / M4 cluster nodes — inference-optimised."""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get_instance_prices(self) -&gt; dict[str, float]: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Apple Silicon nodes price per inference token, not per hour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FORGE converts to normalised hourly rate for CC comparison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raw = await self.api.get_pricing()</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'M3-Ultra-192GB': self._normalize_to_hourly(raw['m3_ultra']),</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'M4-Max-128GB':   self._normalize_to_hourly(raw['m4_max']),</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run_inference(self, instance_id, prompt, model):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MLX framework on Apple Silicon — different from CUDA path</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await self.api.post('/v1/completions',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json={'model': model, 'prompt': prompt,</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'backend': 'mlx', 'max_tokens': 50})</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Multi-Resource Job Splitting</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strategist.py — Layer 3 multi-resource splitting</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def build_execution_phases(spec: ResourceSpec) -&gt; list[Phase]: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phases =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Phase 1: Preprocessing — CPU-bound, cheapest CPU provider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spec.has_preprocessing:</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cpu_offer = broker.cheapest_offer(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ResourceSpec(cpu_cores=8, ram_gb=32, duration_hrs=spec.preprocess_hrs))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phases.append(Phase('preprocess', cpu_offer))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Phase 2: Inference — GPU-bound, score all GPU providers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gpu_offer = broker.cheapest_offer(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ResourceSpec(gpu_flops=spec.gpu_flops, duration_hrs=spec.inference_hrs))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phases.append(Phase('inference', gpu_offer))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Phase 3: Post-processing — CPU-bound again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spec.has_postprocessing:</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cpu_offer2 = broker.cheapest_offer(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ResourceSpec(cpu_cores=4, ram_gb=16, duration_hrs=spec.postprocess_hrs))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phases.append(Phase('postprocess', cpu_offer2))</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return phases if total_cost(phases) &lt; single_phase_cost(spec) * 0.85 else None</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CC Ledger Schema</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Postgres schema — Layer 3</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CREATE TABLE cc_accounts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user_id       UUID PRIMARY KEY,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balance_cc    DECIMAL(18,6) NOT NULL DEFAULT 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balance_usd   DECIMAL(18,6) NOT NULL DEFAULT 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created_at    TIMESTAMPTZ DEFAULT NOW()</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CREATE TABLE cc_transactions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id            UUID PRIMARY KEY DEFAULT gen_random_uuid(),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user_id       UUID REFERENCES cc_accounts(user_id),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type          TEXT,  -- 'spend' | 'earn' | 'purchase' | 'refund'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amount_cc     DECIMAL(18,6),</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amount_usd    DECIMAL(18,6),</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cc_rate       DECIMAL(18,6),  -- rate at transaction time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job_id        UUID,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x402_hash     TEXT,           -- settlement receipt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created_at    TIMESTAMPTZ DEFAULT NOW()</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CREATE TABLE cc_rate_history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timestamp     TIMESTAMPTZ PRIMARY KEY,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cc_per_usd    DECIMAL(18,6),</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basis         TEXT  -- 'weighted_spot_avg'</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w:t>
      </w:r>
    </w:p>
    <w:p>
      <w:r>
        <w:br w:type="page"/>
      </w:r>
    </w:p>
    <w:p>
      <w:pPr>
        <w:shd w:fill="6B3FA0" w:val="clear"/>
        <w:spacing w:after="0" w:before="160"/>
        <w:jc w:val="center"/>
      </w:pPr>
      <w:r>
        <w:rPr>
          <w:rFonts w:ascii="Arial" w:cs="Arial" w:eastAsia="Arial" w:hAnsi="Arial"/>
          <w:b/>
          <w:bCs/>
          <w:color w:val="FFFFFF"/>
          <w:sz w:val="18"/>
          <w:szCs w:val="18"/>
        </w:rPr>
        <w:t xml:space="preserve">LAYER 4</w:t>
      </w:r>
    </w:p>
    <w:p>
      <w:pPr>
        <w:shd w:fill="6B3FA0" w:val="clear"/>
        <w:spacing w:after="0" w:before="0"/>
        <w:jc w:val="center"/>
      </w:pPr>
      <w:r>
        <w:rPr>
          <w:rFonts w:ascii="Arial" w:cs="Arial" w:eastAsia="Arial" w:hAnsi="Arial"/>
          <w:b/>
          <w:bCs/>
          <w:color w:val="FFFFFF"/>
          <w:sz w:val="44"/>
          <w:szCs w:val="44"/>
        </w:rPr>
        <w:t xml:space="preserve">Predictive Intelligence Layer</w:t>
      </w:r>
    </w:p>
    <w:p>
      <w:pPr>
        <w:shd w:fill="6B3FA0" w:val="clear"/>
        <w:spacing w:after="240" w:before="0"/>
        <w:jc w:val="center"/>
      </w:pPr>
      <w:r>
        <w:rPr>
          <w:rFonts w:ascii="Arial" w:cs="Arial" w:eastAsia="Arial" w:hAnsi="Arial"/>
          <w:i/>
          <w:iCs/>
          <w:color w:val="FFFFFF"/>
          <w:sz w:val="22"/>
          <w:szCs w:val="22"/>
        </w:rPr>
        <w:t xml:space="preserve">Data Moat · Pricing Engine · Workload Fingerprinting · Month 12–18</w:t>
      </w:r>
    </w:p>
    <w:p>
      <w:pPr>
        <w:shd w:fill="6B3FA0" w:val="clear"/>
        <w:spacing w:after="240" w:before="240"/>
        <w:jc w:val="center"/>
      </w:pPr>
      <w:r>
        <w:rPr>
          <w:rFonts w:ascii="Arial" w:cs="Arial" w:eastAsia="Arial" w:hAnsi="Arial"/>
          <w:b/>
          <w:bCs/>
          <w:color w:val="FFFFFF"/>
          <w:sz w:val="32"/>
          <w:szCs w:val="32"/>
        </w:rPr>
        <w:t xml:space="preserve">PART 4A  —  Conceptual PRD — Layer 4</w:t>
      </w:r>
    </w:p>
    <w:p>
      <w:pPr>
        <w:pStyle w:val="Heading1"/>
        <w:pBdr>
          <w:bottom w:val="single" w:color="6B3FA0" w:sz="6" w:space="4"/>
        </w:pBdr>
        <w:spacing w:after="160" w:before="480"/>
      </w:pPr>
      <w:r>
        <w:rPr>
          <w:rFonts w:ascii="Arial" w:cs="Arial" w:eastAsia="Arial" w:hAnsi="Arial"/>
          <w:b/>
          <w:bCs/>
          <w:color w:val="6B3FA0"/>
          <w:sz w:val="36"/>
          <w:szCs w:val="36"/>
        </w:rPr>
        <w:t xml:space="preserve">Overview</w:t>
      </w:r>
    </w:p>
    <w:p>
      <w:pPr>
        <w:spacing w:after="60" w:before="60"/>
      </w:pPr>
      <w:r>
        <w:rPr>
          <w:rFonts w:ascii="Arial" w:cs="Arial" w:eastAsia="Arial" w:hAnsi="Arial"/>
          <w:color w:val="1A1D23"/>
          <w:sz w:val="22"/>
          <w:szCs w:val="22"/>
        </w:rPr>
        <w:t xml:space="preserve">Layer 4 is where FORGE becomes defensible as a business, not just a useful tool. After 6–12 months of production traffic, FORGE has accumulated the most comprehensive dataset of AI compute economics in existence — cross-provider job timing, actual vs. estimated costs, demand patterns by workload type, and spot price history across all providers simultaneously. No provider has this view. Layer 4 monetises it.</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1"/>
              <w:left w:val="single" w:color="6B3FA0" w:sz="12"/>
              <w:bottom w:val="single" w:color="6B3FA0" w:sz="1"/>
              <w:right w:val="single" w:color="6B3FA0" w:sz="1"/>
            </w:tcBorders>
            <w:shd w:fill="EDE0FF" w:val="clear"/>
            <w:tcMar>
              <w:top w:type="dxa" w:w="120"/>
              <w:left w:type="dxa" w:w="200"/>
              <w:bottom w:type="dxa" w:w="120"/>
              <w:right w:type="dxa" w:w="200"/>
            </w:tcMar>
          </w:tcPr>
          <w:p>
            <w:pPr>
              <w:spacing w:after="60" w:before="0"/>
            </w:pPr>
            <w:r>
              <w:rPr>
                <w:rFonts w:ascii="Arial" w:cs="Arial" w:eastAsia="Arial" w:hAnsi="Arial"/>
                <w:b/>
                <w:bCs/>
                <w:color w:val="6B3FA0"/>
                <w:sz w:val="18"/>
                <w:szCs w:val="18"/>
              </w:rPr>
              <w:t xml:space="preserve">The Data Moat</w:t>
            </w:r>
          </w:p>
          <w:p>
            <w:pPr>
              <w:spacing w:after="0" w:before="0"/>
            </w:pPr>
            <w:r>
              <w:rPr>
                <w:rFonts w:ascii="Arial" w:cs="Arial" w:eastAsia="Arial" w:hAnsi="Arial"/>
                <w:color w:val="1A1D23"/>
                <w:sz w:val="20"/>
                <w:szCs w:val="20"/>
              </w:rPr>
              <w:t xml:space="preserve">Every job that runs through FORGE generates signal: workload type, compute requirements, actual runtime, cost, provider performance, user deadline behaviour. After 6 months of production traffic, the prediction engine is itself a competitive moat. Better predictions → better outcomes → more users → more data → better predictions. This flywheel compounds.</w:t>
            </w:r>
          </w:p>
        </w:tc>
      </w:tr>
    </w:tbl>
    <w:p>
      <w:pPr>
        <w:spacing w:after="40" w:before="40"/>
      </w:pPr>
      <w:r>
        <w:rPr>
          <w:rFonts w:ascii="Arial" w:cs="Arial" w:eastAsia="Arial" w:hAnsi="Arial"/>
          <w:sz w:val="22"/>
          <w:szCs w:val="22"/>
        </w:rPr>
        <w:t xml:space="preserve"> </w:t>
      </w:r>
    </w:p>
    <w:p>
      <w:pPr>
        <w:pStyle w:val="Heading1"/>
        <w:pBdr>
          <w:bottom w:val="single" w:color="6B3FA0" w:sz="6" w:space="4"/>
        </w:pBdr>
        <w:spacing w:after="160" w:before="480"/>
      </w:pPr>
      <w:r>
        <w:rPr>
          <w:rFonts w:ascii="Arial" w:cs="Arial" w:eastAsia="Arial" w:hAnsi="Arial"/>
          <w:b/>
          <w:bCs/>
          <w:color w:val="6B3FA0"/>
          <w:sz w:val="36"/>
          <w:szCs w:val="36"/>
        </w:rPr>
        <w:t xml:space="preserve">Intelligence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Product</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Predictive pricing engine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Predicts spot price movements 2–4 hours ahead with meaningful accuracy using historical patterns + current queue depth across all providers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Workload fingerprinting</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Learns to recognise workload types from resource consumption patterns without user labelling — Llama fine-tune has a distinct signature; FORGE identifies and pre-positions capacity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Anomaly detection</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Flags provider performance degradation before the provider's own status page updates — detected from aggregate job timing data</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Demand forecasting for Renters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Tells Renters when demand is likely to spike so they can choose to keep instances running, knowing they will earn more in the next window</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Workload optimiser</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Recommends hyperparameter changes (batch size, precision) that reduce compute cost for a given model type based on aggregated learnings across similar jobs</w:t>
            </w:r>
          </w:p>
        </w:tc>
      </w:tr>
    </w:tbl>
    <w:p>
      <w:pPr>
        <w:spacing w:after="40" w:before="40"/>
      </w:pPr>
      <w:r>
        <w:rPr>
          <w:rFonts w:ascii="Arial" w:cs="Arial" w:eastAsia="Arial" w:hAnsi="Arial"/>
          <w:sz w:val="22"/>
          <w:szCs w:val="22"/>
        </w:rPr>
        <w:t xml:space="preserve"> </w:t>
      </w:r>
    </w:p>
    <w:p>
      <w:pPr>
        <w:pStyle w:val="Heading1"/>
        <w:pBdr>
          <w:bottom w:val="single" w:color="6B3FA0" w:sz="6" w:space="4"/>
        </w:pBdr>
        <w:spacing w:after="160" w:before="480"/>
      </w:pPr>
      <w:r>
        <w:rPr>
          <w:rFonts w:ascii="Arial" w:cs="Arial" w:eastAsia="Arial" w:hAnsi="Arial"/>
          <w:b/>
          <w:bCs/>
          <w:color w:val="6B3FA0"/>
          <w:sz w:val="36"/>
          <w:szCs w:val="36"/>
        </w:rPr>
        <w:t xml:space="preserve">Intelligence API — Standalone Product</w:t>
      </w:r>
    </w:p>
    <w:p>
      <w:pPr>
        <w:spacing w:after="60" w:before="60"/>
      </w:pPr>
      <w:r>
        <w:rPr>
          <w:rFonts w:ascii="Arial" w:cs="Arial" w:eastAsia="Arial" w:hAnsi="Arial"/>
          <w:color w:val="1A1D23"/>
          <w:sz w:val="22"/>
          <w:szCs w:val="22"/>
        </w:rPr>
        <w:t xml:space="preserve">The prediction engine is sold as a standalone API product, independent of using FORGE for compute routing. MLOps platforms, cloud cost management tools (Cloudability, Apptio), and FinOps teams pay for this data feed.</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API Endpoint</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It Provides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GET /intel/price-forecast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Predicted spot prices for next 1h, 2h, 4h, 8h per provider and instance type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POST /intel/fingerprint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Submit job metrics → returns workload type classification and cost profile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GET /intel/anomalies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Active provider anomalies detected by FORGE before public status updates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GET /intel/demand-forecast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Predicted demand by instance type for the next 24 hours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POST /intel/optimise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Submit job config → returns cost-reduction recommendations based on similar workloads</w:t>
            </w:r>
          </w:p>
        </w:tc>
      </w:tr>
    </w:tbl>
    <w:p>
      <w:pPr>
        <w:spacing w:after="40" w:before="40"/>
      </w:pPr>
      <w:r>
        <w:rPr>
          <w:rFonts w:ascii="Arial" w:cs="Arial" w:eastAsia="Arial" w:hAnsi="Arial"/>
          <w:sz w:val="22"/>
          <w:szCs w:val="22"/>
        </w:rPr>
        <w:t xml:space="preserve"> </w:t>
      </w:r>
    </w:p>
    <w:p>
      <w:pPr>
        <w:pStyle w:val="Heading1"/>
        <w:pBdr>
          <w:bottom w:val="single" w:color="6B3FA0" w:sz="6" w:space="4"/>
        </w:pBdr>
        <w:spacing w:after="160" w:before="480"/>
      </w:pPr>
      <w:r>
        <w:rPr>
          <w:rFonts w:ascii="Arial" w:cs="Arial" w:eastAsia="Arial" w:hAnsi="Arial"/>
          <w:b/>
          <w:bCs/>
          <w:color w:val="6B3FA0"/>
          <w:sz w:val="36"/>
          <w:szCs w:val="36"/>
        </w:rPr>
        <w:t xml:space="preserve">Revenue Model — Layer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Stream</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Intelligence API — Starter</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$299/month — price forecasts + anomaly feed, 10k API calls/month</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Intelligence API — Pro</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$999/month — all endpoints, 100k calls/month, webhook alerts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Intelligence API — Enterprise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Custom — dedicated model, private data isolation, SLA</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In-platform intelligence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Included in FORGE Premium/Enterprise tiers — users see forecasts in dashboard</w:t>
            </w:r>
          </w:p>
        </w:tc>
      </w:tr>
    </w:tbl>
    <w:p>
      <w:pPr>
        <w:spacing w:after="40" w:before="40"/>
      </w:pPr>
      <w:r>
        <w:rPr>
          <w:rFonts w:ascii="Arial" w:cs="Arial" w:eastAsia="Arial" w:hAnsi="Arial"/>
          <w:sz w:val="22"/>
          <w:szCs w:val="22"/>
        </w:rPr>
        <w:t xml:space="preserve"> </w:t>
      </w:r>
    </w:p>
    <w:p>
      <w:pPr>
        <w:shd w:fill="6B3FA0" w:val="clear"/>
        <w:spacing w:after="240" w:before="240"/>
        <w:jc w:val="center"/>
      </w:pPr>
      <w:r>
        <w:rPr>
          <w:rFonts w:ascii="Arial" w:cs="Arial" w:eastAsia="Arial" w:hAnsi="Arial"/>
          <w:b/>
          <w:bCs/>
          <w:color w:val="FFFFFF"/>
          <w:sz w:val="32"/>
          <w:szCs w:val="32"/>
        </w:rPr>
        <w:t xml:space="preserve">PART 4B  —  Technical PRD — Layer 4</w:t>
      </w:r>
    </w:p>
    <w:p>
      <w:pPr>
        <w:pStyle w:val="Heading1"/>
        <w:pBdr>
          <w:bottom w:val="single" w:color="6B3FA0" w:sz="6" w:space="4"/>
        </w:pBdr>
        <w:spacing w:after="160" w:before="480"/>
      </w:pPr>
      <w:r>
        <w:rPr>
          <w:rFonts w:ascii="Arial" w:cs="Arial" w:eastAsia="Arial" w:hAnsi="Arial"/>
          <w:b/>
          <w:bCs/>
          <w:color w:val="6B3FA0"/>
          <w:sz w:val="36"/>
          <w:szCs w:val="36"/>
        </w:rPr>
        <w:t xml:space="preserve">ML Architecture</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intelligence/price_forecaster.py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SpotPriceForecaster: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"""Predicts spot prices 1–8 hours ahead per provider/instance."""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Features: hour_of_day, day_of_week, queue_depth, recent_volatility,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cross-provider demand signal, trailing price momentum</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Model: LightGBM — fast inference, handles missing providers gracefully,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interpretable feature importances for debugging</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def predict(self, provider: str, instance: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horizon_hrs: int) -&gt; PriceForecast: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features = self._build_features(provider, instance)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pred_mean, pred_ci = self.model.predict(features, return_ci=True)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PriceForecast(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provider=provider, instance=instance,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horizon_hrs=horizon_hrs,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predicted_price=pred_mean,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confidence_interval=pred_ci,</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confidence_pct=self._calibrated_confidence(horizon_hrs))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def retrain(self):</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Weekly retrain on 90-day rolling window from TimescaleDB</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df = price_history.load(days=90)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X, y = self._featurise(df)</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self.model.fit(X, y)</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self._validate_against_holdout()</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Workload Fingerprinting</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intelligence/fingerprinter.py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WorkloadFingerprinter: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"""Classifies workload type from resource consumption timeseries."""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Workload taxonomy (learned from data):</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'llm_finetune_small'  (&lt;7B params, single GPU)</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'llm_finetune_large'  (&gt;13B params, multi-GPU)</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'llm_inference_batch' (throughput-optimised inference)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'llm_inference_rt'    (latency-optimised inference)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'image_train'         (diffusion / ViT training)</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'image_inference'     (stable diffusion batch)</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'data_processing'     (CPU-bound ETL)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'simulation'          (physics, molecular dynamics)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'unknown'             (fallback)</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def classify(self, metrics: JobMetrics) -&gt; WorkloadType: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Metrics: GPU utilisation curve, memory bandwidth curve,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CPU/GPU ratio over time, network I/O pattern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features = self._extract_timeseries_features(metrics)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label, confidence = self.classifier.predict_proba(features)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confidence &lt; 0.7:</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WorkloadType('unknown', confidence)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WorkloadType(label, confidence)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def recommend_provider(self, wtype: WorkloadType) -&gt; list[str]: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Returns ranked provider list based on historical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performance for this workload type</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return self.perf_db.best_providers_for(wtype, top_n=3)</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Anomaly Detection</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intelligence/anomaly_detector.py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ProviderAnomalyDetector: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"""Detects provider degradation before status page updates."""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Signal: rolling ratio of actual_runtime / estimated_runtime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Threshold: ratio &gt; 1.4 for 3+ consecutive jobs → DEGRADED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Alert lag vs status page: typically 8–25 minutes ahead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def check_provider(self, provider: str) -&gt; AnomalySignal: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recent = self.job_log.last_n_jobs(provider, n=10)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len(recent) &lt; 3:</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AnomalySignal(provider, 'insufficient_data')</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ratios = [j.actual_secs / j.estimated_secs for j in recent]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rolling_3 = sum(ratios[-3:]) / 3</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rolling_3 &gt; 1.4:</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AnomalySignal(provider, 'DEGRADED',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severity=self._compute_severity(ratios),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detected_at=time.time())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AnomalySignal(provider, 'NORMAL')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run_continuous(self):</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while True: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 provider in self.providers: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signal = self.check_provider(provider)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signal.status == 'DEGRADED':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self.rerouter.flag_provider(provider)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broadcast_ws('provider_anomaly', signal)</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await asyncio.sleep(60)</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Data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 &amp; Purpose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Feature store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Feast — versioned ML features for price forecaster and fingerprinter; point-in-time correct for backtesting</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Model registry</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MLflow — experiment tracking, model versioning, staged deployment (staging → production)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Training pipeline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Prefect — weekly retrain DAGs for all models; automatic rollback if validation metrics degrade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Serving</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FastAPI + Triton Inference Server — low-latency inference serving for the Intelligence API</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Monitoring</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Evidently AI — data drift detection, prediction quality monitoring, automatic retraining triggers</w:t>
            </w:r>
          </w:p>
        </w:tc>
      </w:tr>
    </w:tbl>
    <w:p>
      <w:r>
        <w:br w:type="page"/>
      </w:r>
    </w:p>
    <w:p>
      <w:pPr>
        <w:shd w:fill="0D7C6E" w:val="clear"/>
        <w:spacing w:after="0" w:before="160"/>
        <w:jc w:val="center"/>
      </w:pPr>
      <w:r>
        <w:rPr>
          <w:rFonts w:ascii="Arial" w:cs="Arial" w:eastAsia="Arial" w:hAnsi="Arial"/>
          <w:b/>
          <w:bCs/>
          <w:color w:val="FFFFFF"/>
          <w:sz w:val="18"/>
          <w:szCs w:val="18"/>
        </w:rPr>
        <w:t xml:space="preserve">LAYER 5</w:t>
      </w:r>
    </w:p>
    <w:p>
      <w:pPr>
        <w:shd w:fill="0D7C6E" w:val="clear"/>
        <w:spacing w:after="0" w:before="0"/>
        <w:jc w:val="center"/>
      </w:pPr>
      <w:r>
        <w:rPr>
          <w:rFonts w:ascii="Arial" w:cs="Arial" w:eastAsia="Arial" w:hAnsi="Arial"/>
          <w:b/>
          <w:bCs/>
          <w:color w:val="FFFFFF"/>
          <w:sz w:val="44"/>
          <w:szCs w:val="44"/>
        </w:rPr>
        <w:t xml:space="preserve">Edge &amp; On-Premise Expansion</w:t>
      </w:r>
    </w:p>
    <w:p>
      <w:pPr>
        <w:shd w:fill="0D7C6E" w:val="clear"/>
        <w:spacing w:after="240" w:before="0"/>
        <w:jc w:val="center"/>
      </w:pPr>
      <w:r>
        <w:rPr>
          <w:rFonts w:ascii="Arial" w:cs="Arial" w:eastAsia="Arial" w:hAnsi="Arial"/>
          <w:i/>
          <w:iCs/>
          <w:color w:val="FFFFFF"/>
          <w:sz w:val="22"/>
          <w:szCs w:val="22"/>
        </w:rPr>
        <w:t xml:space="preserve">Enterprise Clusters · University HPC · Personal GPU Pools · Month 18–24</w:t>
      </w:r>
    </w:p>
    <w:p>
      <w:pPr>
        <w:shd w:fill="0D7C6E" w:val="clear"/>
        <w:spacing w:after="240" w:before="240"/>
        <w:jc w:val="center"/>
      </w:pPr>
      <w:r>
        <w:rPr>
          <w:rFonts w:ascii="Arial" w:cs="Arial" w:eastAsia="Arial" w:hAnsi="Arial"/>
          <w:b/>
          <w:bCs/>
          <w:color w:val="FFFFFF"/>
          <w:sz w:val="32"/>
          <w:szCs w:val="32"/>
        </w:rPr>
        <w:t xml:space="preserve">PART 5A  —  Conceptual PRD — Layer 5</w:t>
      </w:r>
    </w:p>
    <w:p>
      <w:pPr>
        <w:pStyle w:val="Heading1"/>
        <w:pBdr>
          <w:bottom w:val="single" w:color="0D7C6E" w:sz="6" w:space="4"/>
        </w:pBdr>
        <w:spacing w:after="160" w:before="480"/>
      </w:pPr>
      <w:r>
        <w:rPr>
          <w:rFonts w:ascii="Arial" w:cs="Arial" w:eastAsia="Arial" w:hAnsi="Arial"/>
          <w:b/>
          <w:bCs/>
          <w:color w:val="0D7C6E"/>
          <w:sz w:val="36"/>
          <w:szCs w:val="36"/>
        </w:rPr>
        <w:t xml:space="preserve">Overview</w:t>
      </w:r>
    </w:p>
    <w:p>
      <w:pPr>
        <w:spacing w:after="60" w:before="60"/>
      </w:pPr>
      <w:r>
        <w:rPr>
          <w:rFonts w:ascii="Arial" w:cs="Arial" w:eastAsia="Arial" w:hAnsi="Arial"/>
          <w:color w:val="1A1D23"/>
          <w:sz w:val="22"/>
          <w:szCs w:val="22"/>
        </w:rPr>
        <w:t xml:space="preserve">Layer 5 extends FORGE beyond the cloud. There are hundreds of thousands of GPU workstations, gaming rigs, university clusters, and corporate servers sitting idle right now. Vast.ai proved this market exists for consumer hardware. FORGE enters it differently — not as a hardware rental marketplace, but as an overflow routing layer. When cloud spot prices spike above a threshold, FORGE routes compatible jobs to verified on-premise nodes registered on the platform.</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C6E" w:sz="1"/>
              <w:left w:val="single" w:color="0D7C6E" w:sz="12"/>
              <w:bottom w:val="single" w:color="0D7C6E" w:sz="1"/>
              <w:right w:val="single" w:color="0D7C6E" w:sz="1"/>
            </w:tcBorders>
            <w:shd w:fill="D0F0EC" w:val="clear"/>
            <w:tcMar>
              <w:top w:type="dxa" w:w="120"/>
              <w:left w:type="dxa" w:w="200"/>
              <w:bottom w:type="dxa" w:w="120"/>
              <w:right w:type="dxa" w:w="200"/>
            </w:tcMar>
          </w:tcPr>
          <w:p>
            <w:pPr>
              <w:spacing w:after="60" w:before="0"/>
            </w:pPr>
            <w:r>
              <w:rPr>
                <w:rFonts w:ascii="Arial" w:cs="Arial" w:eastAsia="Arial" w:hAnsi="Arial"/>
                <w:b/>
                <w:bCs/>
                <w:color w:val="0D7C6E"/>
                <w:sz w:val="18"/>
                <w:szCs w:val="18"/>
              </w:rPr>
              <w:t xml:space="preserve">The Overflow Mechanic</w:t>
            </w:r>
          </w:p>
          <w:p>
            <w:pPr>
              <w:spacing w:after="0" w:before="0"/>
            </w:pPr>
            <w:r>
              <w:rPr>
                <w:rFonts w:ascii="Arial" w:cs="Arial" w:eastAsia="Arial" w:hAnsi="Arial"/>
                <w:color w:val="1A1D23"/>
                <w:sz w:val="20"/>
                <w:szCs w:val="20"/>
              </w:rPr>
              <w:t xml:space="preserve">Cloud pricing spikes are predictable (Layer 4 tells us when they are coming). On-premise capacity is abundant but unmonetised. FORGE creates the connection: job owners pay less than peak cloud pricing; on-premise nodes earn CC for their idle time; FORGE takes the routing spread. Nobody has to change their infrastructure.</w:t>
            </w:r>
          </w:p>
        </w:tc>
      </w:tr>
    </w:tbl>
    <w:p>
      <w:pPr>
        <w:spacing w:after="40" w:before="40"/>
      </w:pPr>
      <w:r>
        <w:rPr>
          <w:rFonts w:ascii="Arial" w:cs="Arial" w:eastAsia="Arial" w:hAnsi="Arial"/>
          <w:sz w:val="22"/>
          <w:szCs w:val="22"/>
        </w:rPr>
        <w:t xml:space="preserve"> </w:t>
      </w:r>
    </w:p>
    <w:p>
      <w:pPr>
        <w:pStyle w:val="Heading1"/>
        <w:pBdr>
          <w:bottom w:val="single" w:color="0D7C6E" w:sz="6" w:space="4"/>
        </w:pBdr>
        <w:spacing w:after="160" w:before="480"/>
      </w:pPr>
      <w:r>
        <w:rPr>
          <w:rFonts w:ascii="Arial" w:cs="Arial" w:eastAsia="Arial" w:hAnsi="Arial"/>
          <w:b/>
          <w:bCs/>
          <w:color w:val="0D7C6E"/>
          <w:sz w:val="36"/>
          <w:szCs w:val="36"/>
        </w:rPr>
        <w:t xml:space="preserve">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Node Type</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 &amp; Opportunity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Enterprise GPU clusters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Companies with spare capacity during off-hours (18:00–08:00) — large batches of idle A100s and H100s. High reliability, high bandwidth.</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University HPC centres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Massively underutilised on weekends and holidays — NSF-funded clusters that sit at &lt;10% utilisation on Saturday nights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Personal workstation pools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Opt-in like BOINC but paid — RTX 4090s, Titan RTXs; lower reliability, higher volume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Telecom edge nodes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Low-latency inference at the network edge — 5G edge nodes with GPU accelerators for &lt;50ms inference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Co-location GPU racks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Private co-lo operators with GPU hardware not fully committed to long-term contracts</w:t>
            </w:r>
          </w:p>
        </w:tc>
      </w:tr>
    </w:tbl>
    <w:p>
      <w:pPr>
        <w:spacing w:after="40" w:before="40"/>
      </w:pPr>
      <w:r>
        <w:rPr>
          <w:rFonts w:ascii="Arial" w:cs="Arial" w:eastAsia="Arial" w:hAnsi="Arial"/>
          <w:sz w:val="22"/>
          <w:szCs w:val="22"/>
        </w:rPr>
        <w:t xml:space="preserve"> </w:t>
      </w:r>
    </w:p>
    <w:p>
      <w:pPr>
        <w:pStyle w:val="Heading1"/>
        <w:pBdr>
          <w:bottom w:val="single" w:color="0D7C6E" w:sz="6" w:space="4"/>
        </w:pBdr>
        <w:spacing w:after="160" w:before="480"/>
      </w:pPr>
      <w:r>
        <w:rPr>
          <w:rFonts w:ascii="Arial" w:cs="Arial" w:eastAsia="Arial" w:hAnsi="Arial"/>
          <w:b/>
          <w:bCs/>
          <w:color w:val="0D7C6E"/>
          <w:sz w:val="36"/>
          <w:szCs w:val="36"/>
        </w:rPr>
        <w:t xml:space="preserve">FORGE Verified Programme</w:t>
      </w:r>
    </w:p>
    <w:p>
      <w:pPr>
        <w:spacing w:after="60" w:before="60"/>
      </w:pPr>
      <w:r>
        <w:rPr>
          <w:rFonts w:ascii="Arial" w:cs="Arial" w:eastAsia="Arial" w:hAnsi="Arial"/>
          <w:color w:val="1A1D23"/>
          <w:sz w:val="22"/>
          <w:szCs w:val="22"/>
        </w:rPr>
        <w:t xml:space="preserve">On-premise routing requires trust. FORGE Verified is a certification layer: hardware benchmarking, uptime SLA scoring, security audit, data residency confirmation. Verified nodes command premium pricing. FORGE takes a larger spread on Verified transactions. This creates a quality marketplace rather than a race to the bottom on price.</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Verified Tier</w:t>
            </w:r>
          </w:p>
        </w:tc>
        <w:tc>
          <w:tcPr>
            <w:tcW w:type="dxa" w:w="69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Requirements &amp; Benefits</w:t>
            </w:r>
          </w:p>
        </w:tc>
      </w:tr>
      <w:tr>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Verified Bronze</w:t>
            </w:r>
          </w:p>
        </w:tc>
        <w:tc>
          <w:tcPr>
            <w:tcW w:type="dxa" w:w="6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Hardware benchmark pass, 90-day uptime history, basic network test. Eligible for non-sensitive jobs. 3.5% FORGE fee.</w:t>
            </w:r>
          </w:p>
        </w:tc>
      </w:tr>
      <w:tr>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Verified Silver</w:t>
            </w:r>
          </w:p>
        </w:tc>
        <w:tc>
          <w:tcPr>
            <w:tcW w:type="dxa" w:w="6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Bronze + SOC2 Type I equivalent audit, 99% uptime SLA, encrypted data-at-rest. Eligible for standard enterprise jobs. 4% fee.</w:t>
            </w:r>
          </w:p>
        </w:tc>
      </w:tr>
      <w:tr>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Verified Gold</w:t>
            </w:r>
          </w:p>
        </w:tc>
        <w:tc>
          <w:tcPr>
            <w:tcW w:type="dxa" w:w="6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Silver + SOC2 Type II, 99.9% uptime SLA, data residency guarantee, dedicated support. Eligible for healthcare/finance/government. 5% fee.</w:t>
            </w:r>
          </w:p>
        </w:tc>
      </w:tr>
    </w:tbl>
    <w:p>
      <w:pPr>
        <w:spacing w:after="40" w:before="40"/>
      </w:pPr>
      <w:r>
        <w:rPr>
          <w:rFonts w:ascii="Arial" w:cs="Arial" w:eastAsia="Arial" w:hAnsi="Arial"/>
          <w:sz w:val="22"/>
          <w:szCs w:val="22"/>
        </w:rPr>
        <w:t xml:space="preserve"> </w:t>
      </w:r>
    </w:p>
    <w:p>
      <w:pPr>
        <w:pStyle w:val="Heading1"/>
        <w:pBdr>
          <w:bottom w:val="single" w:color="0D7C6E" w:sz="6" w:space="4"/>
        </w:pBdr>
        <w:spacing w:after="160" w:before="480"/>
      </w:pPr>
      <w:r>
        <w:rPr>
          <w:rFonts w:ascii="Arial" w:cs="Arial" w:eastAsia="Arial" w:hAnsi="Arial"/>
          <w:b/>
          <w:bCs/>
          <w:color w:val="0D7C6E"/>
          <w:sz w:val="36"/>
          <w:szCs w:val="36"/>
        </w:rPr>
        <w:t xml:space="preserve">Compliance Layer</w:t>
      </w:r>
    </w:p>
    <w:p>
      <w:pPr>
        <w:spacing w:after="60" w:before="60"/>
      </w:pPr>
      <w:r>
        <w:rPr>
          <w:rFonts w:ascii="Arial" w:cs="Arial" w:eastAsia="Arial" w:hAnsi="Arial"/>
          <w:color w:val="1A1D23"/>
          <w:sz w:val="22"/>
          <w:szCs w:val="22"/>
        </w:rPr>
        <w:t xml:space="preserve">On-premise routing requires data residency guarantees for regulated workloads. The compliance layer allows enterprise users to specify constraints that the Strategist enforces in routing decisions.</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 Type</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Implementation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Geographic residency</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'This job must run in EU' — Strategist filters to EU-registered nodes only; verified by IP geolocation + legal node registration</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Verified node list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'This job cannot leave our approved node list' — Strategist whitelists specific node IDs; all others excluded</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Data sensitivity level</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'HIPAA-eligible nodes only' — Strategist filters to Gold Verified nodes with healthcare addendum signed</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Air-gap requirement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'No public cloud' — Strategist excludes all cloud providers; routes exclusively to on-premise nodes</w:t>
            </w:r>
          </w:p>
        </w:tc>
      </w:tr>
    </w:tbl>
    <w:p>
      <w:pPr>
        <w:spacing w:after="40" w:before="40"/>
      </w:pPr>
      <w:r>
        <w:rPr>
          <w:rFonts w:ascii="Arial" w:cs="Arial" w:eastAsia="Arial" w:hAnsi="Arial"/>
          <w:sz w:val="22"/>
          <w:szCs w:val="22"/>
        </w:rPr>
        <w:t xml:space="preserve"> </w:t>
      </w:r>
    </w:p>
    <w:p>
      <w:pPr>
        <w:shd w:fill="0D7C6E" w:val="clear"/>
        <w:spacing w:after="240" w:before="240"/>
        <w:jc w:val="center"/>
      </w:pPr>
      <w:r>
        <w:rPr>
          <w:rFonts w:ascii="Arial" w:cs="Arial" w:eastAsia="Arial" w:hAnsi="Arial"/>
          <w:b/>
          <w:bCs/>
          <w:color w:val="FFFFFF"/>
          <w:sz w:val="32"/>
          <w:szCs w:val="32"/>
        </w:rPr>
        <w:t xml:space="preserve">PART 5B  —  Technical PRD — Layer 5</w:t>
      </w:r>
    </w:p>
    <w:p>
      <w:pPr>
        <w:pStyle w:val="Heading1"/>
        <w:pBdr>
          <w:bottom w:val="single" w:color="0D7C6E" w:sz="6" w:space="4"/>
        </w:pBdr>
        <w:spacing w:after="160" w:before="480"/>
      </w:pPr>
      <w:r>
        <w:rPr>
          <w:rFonts w:ascii="Arial" w:cs="Arial" w:eastAsia="Arial" w:hAnsi="Arial"/>
          <w:b/>
          <w:bCs/>
          <w:color w:val="0D7C6E"/>
          <w:sz w:val="36"/>
          <w:szCs w:val="36"/>
        </w:rPr>
        <w:t xml:space="preserve">Node Registration &amp; Agent</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node_agent/agent.py — runs on each registered node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ForgeNodeAgent: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"""Lightweight daemon running on on-premise nodes."""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run(self):</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self.register_with_forge()      # one-time: send hw specs + certs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self.start_heartbeat()           # every 30s: availability + metrics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self.listen_for_jobs()           # long-poll: accept/reject job offers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register_with_forge(self):</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hw = self.detect_hardware()  # GPU model, VRAM, CPU, RAM, NVMe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geo = self.get_verified_location()  # GPS + IP verification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certs = self.load_verification_certs()  # SOC2, HIPAA addendum etc.</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forge_api.register_node(NodeRegistration(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hardware=hw, location=geo, certs=certs,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verified_tier=self.config.tier,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available_hours=self.config.availability_schedule))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accept_job(self, job_offer: JobOffer) -&gt; bool: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not self.can_accept(job_offer):  # check resources, compliance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False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self.provision_sandbox(job_offer)  # Docker + gVisor isolation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forge_api.confirm_acceptance(job_offer.id)</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return True</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Routing Logic Changes</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strategist.py — Layer 5 additions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def build_candidate_pool(job: Job) -&gt; list[ResourceOffer]: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candidates =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Cloud providers (Layers 1–3)</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 provider in cloud_providers: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candidates.extend(provider.get_offers(job.spec))</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On-premise nodes (Layer 5)</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job.allows_on_prem:</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on_prem_nodes = node_registry.find_compatible(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spec=job.spec,</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geo_constraint=job.geo_constraint,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verified_tier=job.min_verified_tier,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whitelist=job.node_whitelist)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 node in on_prem_nodes: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offer = node.get_offer(job.spec)</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offer.cost_cc *= ONPREM_DISCOUNT  # typically 30–50% cheaper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candidates.append(offer)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Sort by adjusted cost (performance-weighted)</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return sorted(candidates, key=lambda c: c.adjusted_cost_cc)</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Security &amp;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Job isolation</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Docker + gVisor (runsc) — hardware-level syscall interception; no container escape to host</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Network isolation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Each job gets a dedicated network namespace; no cross-job communication possible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Data-at-rest encryption</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AES-256 for all job data written to disk; keys rotated per job; secure delete on completion</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Attestation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TPM-based remote attestation for Gold Verified nodes — cryptographic proof of hardware and software state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Audit logging</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Immutable audit log of all job executions, data access, and node interactions — signed with node private key</w:t>
            </w:r>
          </w:p>
        </w:tc>
      </w:tr>
    </w:tbl>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FORGE Verified Benchmark Suite</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verification/benchmark.py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ForgeBenchmarkSuite: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"""Standardised benchmark run on all nodes seeking Verified status."""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tests =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ThroughputTest('llm_inference', model='llama3-8b', tokens=100_000),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ThroughputTest('matrix_multiply', size=16384),</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LatencyTest('cold_start', job_type='inference'),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NetworkTest('bandwidth_in', target_gbps=10),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NetworkTest('bandwidth_out', target_gbps=10),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ReliabilityTest('sustained_load', duration_hrs=4, utilisation=0.85),</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SecurityTest('sandbox_escape_attempt'),  # must fail to pass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SecurityTest('cross_job_data_access'),   # must fail to pass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def run(self, node_endpoint: str) -&gt; BenchmarkReport: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results = [t.run(node_endpoint) for t in self.tests]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tier = self._compute_tier(results)  # Bronze / Silver / Gold / Fail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BenchmarkReport(results=results, tier=tier,</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valid_until=now() + timedelta(days=180))</w:t>
      </w:r>
    </w:p>
    <w:p>
      <w:r>
        <w:br w:type="page"/>
      </w:r>
    </w:p>
    <w:p>
      <w:pPr>
        <w:shd w:fill="C45B00" w:val="clear"/>
        <w:spacing w:after="0" w:before="160"/>
        <w:jc w:val="center"/>
      </w:pPr>
      <w:r>
        <w:rPr>
          <w:rFonts w:ascii="Arial" w:cs="Arial" w:eastAsia="Arial" w:hAnsi="Arial"/>
          <w:b/>
          <w:bCs/>
          <w:color w:val="FFFFFF"/>
          <w:sz w:val="18"/>
          <w:szCs w:val="18"/>
        </w:rPr>
        <w:t xml:space="preserve">LAYER 6</w:t>
      </w:r>
    </w:p>
    <w:p>
      <w:pPr>
        <w:shd w:fill="C45B00" w:val="clear"/>
        <w:spacing w:after="0" w:before="0"/>
        <w:jc w:val="center"/>
      </w:pPr>
      <w:r>
        <w:rPr>
          <w:rFonts w:ascii="Arial" w:cs="Arial" w:eastAsia="Arial" w:hAnsi="Arial"/>
          <w:b/>
          <w:bCs/>
          <w:color w:val="FFFFFF"/>
          <w:sz w:val="44"/>
          <w:szCs w:val="44"/>
        </w:rPr>
        <w:t xml:space="preserve">Ecosystem &amp; Financial Instruments</w:t>
      </w:r>
    </w:p>
    <w:p>
      <w:pPr>
        <w:shd w:fill="C45B00" w:val="clear"/>
        <w:spacing w:after="240" w:before="0"/>
        <w:jc w:val="center"/>
      </w:pPr>
      <w:r>
        <w:rPr>
          <w:rFonts w:ascii="Arial" w:cs="Arial" w:eastAsia="Arial" w:hAnsi="Arial"/>
          <w:i/>
          <w:iCs/>
          <w:color w:val="FFFFFF"/>
          <w:sz w:val="22"/>
          <w:szCs w:val="22"/>
        </w:rPr>
        <w:t xml:space="preserve">Compute Futures · FORGE Finance · Intelligence API · Year 2+</w:t>
      </w:r>
    </w:p>
    <w:p>
      <w:pPr>
        <w:shd w:fill="C45B00" w:val="clear"/>
        <w:spacing w:after="240" w:before="240"/>
        <w:jc w:val="center"/>
      </w:pPr>
      <w:r>
        <w:rPr>
          <w:rFonts w:ascii="Arial" w:cs="Arial" w:eastAsia="Arial" w:hAnsi="Arial"/>
          <w:b/>
          <w:bCs/>
          <w:color w:val="FFFFFF"/>
          <w:sz w:val="32"/>
          <w:szCs w:val="32"/>
        </w:rPr>
        <w:t xml:space="preserve">PART 6A  —  Conceptual PRD — Layer 6</w:t>
      </w:r>
    </w:p>
    <w:p>
      <w:pPr>
        <w:pStyle w:val="Heading1"/>
        <w:pBdr>
          <w:bottom w:val="single" w:color="C45B00" w:sz="6" w:space="4"/>
        </w:pBdr>
        <w:spacing w:after="160" w:before="480"/>
      </w:pPr>
      <w:r>
        <w:rPr>
          <w:rFonts w:ascii="Arial" w:cs="Arial" w:eastAsia="Arial" w:hAnsi="Arial"/>
          <w:b/>
          <w:bCs/>
          <w:color w:val="C45B00"/>
          <w:sz w:val="36"/>
          <w:szCs w:val="36"/>
        </w:rPr>
        <w:t xml:space="preserve">Overview</w:t>
      </w:r>
    </w:p>
    <w:p>
      <w:pPr>
        <w:spacing w:after="60" w:before="60"/>
      </w:pPr>
      <w:r>
        <w:rPr>
          <w:rFonts w:ascii="Arial" w:cs="Arial" w:eastAsia="Arial" w:hAnsi="Arial"/>
          <w:color w:val="1A1D23"/>
          <w:sz w:val="22"/>
          <w:szCs w:val="22"/>
        </w:rPr>
        <w:t xml:space="preserve">Layer 6 is the ecosystem layer. Once FORGE has transaction volume and the data moat from Layer 4, several expansion directions open simultaneously. The common thread: FORGE is no longer just a routing layer; it is the compute economy's financial infrastructure. Compute becomes an asset class — tradeable, hedgeable, financeable.</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B00" w:sz="1"/>
              <w:left w:val="single" w:color="C45B00" w:sz="12"/>
              <w:bottom w:val="single" w:color="C45B00" w:sz="1"/>
              <w:right w:val="single" w:color="C45B00" w:sz="1"/>
            </w:tcBorders>
            <w:shd w:fill="FDEEDD" w:val="clear"/>
            <w:tcMar>
              <w:top w:type="dxa" w:w="120"/>
              <w:left w:type="dxa" w:w="200"/>
              <w:bottom w:type="dxa" w:w="120"/>
              <w:right w:type="dxa" w:w="200"/>
            </w:tcMar>
          </w:tcPr>
          <w:p>
            <w:pPr>
              <w:spacing w:after="60" w:before="0"/>
            </w:pPr>
            <w:r>
              <w:rPr>
                <w:rFonts w:ascii="Arial" w:cs="Arial" w:eastAsia="Arial" w:hAnsi="Arial"/>
                <w:b/>
                <w:bCs/>
                <w:color w:val="C45B00"/>
                <w:sz w:val="18"/>
                <w:szCs w:val="18"/>
              </w:rPr>
              <w:t xml:space="preserve">The Commodity Markets Analogy</w:t>
            </w:r>
          </w:p>
          <w:p>
            <w:pPr>
              <w:spacing w:after="0" w:before="0"/>
            </w:pPr>
            <w:r>
              <w:rPr>
                <w:rFonts w:ascii="Arial" w:cs="Arial" w:eastAsia="Arial" w:hAnsi="Arial"/>
                <w:color w:val="1A1D23"/>
                <w:sz w:val="20"/>
                <w:szCs w:val="20"/>
              </w:rPr>
              <w:t xml:space="preserve">Natural gas, electricity, and bandwidth all went through the same transition: first they were bought and sold bilaterally, then exchanges created price transparency, then futures markets allowed hedging, then financial instruments abstracted the underlying commodity. Compute is at the bilateral stage. FORGE is building the exchange. Layer 6 builds the derivatives.</w:t>
            </w:r>
          </w:p>
        </w:tc>
      </w:tr>
    </w:tbl>
    <w:p>
      <w:pPr>
        <w:spacing w:after="40" w:before="40"/>
      </w:pPr>
      <w:r>
        <w:rPr>
          <w:rFonts w:ascii="Arial" w:cs="Arial" w:eastAsia="Arial" w:hAnsi="Arial"/>
          <w:sz w:val="22"/>
          <w:szCs w:val="22"/>
        </w:rPr>
        <w:t xml:space="preserve"> </w:t>
      </w:r>
    </w:p>
    <w:p>
      <w:pPr>
        <w:pStyle w:val="Heading1"/>
        <w:pBdr>
          <w:bottom w:val="single" w:color="C45B00" w:sz="6" w:space="4"/>
        </w:pBdr>
        <w:spacing w:after="160" w:before="480"/>
      </w:pPr>
      <w:r>
        <w:rPr>
          <w:rFonts w:ascii="Arial" w:cs="Arial" w:eastAsia="Arial" w:hAnsi="Arial"/>
          <w:b/>
          <w:bCs/>
          <w:color w:val="C45B00"/>
          <w:sz w:val="36"/>
          <w:szCs w:val="36"/>
        </w:rPr>
        <w:t xml:space="preserve">Layer 6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Product</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Finance — CC Prepurchase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Users pre-purchase Compute Credits at current prices for future use — effectively hedging against price increases. FORGE earns float on prepurchased credits.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Futures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Large enterprises reserve compute capacity at a fixed price for a future time window — forward contracts on compute. FORGE hedges these against spot market.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Finance — Credit Lines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Enterprises draw compute credit lines backed by their historical usage and payment record — effectively compute-backed credit facilities.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Intelligence API (standalone)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Sell the prediction engine and workload analytics as a standalone API product — MLOps platforms and FinOps teams pay without using FORGE for routing.</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for CI/CD</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GitHub Actions, GitLab CI — FORGE integrates as a compute backend, automatically routing ML test pipelines to cheapest available resource at trigger time.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Verified Licensing</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License the Verified certification programme to other compute marketplaces — FORGE becomes the trust layer for the broader on-premise compute ecosystem.</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Strategic AMD Partnership</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At sufficient transaction volume, FORGE becomes strategically valuable to AMD — the routing algorithm makes AMD the default cheapest option. Acquisition or investment conversation becomes natural.</w:t>
            </w:r>
          </w:p>
        </w:tc>
      </w:tr>
    </w:tbl>
    <w:p>
      <w:pPr>
        <w:spacing w:after="40" w:before="40"/>
      </w:pPr>
      <w:r>
        <w:rPr>
          <w:rFonts w:ascii="Arial" w:cs="Arial" w:eastAsia="Arial" w:hAnsi="Arial"/>
          <w:sz w:val="22"/>
          <w:szCs w:val="22"/>
        </w:rPr>
        <w:t xml:space="preserve"> </w:t>
      </w:r>
    </w:p>
    <w:p>
      <w:pPr>
        <w:pStyle w:val="Heading1"/>
        <w:pBdr>
          <w:bottom w:val="single" w:color="C45B00" w:sz="6" w:space="4"/>
        </w:pBdr>
        <w:spacing w:after="160" w:before="480"/>
      </w:pPr>
      <w:r>
        <w:rPr>
          <w:rFonts w:ascii="Arial" w:cs="Arial" w:eastAsia="Arial" w:hAnsi="Arial"/>
          <w:b/>
          <w:bCs/>
          <w:color w:val="C45B00"/>
          <w:sz w:val="36"/>
          <w:szCs w:val="36"/>
        </w:rPr>
        <w:t xml:space="preserve">FORGE Futures — Design</w:t>
      </w:r>
    </w:p>
    <w:p>
      <w:pPr>
        <w:spacing w:after="60" w:before="60"/>
      </w:pPr>
      <w:r>
        <w:rPr>
          <w:rFonts w:ascii="Arial" w:cs="Arial" w:eastAsia="Arial" w:hAnsi="Arial"/>
          <w:color w:val="1A1D23"/>
          <w:sz w:val="22"/>
          <w:szCs w:val="22"/>
        </w:rPr>
        <w:t xml:space="preserve">Enterprise users can reserve compute capacity at a fixed price for a future time window, similar to forward contracts in commodity markets. FORGE hedges these contracts against spot market pricing. This is a sophisticated financial product that no compute marketplace currently offers.</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Futures Contract Property</w:t>
            </w:r>
          </w:p>
        </w:tc>
        <w:tc>
          <w:tcPr>
            <w:tcW w:type="dxa" w:w="61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Definition</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Underlying asset</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Normalised GPU-equivalent hours (denominated in CC)</w:t>
            </w:r>
          </w:p>
        </w:tc>
      </w:tr>
      <w:tr>
        <w:tc>
          <w:tcPr>
            <w:tcW w:type="dxa" w:w="3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Contract size</w:t>
            </w:r>
          </w:p>
        </w:tc>
        <w:tc>
          <w:tcPr>
            <w:tcW w:type="dxa" w:w="6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Minimum 100 CC-hours per contract (~$280 at current rates)</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Settlement</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Physical delivery (actual compute) or cash settlement at user's election</w:t>
            </w:r>
          </w:p>
        </w:tc>
      </w:tr>
      <w:tr>
        <w:tc>
          <w:tcPr>
            <w:tcW w:type="dxa" w:w="3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Tenor</w:t>
            </w:r>
          </w:p>
        </w:tc>
        <w:tc>
          <w:tcPr>
            <w:tcW w:type="dxa" w:w="6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1 week, 1 month, 3 months, 6 months</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Pricing</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spot price + forward premium based on predicted demand curve (Layer 4 engine)</w:t>
            </w:r>
          </w:p>
        </w:tc>
      </w:tr>
      <w:tr>
        <w:tc>
          <w:tcPr>
            <w:tcW w:type="dxa" w:w="3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Margin</w:t>
            </w:r>
          </w:p>
        </w:tc>
        <w:tc>
          <w:tcPr>
            <w:tcW w:type="dxa" w:w="6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10% initial margin in CC; FORGE holds margin in escrow</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Hedge ratio</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targets 80% hedged against its own spot exposure using provider long-term reservation pricing</w:t>
            </w:r>
          </w:p>
        </w:tc>
      </w:tr>
    </w:tbl>
    <w:p>
      <w:pPr>
        <w:spacing w:after="40" w:before="40"/>
      </w:pPr>
      <w:r>
        <w:rPr>
          <w:rFonts w:ascii="Arial" w:cs="Arial" w:eastAsia="Arial" w:hAnsi="Arial"/>
          <w:sz w:val="22"/>
          <w:szCs w:val="22"/>
        </w:rPr>
        <w:t xml:space="preserve"> </w:t>
      </w:r>
    </w:p>
    <w:p>
      <w:pPr>
        <w:pStyle w:val="Heading1"/>
        <w:pBdr>
          <w:bottom w:val="single" w:color="C45B00" w:sz="6" w:space="4"/>
        </w:pBdr>
        <w:spacing w:after="160" w:before="480"/>
      </w:pPr>
      <w:r>
        <w:rPr>
          <w:rFonts w:ascii="Arial" w:cs="Arial" w:eastAsia="Arial" w:hAnsi="Arial"/>
          <w:b/>
          <w:bCs/>
          <w:color w:val="C45B00"/>
          <w:sz w:val="36"/>
          <w:szCs w:val="36"/>
        </w:rPr>
        <w:t xml:space="preserve">FORGE for CI/CD</w:t>
      </w:r>
    </w:p>
    <w:p>
      <w:pPr>
        <w:spacing w:after="60" w:before="60"/>
      </w:pPr>
      <w:r>
        <w:rPr>
          <w:rFonts w:ascii="Arial" w:cs="Arial" w:eastAsia="Arial" w:hAnsi="Arial"/>
          <w:color w:val="1A1D23"/>
          <w:sz w:val="22"/>
          <w:szCs w:val="22"/>
        </w:rPr>
        <w:t xml:space="preserve">ML model testing pipelines (training smoke tests, eval runs, regression benchmarks) represent a large and fast-growing share of compute spend at AI companies. CI/CD pipelines currently provision instances in a single cloud at fixed rates. FORGE integrates as a compute backend that routes each pipeline run to the cheapest available resource at trigger time.</w:t>
      </w:r>
    </w:p>
    <w:p>
      <w:pPr>
        <w:spacing w:after="40" w:before="4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Integration</w:t>
            </w:r>
          </w:p>
        </w:tc>
        <w:tc>
          <w:tcPr>
            <w:tcW w:type="dxa" w:w="69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How It Works</w:t>
            </w:r>
          </w:p>
        </w:tc>
      </w:tr>
      <w:tr>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GitHub Actions</w:t>
            </w:r>
          </w:p>
        </w:tc>
        <w:tc>
          <w:tcPr>
            <w:tcW w:type="dxa" w:w="6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forge-runner GitHub Action replaces ubuntu-latest or custom runner; FORGE provisions cheapest compatible instance per run</w:t>
            </w:r>
          </w:p>
        </w:tc>
      </w:tr>
      <w:tr>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GitLab CI</w:t>
            </w:r>
          </w:p>
        </w:tc>
        <w:tc>
          <w:tcPr>
            <w:tcW w:type="dxa" w:w="6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executor registered as a GitLab Runner; tags trigger FORGE routing (e.g. runs-on: forge-gpu-a100)</w:t>
            </w:r>
          </w:p>
        </w:tc>
      </w:tr>
      <w:tr>
        <w:tc>
          <w:tcPr>
            <w:tcW w:type="dxa" w:w="24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Custom webhook</w:t>
            </w:r>
          </w:p>
        </w:tc>
        <w:tc>
          <w:tcPr>
            <w:tcW w:type="dxa" w:w="69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POST /ci/trigger with job spec; FORGE returns instance + SSH credentials; pipeline runs directly</w:t>
            </w:r>
          </w:p>
        </w:tc>
      </w:tr>
      <w:tr>
        <w:tc>
          <w:tcPr>
            <w:tcW w:type="dxa" w:w="24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Cost reporting</w:t>
            </w:r>
          </w:p>
        </w:tc>
        <w:tc>
          <w:tcPr>
            <w:tcW w:type="dxa" w:w="69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FORGE CI dashboard shows per-pipeline and per-PR compute cost; integrates with GitHub PR comments</w:t>
            </w:r>
          </w:p>
        </w:tc>
      </w:tr>
    </w:tbl>
    <w:p>
      <w:pPr>
        <w:spacing w:after="40" w:before="40"/>
      </w:pPr>
      <w:r>
        <w:rPr>
          <w:rFonts w:ascii="Arial" w:cs="Arial" w:eastAsia="Arial" w:hAnsi="Arial"/>
          <w:sz w:val="22"/>
          <w:szCs w:val="22"/>
        </w:rPr>
        <w:t xml:space="preserve"> </w:t>
      </w:r>
    </w:p>
    <w:p>
      <w:pPr>
        <w:pStyle w:val="Heading1"/>
        <w:pBdr>
          <w:bottom w:val="single" w:color="C45B00" w:sz="6" w:space="4"/>
        </w:pBdr>
        <w:spacing w:after="160" w:before="480"/>
      </w:pPr>
      <w:r>
        <w:rPr>
          <w:rFonts w:ascii="Arial" w:cs="Arial" w:eastAsia="Arial" w:hAnsi="Arial"/>
          <w:b/>
          <w:bCs/>
          <w:color w:val="C45B00"/>
          <w:sz w:val="36"/>
          <w:szCs w:val="36"/>
        </w:rPr>
        <w:t xml:space="preserve">Defensibility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Moat</w:t>
            </w:r>
          </w:p>
        </w:tc>
        <w:tc>
          <w:tcPr>
            <w:tcW w:type="dxa" w:w="65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Mechanism</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Data network effect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Every job makes pricing predictions better. More users → better predictions → better outcomes → more users. Compounds over 12–18 months.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Supply-side lock-in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Renters who earn CC have no reason to leave — earning history, reputation score, and credits do not transfer to competitors.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X402 as infrastructure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If FORGE's payment settlement layer becomes the standard for compute micro-transactions, switching cost for both providers and users increases substantially.</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Provider relationships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As FORGE becomes a meaningful traffic source for AMD, Lambda, CoreWeave etc., preferential pricing tiers are negotiated. Margin passed to users reinforces the flywheel.</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Futures liquidity</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 futures market requires two-sided liquidity. First mover who builds it owns the benchmark price. Late entrants face a cold-start problem.</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Verified trust layer</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The Verified certification programme creates a brand-backed trust signal that is slow and expensive to replicate.</w:t>
            </w:r>
          </w:p>
        </w:tc>
      </w:tr>
    </w:tbl>
    <w:p>
      <w:pPr>
        <w:spacing w:after="40" w:before="40"/>
      </w:pPr>
      <w:r>
        <w:rPr>
          <w:rFonts w:ascii="Arial" w:cs="Arial" w:eastAsia="Arial" w:hAnsi="Arial"/>
          <w:sz w:val="22"/>
          <w:szCs w:val="22"/>
        </w:rPr>
        <w:t xml:space="preserve"> </w:t>
      </w:r>
    </w:p>
    <w:p>
      <w:pPr>
        <w:shd w:fill="C45B00" w:val="clear"/>
        <w:spacing w:after="240" w:before="240"/>
        <w:jc w:val="center"/>
      </w:pPr>
      <w:r>
        <w:rPr>
          <w:rFonts w:ascii="Arial" w:cs="Arial" w:eastAsia="Arial" w:hAnsi="Arial"/>
          <w:b/>
          <w:bCs/>
          <w:color w:val="FFFFFF"/>
          <w:sz w:val="32"/>
          <w:szCs w:val="32"/>
        </w:rPr>
        <w:t xml:space="preserve">PART 6B  —  Technical PRD — Layer 6</w:t>
      </w:r>
    </w:p>
    <w:p>
      <w:pPr>
        <w:pStyle w:val="Heading1"/>
        <w:pBdr>
          <w:bottom w:val="single" w:color="C45B00" w:sz="6" w:space="4"/>
        </w:pBdr>
        <w:spacing w:after="160" w:before="480"/>
      </w:pPr>
      <w:r>
        <w:rPr>
          <w:rFonts w:ascii="Arial" w:cs="Arial" w:eastAsia="Arial" w:hAnsi="Arial"/>
          <w:b/>
          <w:bCs/>
          <w:color w:val="C45B00"/>
          <w:sz w:val="36"/>
          <w:szCs w:val="36"/>
        </w:rPr>
        <w:t xml:space="preserve">FORGE Futures Engine</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futures/engine.py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class ForgeContractEngine: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"""Manages lifecycle of compute futures contracts."""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create_contract(self, buyer_id: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spec: FuturesSpec) -&gt; Contract: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spot     = await cc_engine.current_spot(spec.instance_type)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forecast = await intel.price_forecast(spec.delivery_date)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premium  = self._forward_premium(spot, forecast, spec.tenor_days)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price    = spot * (1 + premium)</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contract = Contract(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buyer_id=buyer_id, cc_hours=spec.cc_hours,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delivery_date=spec.delivery_date,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fixed_price_cc=price,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margin_required=price * spec.cc_hours * 0.10,</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status='OPEN')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self.escrow.hold_margin(buyer_id, contract.margin_required)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contracts_db.save(contract)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contract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async def settle_contract(self, contract: Contract):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spot_at_delivery = await price_history.get(contract.delivery_date)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if contract.settlement_type == 'PHYSICAL':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self.provision_delivery(contract)  # actual compute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else:  # CASH</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pnl = (spot_at_delivery - contract.fixed_price_cc) * contract.cc_hours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self.escrow.settle_pnl(contract.buyer_id, pnl)</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await self.escrow.release_margin(contract.buyer_id, contract.margin_required)</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Intelligence API — Production Architecture</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api/intelligence.py — standalone Intelligence API</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router = APIRouter(prefix='/v1/intel', tags=['intelligence'])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@router.get('/price-forecast/{provider}/{instance}')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async def price_forecast(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provider: str, instance: str,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horizon: Literal['1h','2h','4h','8h','24h'] = '4h',</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api_key: str = Depends(verify_intel_api_key)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-&gt; PriceForecast: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await rate_limiter.check(api_key)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await forecaster.predict(provider, instance, horizon)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@router.post('/fingerprint')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async def fingerprint_workload(</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metrics: JobMetrics,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api_key: str = Depends(verify_intel_api_key)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-&gt; WorkloadClassification: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wtype = fingerprinter.classify(metrics)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best_providers = fingerprinter.recommend_provider(wtype)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return WorkloadClassification(type=wtype, recommended_providers=best_providers)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@router.get('/anomalies')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async def active_anomalies(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api_key: str = Depends(verify_intel_api_key)</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-&gt; list[AnomalySignal]:</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return anomaly_detector.active_anomalies()</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CI/CD Integration — GitHub Actions</w:t>
      </w:r>
    </w:p>
    <w:p>
      <w:pPr>
        <w:pBdr>
          <w:top w:val="single" w:color="27C880" w:sz="3"/>
          <w:left w:val="single" w:color="27C880" w:sz="6"/>
        </w:pBdr>
        <w:shd w:fill="0A1A10" w:val="clear"/>
        <w:spacing w:after="0" w:before="80"/>
        <w:ind w:left="360" w:right="360"/>
      </w:pPr>
      <w:r>
        <w:rPr>
          <w:rFonts w:ascii="Courier New" w:cs="Courier New" w:eastAsia="Courier New" w:hAnsi="Courier New"/>
          <w:color w:val="27C880"/>
          <w:sz w:val="18"/>
          <w:szCs w:val="18"/>
        </w:rPr>
        <w:t xml:space="preserve"># .github/workflows/ml-eval.yml (customer-side YAML)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name: Model Evaluation</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on: [push]</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jobs: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eval:</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runs-on: forge-gpu  # triggers FORGE runner</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steps: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uses: actions/checkout@v4</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uses: forge-ai/forge-runner@v1</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with:</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forge-api-key: ${{ secrets.FORGE_API_KEY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instance-type: gpu-a100-40gb</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max-cost-cc: 50  # hard cap in Compute Credits</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 run: python eval.py --model ./checkpoint --dataset ./test</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forge-runner provisions cheapest A100-compatible instance</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at the moment the workflow triggers — could be AMD, Lambda,</w:t>
      </w:r>
    </w:p>
    <w:p>
      <w:pPr>
        <w:pBdr>
          <w:left w:val="single" w:color="27C880" w:sz="6"/>
        </w:pBdr>
        <w:shd w:fill="0A1A10" w:val="clear"/>
        <w:spacing w:after="0" w:before="0"/>
        <w:ind w:left="360" w:right="360"/>
      </w:pPr>
      <w:r>
        <w:rPr>
          <w:rFonts w:ascii="Courier New" w:cs="Courier New" w:eastAsia="Courier New" w:hAnsi="Courier New"/>
          <w:color w:val="27C880"/>
          <w:sz w:val="18"/>
          <w:szCs w:val="18"/>
        </w:rPr>
        <w:t xml:space="preserve"># CoreWeave, or an on-premise Verified node</w:t>
      </w:r>
    </w:p>
    <w:p>
      <w:pPr>
        <w:pBdr>
          <w:bottom w:val="single" w:color="27C880" w:sz="3"/>
          <w:left w:val="single" w:color="27C880" w:sz="6"/>
        </w:pBdr>
        <w:shd w:fill="0A1A10" w:val="clear"/>
        <w:spacing w:after="80" w:before="0"/>
        <w:ind w:left="360" w:right="360"/>
      </w:pPr>
      <w:r>
        <w:rPr>
          <w:rFonts w:ascii="Courier New" w:cs="Courier New" w:eastAsia="Courier New" w:hAnsi="Courier New"/>
          <w:color w:val="27C880"/>
          <w:sz w:val="18"/>
          <w:szCs w:val="18"/>
        </w:rPr>
        <w:t xml:space="preserve"># Cost reported back to PR as a comment automatically</w:t>
      </w:r>
    </w:p>
    <w:p>
      <w:pPr>
        <w:spacing w:after="40" w:before="40"/>
      </w:pPr>
      <w:r>
        <w:rPr>
          <w:rFonts w:ascii="Arial" w:cs="Arial" w:eastAsia="Arial" w:hAnsi="Arial"/>
          <w:sz w:val="22"/>
          <w:szCs w:val="22"/>
        </w:rPr>
        <w:t xml:space="preserve"> </w:t>
      </w:r>
    </w:p>
    <w:p>
      <w:pPr>
        <w:pStyle w:val="Heading2"/>
        <w:spacing w:after="120" w:before="320"/>
      </w:pPr>
      <w:r>
        <w:rPr>
          <w:rFonts w:ascii="Arial" w:cs="Arial" w:eastAsia="Arial" w:hAnsi="Arial"/>
          <w:b/>
          <w:bCs/>
          <w:color w:val="1A5FAD"/>
          <w:sz w:val="28"/>
          <w:szCs w:val="28"/>
        </w:rPr>
        <w:t xml:space="preserve">Scale Targets —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61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2 Target</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Monthly transaction volume</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$5M+ in settled compute payments</w:t>
            </w:r>
          </w:p>
        </w:tc>
      </w:tr>
      <w:tr>
        <w:tc>
          <w:tcPr>
            <w:tcW w:type="dxa" w:w="3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Active providers</w:t>
            </w:r>
          </w:p>
        </w:tc>
        <w:tc>
          <w:tcPr>
            <w:tcW w:type="dxa" w:w="6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12+ cloud and on-premise providers</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Registered on-premise nodes</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1,000+ Verified nodes across Bronze/Silver/Gold tiers</w:t>
            </w:r>
          </w:p>
        </w:tc>
      </w:tr>
      <w:tr>
        <w:tc>
          <w:tcPr>
            <w:tcW w:type="dxa" w:w="3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Intelligence API customers</w:t>
            </w:r>
          </w:p>
        </w:tc>
        <w:tc>
          <w:tcPr>
            <w:tcW w:type="dxa" w:w="6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50+ paying API customers (MLOps platforms, FinOps tools)</w:t>
            </w:r>
          </w:p>
        </w:tc>
      </w:tr>
      <w:tr>
        <w:tc>
          <w:tcPr>
            <w:tcW w:type="dxa" w:w="3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Futures contracts outstanding</w:t>
            </w:r>
          </w:p>
        </w:tc>
        <w:tc>
          <w:tcPr>
            <w:tcW w:type="dxa" w:w="61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$500K+ notional value at any given time</w:t>
            </w:r>
          </w:p>
        </w:tc>
      </w:tr>
      <w:tr>
        <w:tc>
          <w:tcPr>
            <w:tcW w:type="dxa" w:w="3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CI/CD pipeline runs routed</w:t>
            </w:r>
          </w:p>
        </w:tc>
        <w:tc>
          <w:tcPr>
            <w:tcW w:type="dxa" w:w="61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vAlign w:val="center"/>
          </w:tcPr>
          <w:p>
            <w:r>
              <w:rPr>
                <w:rFonts w:ascii="Arial" w:cs="Arial" w:eastAsia="Arial" w:hAnsi="Arial"/>
                <w:b w:val="false"/>
                <w:bCs w:val="false"/>
                <w:color w:val="1A1D23"/>
                <w:sz w:val="20"/>
                <w:szCs w:val="20"/>
              </w:rPr>
              <w:t xml:space="preserve">100,000+ per month across GitHub Actions and GitLab CI integrations</w:t>
            </w:r>
          </w:p>
        </w:tc>
      </w:tr>
    </w:tbl>
    <w:p>
      <w:pPr>
        <w:pBdr>
          <w:bottom w:val="single" w:color="D0D5DE" w:sz="2" w:space="1"/>
        </w:pBdr>
        <w:spacing w:after="120" w:before="120"/>
      </w:pPr>
    </w:p>
    <w:p>
      <w:pPr>
        <w:spacing w:after="0" w:before="120"/>
        <w:jc w:val="center"/>
      </w:pPr>
      <w:r>
        <w:rPr>
          <w:rFonts w:ascii="Arial" w:cs="Arial" w:eastAsia="Arial" w:hAnsi="Arial"/>
          <w:i/>
          <w:iCs/>
          <w:color w:val="8B96AA"/>
          <w:sz w:val="18"/>
          <w:szCs w:val="18"/>
        </w:rPr>
        <w:t xml:space="preserve">FORGE Full PRD v0.1  —  All Layers 1–6  —  Confidential  —  May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E" w:sz="2" w:space="4"/>
      </w:pBdr>
      <w:tabs>
        <w:tab w:val="right" w:pos="9360"/>
      </w:tabs>
      <w:spacing w:after="0" w:before="120"/>
    </w:pPr>
    <w:r>
      <w:rPr>
        <w:rFonts w:ascii="Arial" w:cs="Arial" w:eastAsia="Arial" w:hAnsi="Arial"/>
        <w:color w:val="8B96AA"/>
        <w:sz w:val="16"/>
        <w:szCs w:val="16"/>
      </w:rPr>
      <w:t xml:space="preserve">Confidential — FORGE v0.1 — All Rights Reserved</w:t>
    </w:r>
    <w:r>
      <w:rPr>
        <w:rFonts w:ascii="Arial" w:cs="Arial" w:eastAsia="Arial" w:hAnsi="Arial"/>
        <w:sz w:val="16"/>
        <w:szCs w:val="16"/>
      </w:rPr>
      <w:t xml:space="preserve">	</w:t>
    </w:r>
    <w:r>
      <w:rPr>
        <w:rFonts w:ascii="Arial" w:cs="Arial" w:eastAsia="Arial" w:hAnsi="Arial"/>
        <w:color w:val="8B96A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72A" w:sz="4" w:space="4"/>
      </w:pBdr>
      <w:tabs>
        <w:tab w:val="right" w:pos="9360"/>
      </w:tabs>
      <w:spacing w:after="120" w:before="0"/>
    </w:pPr>
    <w:r>
      <w:rPr>
        <w:rFonts w:ascii="Arial" w:cs="Arial" w:eastAsia="Arial" w:hAnsi="Arial"/>
        <w:b/>
        <w:bCs/>
        <w:color w:val="E8472A"/>
        <w:sz w:val="18"/>
        <w:szCs w:val="18"/>
      </w:rPr>
      <w:t xml:space="preserve">FORGE</w:t>
    </w:r>
    <w:r>
      <w:rPr>
        <w:rFonts w:ascii="Arial" w:cs="Arial" w:eastAsia="Arial" w:hAnsi="Arial"/>
        <w:color w:val="8B96AA"/>
        <w:sz w:val="18"/>
        <w:szCs w:val="18"/>
      </w:rPr>
      <w:t xml:space="preserve">  —  Full PRD · Layers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2026-05-05T07:04:42.147Z</dcterms:created>
  <dcterms:modified xsi:type="dcterms:W3CDTF">2026-05-05T07:04:42.148Z</dcterms:modified>
</cp:coreProperties>
</file>

<file path=docProps/custom.xml><?xml version="1.0" encoding="utf-8"?>
<Properties xmlns="http://schemas.openxmlformats.org/officeDocument/2006/custom-properties" xmlns:vt="http://schemas.openxmlformats.org/officeDocument/2006/docPropsVTypes"/>
</file>