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1F9B5" w14:textId="09E134E6" w:rsidR="00A0482C" w:rsidRDefault="00000000">
      <w:pPr>
        <w:spacing w:after="160" w:line="276" w:lineRule="auto"/>
        <w:jc w:val="center"/>
      </w:pPr>
      <w:r>
        <w:rPr>
          <w:b/>
          <w:bCs/>
          <w:sz w:val="30"/>
          <w:szCs w:val="30"/>
        </w:rPr>
        <w:t xml:space="preserve">Stock decline or target switch? Separating data from assumptions in </w:t>
      </w:r>
      <w:r w:rsidR="00146367">
        <w:rPr>
          <w:b/>
          <w:bCs/>
          <w:sz w:val="30"/>
          <w:szCs w:val="30"/>
        </w:rPr>
        <w:t xml:space="preserve">a catch-based </w:t>
      </w:r>
      <w:r>
        <w:rPr>
          <w:b/>
          <w:bCs/>
          <w:sz w:val="30"/>
          <w:szCs w:val="30"/>
        </w:rPr>
        <w:t>assessment of mackerel scad (</w:t>
      </w:r>
      <w:proofErr w:type="spellStart"/>
      <w:r>
        <w:rPr>
          <w:b/>
          <w:bCs/>
          <w:i/>
          <w:iCs/>
          <w:sz w:val="30"/>
          <w:szCs w:val="30"/>
        </w:rPr>
        <w:t>Decapterus</w:t>
      </w:r>
      <w:proofErr w:type="spellEnd"/>
      <w:r>
        <w:rPr>
          <w:b/>
          <w:bCs/>
          <w:i/>
          <w:iCs/>
          <w:sz w:val="30"/>
          <w:szCs w:val="30"/>
        </w:rPr>
        <w:t xml:space="preserve"> </w:t>
      </w:r>
      <w:proofErr w:type="spellStart"/>
      <w:r>
        <w:rPr>
          <w:b/>
          <w:bCs/>
          <w:i/>
          <w:iCs/>
          <w:sz w:val="30"/>
          <w:szCs w:val="30"/>
        </w:rPr>
        <w:t>macarellus</w:t>
      </w:r>
      <w:proofErr w:type="spellEnd"/>
      <w:r>
        <w:rPr>
          <w:b/>
          <w:bCs/>
          <w:sz w:val="30"/>
          <w:szCs w:val="30"/>
        </w:rPr>
        <w:t>) in Cabo Verde</w:t>
      </w:r>
    </w:p>
    <w:p w14:paraId="46C5459B" w14:textId="77777777" w:rsidR="00A0482C" w:rsidRPr="00621BD1" w:rsidRDefault="00000000">
      <w:pPr>
        <w:spacing w:after="100"/>
        <w:jc w:val="center"/>
        <w:rPr>
          <w:lang w:val="pt-BR"/>
        </w:rPr>
      </w:pPr>
      <w:r w:rsidRPr="00621BD1">
        <w:rPr>
          <w:lang w:val="pt-BR"/>
        </w:rPr>
        <w:t>Matheus Lourenço Soares da Silva</w:t>
      </w:r>
      <w:proofErr w:type="gramStart"/>
      <w:r w:rsidRPr="00621BD1">
        <w:rPr>
          <w:vertAlign w:val="superscript"/>
          <w:lang w:val="pt-BR"/>
        </w:rPr>
        <w:t>1,*</w:t>
      </w:r>
      <w:proofErr w:type="gramEnd"/>
      <w:r w:rsidRPr="00621BD1">
        <w:rPr>
          <w:lang w:val="pt-BR"/>
        </w:rPr>
        <w:t>, Lucas Santos</w:t>
      </w:r>
      <w:r w:rsidRPr="00621BD1">
        <w:rPr>
          <w:vertAlign w:val="superscript"/>
          <w:lang w:val="pt-BR"/>
        </w:rPr>
        <w:t>1</w:t>
      </w:r>
      <w:r w:rsidRPr="00621BD1">
        <w:rPr>
          <w:lang w:val="pt-BR"/>
        </w:rPr>
        <w:t>, Sandra Margarida Correia</w:t>
      </w:r>
      <w:r w:rsidRPr="00621BD1">
        <w:rPr>
          <w:vertAlign w:val="superscript"/>
          <w:lang w:val="pt-BR"/>
        </w:rPr>
        <w:t>2</w:t>
      </w:r>
      <w:r w:rsidRPr="00621BD1">
        <w:rPr>
          <w:lang w:val="pt-BR"/>
        </w:rPr>
        <w:t>, Vito Melo Ramos</w:t>
      </w:r>
      <w:r w:rsidRPr="00621BD1">
        <w:rPr>
          <w:vertAlign w:val="superscript"/>
          <w:lang w:val="pt-BR"/>
        </w:rPr>
        <w:t>2</w:t>
      </w:r>
      <w:r w:rsidRPr="00621BD1">
        <w:rPr>
          <w:lang w:val="pt-BR"/>
        </w:rPr>
        <w:t>, Nuno Vieira</w:t>
      </w:r>
      <w:r w:rsidRPr="00621BD1">
        <w:rPr>
          <w:vertAlign w:val="superscript"/>
          <w:lang w:val="pt-BR"/>
        </w:rPr>
        <w:t>2</w:t>
      </w:r>
      <w:r w:rsidRPr="00621BD1">
        <w:rPr>
          <w:lang w:val="pt-BR"/>
        </w:rPr>
        <w:t>, Albertino R. Martins</w:t>
      </w:r>
      <w:r w:rsidRPr="00621BD1">
        <w:rPr>
          <w:vertAlign w:val="superscript"/>
          <w:lang w:val="pt-BR"/>
        </w:rPr>
        <w:t>2</w:t>
      </w:r>
      <w:r w:rsidRPr="00621BD1">
        <w:rPr>
          <w:lang w:val="pt-BR"/>
        </w:rPr>
        <w:t xml:space="preserve">, </w:t>
      </w:r>
      <w:proofErr w:type="spellStart"/>
      <w:r w:rsidRPr="00621BD1">
        <w:rPr>
          <w:lang w:val="pt-BR"/>
        </w:rPr>
        <w:t>Alciany</w:t>
      </w:r>
      <w:proofErr w:type="spellEnd"/>
      <w:r w:rsidRPr="00621BD1">
        <w:rPr>
          <w:lang w:val="pt-BR"/>
        </w:rPr>
        <w:t xml:space="preserve"> Nascimento da Luz</w:t>
      </w:r>
      <w:r w:rsidRPr="00621BD1">
        <w:rPr>
          <w:vertAlign w:val="superscript"/>
          <w:lang w:val="pt-BR"/>
        </w:rPr>
        <w:t>2</w:t>
      </w:r>
      <w:r w:rsidRPr="00621BD1">
        <w:rPr>
          <w:lang w:val="pt-BR"/>
        </w:rPr>
        <w:t>, Flávia Lucena Frédou</w:t>
      </w:r>
      <w:r w:rsidRPr="00621BD1">
        <w:rPr>
          <w:vertAlign w:val="superscript"/>
          <w:lang w:val="pt-BR"/>
        </w:rPr>
        <w:t>1</w:t>
      </w:r>
    </w:p>
    <w:p w14:paraId="190C35A3" w14:textId="77777777" w:rsidR="00A0482C" w:rsidRPr="00621BD1" w:rsidRDefault="00000000">
      <w:pPr>
        <w:spacing w:after="20"/>
        <w:jc w:val="center"/>
        <w:rPr>
          <w:lang w:val="pt-BR"/>
        </w:rPr>
      </w:pPr>
      <w:r w:rsidRPr="00621BD1">
        <w:rPr>
          <w:sz w:val="19"/>
          <w:szCs w:val="19"/>
          <w:vertAlign w:val="superscript"/>
          <w:lang w:val="pt-BR"/>
        </w:rPr>
        <w:t>1</w:t>
      </w:r>
      <w:r w:rsidRPr="00621BD1">
        <w:rPr>
          <w:sz w:val="19"/>
          <w:szCs w:val="19"/>
          <w:lang w:val="pt-BR"/>
        </w:rPr>
        <w:t xml:space="preserve"> Departamento de Pesca e Aquicultura, Universidade Federal Rural de Pernambuco (UFRPE), Recife, Pernambuco, </w:t>
      </w:r>
      <w:proofErr w:type="spellStart"/>
      <w:r w:rsidRPr="00621BD1">
        <w:rPr>
          <w:sz w:val="19"/>
          <w:szCs w:val="19"/>
          <w:lang w:val="pt-BR"/>
        </w:rPr>
        <w:t>Brazil</w:t>
      </w:r>
      <w:proofErr w:type="spellEnd"/>
    </w:p>
    <w:p w14:paraId="0472637E" w14:textId="77777777" w:rsidR="00A0482C" w:rsidRPr="00621BD1" w:rsidRDefault="00000000">
      <w:pPr>
        <w:spacing w:after="20"/>
        <w:jc w:val="center"/>
        <w:rPr>
          <w:lang w:val="pt-BR"/>
        </w:rPr>
      </w:pPr>
      <w:r w:rsidRPr="00621BD1">
        <w:rPr>
          <w:sz w:val="19"/>
          <w:szCs w:val="19"/>
          <w:vertAlign w:val="superscript"/>
          <w:lang w:val="pt-BR"/>
        </w:rPr>
        <w:t>2</w:t>
      </w:r>
      <w:r w:rsidRPr="00621BD1">
        <w:rPr>
          <w:sz w:val="19"/>
          <w:szCs w:val="19"/>
          <w:lang w:val="pt-BR"/>
        </w:rPr>
        <w:t xml:space="preserve"> Instituto do Mar (</w:t>
      </w:r>
      <w:proofErr w:type="spellStart"/>
      <w:r w:rsidRPr="00621BD1">
        <w:rPr>
          <w:sz w:val="19"/>
          <w:szCs w:val="19"/>
          <w:lang w:val="pt-BR"/>
        </w:rPr>
        <w:t>IMar</w:t>
      </w:r>
      <w:proofErr w:type="spellEnd"/>
      <w:r w:rsidRPr="00621BD1">
        <w:rPr>
          <w:sz w:val="19"/>
          <w:szCs w:val="19"/>
          <w:lang w:val="pt-BR"/>
        </w:rPr>
        <w:t>), Mindelo, São Vicente, Cabo Verde</w:t>
      </w:r>
    </w:p>
    <w:p w14:paraId="335F91DF" w14:textId="77777777" w:rsidR="00A0482C" w:rsidRDefault="00000000">
      <w:pPr>
        <w:spacing w:after="20"/>
        <w:jc w:val="center"/>
      </w:pPr>
      <w:r>
        <w:rPr>
          <w:sz w:val="19"/>
          <w:szCs w:val="19"/>
          <w:vertAlign w:val="superscript"/>
        </w:rPr>
        <w:t>*</w:t>
      </w:r>
      <w:r>
        <w:rPr>
          <w:sz w:val="19"/>
          <w:szCs w:val="19"/>
        </w:rPr>
        <w:t xml:space="preserve"> Corresponding author: matheus.ssilva@ufrpe.br</w:t>
      </w:r>
    </w:p>
    <w:p w14:paraId="746BDB38" w14:textId="77777777" w:rsidR="00A0482C" w:rsidRDefault="00000000">
      <w:pPr>
        <w:pStyle w:val="Ttulo1"/>
        <w:keepNext/>
        <w:spacing w:before="200" w:after="100"/>
      </w:pPr>
      <w:r>
        <w:t>Abstract</w:t>
      </w:r>
    </w:p>
    <w:p w14:paraId="68C5F0EC" w14:textId="77777777" w:rsidR="00A0482C" w:rsidRDefault="00000000">
      <w:pPr>
        <w:spacing w:after="80" w:line="252" w:lineRule="auto"/>
        <w:jc w:val="both"/>
      </w:pPr>
      <w:r>
        <w:t>Mackerel scad (</w:t>
      </w:r>
      <w:proofErr w:type="spellStart"/>
      <w:r>
        <w:rPr>
          <w:i/>
          <w:iCs/>
        </w:rPr>
        <w:t>Decapterus</w:t>
      </w:r>
      <w:proofErr w:type="spellEnd"/>
      <w:r>
        <w:rPr>
          <w:i/>
          <w:iCs/>
        </w:rPr>
        <w:t xml:space="preserve"> </w:t>
      </w:r>
      <w:proofErr w:type="spellStart"/>
      <w:r>
        <w:rPr>
          <w:i/>
          <w:iCs/>
        </w:rPr>
        <w:t>macarellus</w:t>
      </w:r>
      <w:proofErr w:type="spellEnd"/>
      <w:r>
        <w:t>) has historically been the main small pelagic resource of Cabo Verde, supplying low-cost protein, tuna bait and raw material for canning. Landings peaked at about 3,000 t in the late 1990s and fell to less than 250 t yr</w:t>
      </w:r>
      <w:r>
        <w:rPr>
          <w:vertAlign w:val="superscript"/>
        </w:rPr>
        <w:t>−1</w:t>
      </w:r>
      <w:r>
        <w:t xml:space="preserve"> after 2014, but whether this decline reflects stock depletion or a shift of the multispecies purse-seine fleet towards other species remains unresolved, and previous assessments have reached contradictory conclusions. We assessed the stock with three complementary models fitted to a common </w:t>
      </w:r>
      <w:proofErr w:type="gramStart"/>
      <w:r>
        <w:t>landings</w:t>
      </w:r>
      <w:proofErr w:type="gramEnd"/>
      <w:r>
        <w:t xml:space="preserve"> series: two catch-only methods, Depletion-Based Stock Reduction Analysis (DB-SRA) and CMSY++, and a Bayesian state-space surplus production model (JABBA) fitted to six abundance indices. The competing explanations for the catch decline were formalized as four alternative priors on final depletion, and 46 scenarios crossed these hypotheses with uncertainty in natural mortality, productivity, abundance index and time window. Trip-level records (2015–2025) were used to infer fishing tactics from catch composition and to standardize catch per unit effort (CPUE). Maximum sustainable yield (MSY) was consistent across catch-only models and assumptions, at about 1,800 t yr</w:t>
      </w:r>
      <w:r>
        <w:rPr>
          <w:vertAlign w:val="superscript"/>
        </w:rPr>
        <w:t>−1</w:t>
      </w:r>
      <w:r>
        <w:t xml:space="preserve"> (95% intervals of approximately 1,300–2,700 t), and both models indicated fishing mortality above F</w:t>
      </w:r>
      <w:r>
        <w:rPr>
          <w:vertAlign w:val="subscript"/>
        </w:rPr>
        <w:t>MSY</w:t>
      </w:r>
      <w:r>
        <w:t xml:space="preserve"> from the late 1990s to the mid-2010s. Fishing mortality in the final year was below F</w:t>
      </w:r>
      <w:r>
        <w:rPr>
          <w:vertAlign w:val="subscript"/>
        </w:rPr>
        <w:t>MSY</w:t>
      </w:r>
      <w:r>
        <w:t xml:space="preserve"> in all 46 scenarios, and catches in 2020–2025 corresponded to only 3–23% of MSY. In contrast, current biomass (B/B</w:t>
      </w:r>
      <w:r>
        <w:rPr>
          <w:vertAlign w:val="subscript"/>
        </w:rPr>
        <w:t>MSY</w:t>
      </w:r>
      <w:r>
        <w:t xml:space="preserve"> from 0.15 to 2.6) mirrored the depletion prior or the abundance index used. All CPUE series rose and fell with catches (Spearman ρ = 0.47–0.96), and standardization did not change their trend, indicating that CPUE tracked fleet targeting and availability rather than abundance; trip compositions support a switch of the fleet towards frigate tuna (</w:t>
      </w:r>
      <w:proofErr w:type="spellStart"/>
      <w:r>
        <w:rPr>
          <w:i/>
          <w:iCs/>
        </w:rPr>
        <w:t>Auxis</w:t>
      </w:r>
      <w:proofErr w:type="spellEnd"/>
      <w:r>
        <w:t xml:space="preserve"> spp.) and skipjack tuna. Current exploitation is below sustainable levels in every scenario (F/F</w:t>
      </w:r>
      <w:r>
        <w:rPr>
          <w:vertAlign w:val="subscript"/>
        </w:rPr>
        <w:t>MSY</w:t>
      </w:r>
      <w:r>
        <w:t xml:space="preserve"> &lt; 1) and, as long as the fleet keeps targeting other species, catch or effort restrictions do not appear necessary at present. Because biomass remains unknown, we recommend catch-based triggers to detect a return of targeting, recording of the target species in logbooks, and fishery-independent and length-based indicators.</w:t>
      </w:r>
    </w:p>
    <w:p w14:paraId="0CB87810" w14:textId="77777777" w:rsidR="00A0482C" w:rsidRDefault="00000000">
      <w:pPr>
        <w:spacing w:before="60" w:after="120"/>
        <w:jc w:val="both"/>
      </w:pPr>
      <w:r>
        <w:rPr>
          <w:b/>
          <w:bCs/>
        </w:rPr>
        <w:t xml:space="preserve">Keywords: </w:t>
      </w:r>
      <w:r>
        <w:t>data-limited stock assessment; catch-only methods; JABBA; CPUE standardization; target switching; small pelagic fisheries; Cabo Verde</w:t>
      </w:r>
    </w:p>
    <w:p w14:paraId="1BE2A7A0" w14:textId="77777777" w:rsidR="00A0482C" w:rsidRDefault="00000000">
      <w:pPr>
        <w:pStyle w:val="Ttulo1"/>
        <w:keepNext/>
        <w:spacing w:before="200" w:after="100"/>
      </w:pPr>
      <w:r>
        <w:t>1. Introduction</w:t>
      </w:r>
    </w:p>
    <w:p w14:paraId="6145663C" w14:textId="77777777" w:rsidR="00A0482C" w:rsidRDefault="00000000">
      <w:pPr>
        <w:spacing w:after="80" w:line="252" w:lineRule="auto"/>
        <w:ind w:firstLine="340"/>
        <w:jc w:val="both"/>
      </w:pPr>
      <w:r>
        <w:t xml:space="preserve">Marine capture fisheries remain a cornerstone of global food systems. In 2024, wild capture fisheries landed about 92 million </w:t>
      </w:r>
      <w:proofErr w:type="spellStart"/>
      <w:r>
        <w:t>tonnes</w:t>
      </w:r>
      <w:proofErr w:type="spellEnd"/>
      <w:r>
        <w:t xml:space="preserve"> of aquatic animals, 80 million </w:t>
      </w:r>
      <w:proofErr w:type="spellStart"/>
      <w:r>
        <w:t>tonnes</w:t>
      </w:r>
      <w:proofErr w:type="spellEnd"/>
      <w:r>
        <w:t xml:space="preserve"> of which came from the sea, a level that has oscillated between 86 and 94 million </w:t>
      </w:r>
      <w:proofErr w:type="spellStart"/>
      <w:r>
        <w:t>tonnes</w:t>
      </w:r>
      <w:proofErr w:type="spellEnd"/>
      <w:r>
        <w:t xml:space="preserve"> since the late 1980s (FAO, 2026). Aquatic foods provided at least one fifth of the animal protein intake of 3.1 billion people, and the sector directly employed about 65 million people and supported the livelihoods of roughly 600 million (FAO, 2026). Small-scale fisheries alone provide about 40% of the global catch and support, at least partially, the livelihoods of 492 million people, mostly in developing countries (FAO, Duke University and WorldFish, 2023). These benefits are unevenly distributed: in Africa, per capita availability of aquatic foods is 9.1 kg yr</w:t>
      </w:r>
      <w:r>
        <w:rPr>
          <w:vertAlign w:val="superscript"/>
        </w:rPr>
        <w:t>−1</w:t>
      </w:r>
      <w:r>
        <w:t>, less than half of the world average (FAO, 2026), and in coastal and island states with few alternative sources of protein, jobs or export revenue, the condition of a few stocks can directly affect food security, household income and the trade balance.</w:t>
      </w:r>
    </w:p>
    <w:p w14:paraId="3E700615" w14:textId="77777777" w:rsidR="00A0482C" w:rsidRDefault="00000000">
      <w:pPr>
        <w:spacing w:after="80" w:line="252" w:lineRule="auto"/>
        <w:ind w:firstLine="340"/>
        <w:jc w:val="both"/>
      </w:pPr>
      <w:r>
        <w:t>Small pelagic fishes are central to this picture. Forage fish account for about one fifth of the global ex-vessel value of marine catches and, as prey, support other fisheries worth roughly twice their own value (</w:t>
      </w:r>
      <w:proofErr w:type="spellStart"/>
      <w:r>
        <w:t>Pikitch</w:t>
      </w:r>
      <w:proofErr w:type="spellEnd"/>
      <w:r>
        <w:t xml:space="preserve"> et al., 2014). Being abundant, cheap and rich in micronutrients, small </w:t>
      </w:r>
      <w:proofErr w:type="spellStart"/>
      <w:r>
        <w:t>pelagics</w:t>
      </w:r>
      <w:proofErr w:type="spellEnd"/>
      <w:r>
        <w:t xml:space="preserve"> were the most affordable nutritious fish in 72% of the 39 low- and middle-income countries </w:t>
      </w:r>
      <w:proofErr w:type="spellStart"/>
      <w:r>
        <w:t>analysed</w:t>
      </w:r>
      <w:proofErr w:type="spellEnd"/>
      <w:r>
        <w:t xml:space="preserve"> by Robinson et al. (2022). In West Africa, they yield about 1.3 million </w:t>
      </w:r>
      <w:proofErr w:type="spellStart"/>
      <w:r>
        <w:t>tonnes</w:t>
      </w:r>
      <w:proofErr w:type="spellEnd"/>
      <w:r>
        <w:t xml:space="preserve"> per year, but per capita consumption has fallen by about 2 kg over the last decade, to roughly 5 kg yr</w:t>
      </w:r>
      <w:r>
        <w:rPr>
          <w:vertAlign w:val="superscript"/>
        </w:rPr>
        <w:t>−1</w:t>
      </w:r>
      <w:r>
        <w:t xml:space="preserve">, under the pressure of overexploited stocks, the expanding fishmeal industry and weak regional governance (Bara </w:t>
      </w:r>
      <w:proofErr w:type="spellStart"/>
      <w:r>
        <w:t>Dème</w:t>
      </w:r>
      <w:proofErr w:type="spellEnd"/>
      <w:r>
        <w:t xml:space="preserve"> and </w:t>
      </w:r>
      <w:proofErr w:type="spellStart"/>
      <w:r>
        <w:t>Failler</w:t>
      </w:r>
      <w:proofErr w:type="spellEnd"/>
      <w:r>
        <w:t xml:space="preserve">, 2024). Small </w:t>
      </w:r>
      <w:proofErr w:type="spellStart"/>
      <w:r>
        <w:t>pelagics</w:t>
      </w:r>
      <w:proofErr w:type="spellEnd"/>
      <w:r>
        <w:t xml:space="preserve"> are also among the most difficult stocks to assess. Their abundance fluctuates widely with environmental conditions (Checkley et al., 2017); their schooling </w:t>
      </w:r>
      <w:proofErr w:type="spellStart"/>
      <w:r>
        <w:t>behaviour</w:t>
      </w:r>
      <w:proofErr w:type="spellEnd"/>
      <w:r>
        <w:t xml:space="preserve"> allows fleets to maintain high catch rates while abundance declines, making catch per unit effort (CPUE) </w:t>
      </w:r>
      <w:proofErr w:type="spellStart"/>
      <w:r>
        <w:t>hyperstable</w:t>
      </w:r>
      <w:proofErr w:type="spellEnd"/>
      <w:r>
        <w:t xml:space="preserve"> (Harley et al., 2001; Maunder et al., 2006); and they are often caught by multispecies purse-seine fleets that redirect effort among species, </w:t>
      </w:r>
      <w:r>
        <w:lastRenderedPageBreak/>
        <w:t>so that changes in catch and CPUE may reflect targeting rather than abundance (Maunder and Punt, 2004; Hoyle et al., 2024).</w:t>
      </w:r>
    </w:p>
    <w:p w14:paraId="6AA617E3" w14:textId="77777777" w:rsidR="00A0482C" w:rsidRDefault="00000000">
      <w:pPr>
        <w:spacing w:after="80" w:line="252" w:lineRule="auto"/>
        <w:ind w:firstLine="340"/>
        <w:jc w:val="both"/>
      </w:pPr>
      <w:r>
        <w:t xml:space="preserve">Pressure on wild stocks continues to increase. Of the 2,665 marine stocks evaluated in the latest global assessment, 37.6% were overfished, and the proportion fished within biologically sustainable levels fell to 62.4% (FAO, 2026). Landings show a more </w:t>
      </w:r>
      <w:proofErr w:type="spellStart"/>
      <w:r>
        <w:t>favourable</w:t>
      </w:r>
      <w:proofErr w:type="spellEnd"/>
      <w:r>
        <w:t xml:space="preserve"> picture (72.6% came from sustainable stocks in 2023) because the largest stocks tend to be assessed and actively managed, and assessed stocks have, on average, been increasing or are at target levels (FAO, 2026; Hilborn et al., 2020). In the Eastern Central Atlantic, which includes Cabo Verde, however, only 47.4% of the evaluated stocks were sustainably fished (FAO, 2025). Formally assessed stocks account for only about half of the global catch (Hilborn et al., 2020), and small unassessed fisheries are generally in worse condition than assessed ones (Costello et al., 2012), often because the age, length and abundance data required by conventional assessment models do not exist.</w:t>
      </w:r>
    </w:p>
    <w:p w14:paraId="00EF4B84" w14:textId="77777777" w:rsidR="00A0482C" w:rsidRDefault="00000000">
      <w:pPr>
        <w:spacing w:after="80" w:line="252" w:lineRule="auto"/>
        <w:ind w:firstLine="340"/>
        <w:jc w:val="both"/>
      </w:pPr>
      <w:r>
        <w:t xml:space="preserve">Data-limited methods have been developed to fill this gap (Dowling et al., 2015). Catch-only methods reconstruct biomass from the catch history combined with priors on productivity and depletion: Depletion-Based Stock Reduction Analysis (DB-SRA) derives sustainable yields from an assumed reduction in biomass (Dick and MacCall, 2011), and the CMSY family estimates productivity and carrying capacity from catches and resilience (Martell and Froese, 2013; Froese et al., 2017), now as a Bayesian state-space model with neural-network priors on depletion (CMSY++; Froese et al., 2023). When an abundance index exists, state-space surplus production models such as JABBA (Winker et al., 2018) estimate status from the joint information in catches and indices. These tools are routinely used in regional fisheries bodies, as in the latest Indian Ocean assessment of </w:t>
      </w:r>
      <w:proofErr w:type="spellStart"/>
      <w:r>
        <w:t>kawakawa</w:t>
      </w:r>
      <w:proofErr w:type="spellEnd"/>
      <w:r>
        <w:t xml:space="preserve">, </w:t>
      </w:r>
      <w:proofErr w:type="spellStart"/>
      <w:r>
        <w:rPr>
          <w:i/>
          <w:iCs/>
        </w:rPr>
        <w:t>Euthynnus</w:t>
      </w:r>
      <w:proofErr w:type="spellEnd"/>
      <w:r>
        <w:rPr>
          <w:i/>
          <w:iCs/>
        </w:rPr>
        <w:t xml:space="preserve"> </w:t>
      </w:r>
      <w:proofErr w:type="spellStart"/>
      <w:r>
        <w:rPr>
          <w:i/>
          <w:iCs/>
        </w:rPr>
        <w:t>affinis</w:t>
      </w:r>
      <w:proofErr w:type="spellEnd"/>
      <w:r>
        <w:t xml:space="preserve">, based on CMSY++ and JABBA (Phillips, 2026), or the JABBA assessment of Atlantic porbeagle (Ortiz et al., 2022), and are applied to data-poor stocks worldwide (e.g., </w:t>
      </w:r>
      <w:proofErr w:type="spellStart"/>
      <w:r>
        <w:t>Mirrasouli</w:t>
      </w:r>
      <w:proofErr w:type="spellEnd"/>
      <w:r>
        <w:t xml:space="preserve"> et al., 2023). Their main weakness is also well documented: their performance depends on how accurately depletion is specified (Carruthers et al., 2014; Wetzel and Punt, 2015), catch-only estimates of status largely reproduce the depletion priors (Free et al., 2020; Ovando et al., 2022), and index-based models are only as reliable as the assumption that CPUE is proportional to abundance (Hoyle et al., 2024).</w:t>
      </w:r>
    </w:p>
    <w:p w14:paraId="7730B794" w14:textId="77777777" w:rsidR="00A0482C" w:rsidRDefault="00000000">
      <w:pPr>
        <w:spacing w:after="80" w:line="252" w:lineRule="auto"/>
        <w:ind w:firstLine="340"/>
        <w:jc w:val="both"/>
      </w:pPr>
      <w:r>
        <w:t>Two strategies help to deal with these limitations. One is to combine several models with partly independent errors; ensembles of data-limited models estimate status more accurately than their individual members (Anderson et al., 2017). The other is to correct CPUE for targeting. In multispecies fisheries the target species is rarely recorded, but it can be inferred from catch composition, either to select trips directed at the species (Stephens and MacCall, 2004) or to build a covariate describing the fishing tactic, as discrete clusters (He et al., 1997; Winker et al., 2013) or continuous principal components (Winker et al., 2014); alternatively, the target can be modelled explicitly (Okamura et al., 2018). Accounting for targeting is now considered good practice in CPUE standardization (Hoyle et al., 2024).</w:t>
      </w:r>
    </w:p>
    <w:p w14:paraId="22FFA48D" w14:textId="77777777" w:rsidR="00A0482C" w:rsidRDefault="00000000">
      <w:pPr>
        <w:spacing w:after="80" w:line="252" w:lineRule="auto"/>
        <w:ind w:firstLine="340"/>
        <w:jc w:val="both"/>
      </w:pPr>
      <w:r>
        <w:t>Cabo Verde illustrates these challenges. The archipelago's exclusive economic zone is almost 200 times larger than its land area, and fisheries directly employ more than 8,600 people, including about 5,000 fishers, 80% of them in the artisanal fleet (Thiao, 2026). Primary fish production represents less than 1% of the gross domestic product, but 7–10% when processing and related activities are included, and fish products, mainly canned tuna and mackerel, account for 77% of the country's total trade and are its main export (Thiao, 2026).</w:t>
      </w:r>
    </w:p>
    <w:p w14:paraId="445876EF" w14:textId="77777777" w:rsidR="00A0482C" w:rsidRDefault="00000000">
      <w:pPr>
        <w:spacing w:after="80" w:line="252" w:lineRule="auto"/>
        <w:ind w:firstLine="340"/>
        <w:jc w:val="both"/>
      </w:pPr>
      <w:r>
        <w:t xml:space="preserve">Mackerel scad, </w:t>
      </w:r>
      <w:proofErr w:type="spellStart"/>
      <w:r>
        <w:rPr>
          <w:i/>
          <w:iCs/>
        </w:rPr>
        <w:t>Decapterus</w:t>
      </w:r>
      <w:proofErr w:type="spellEnd"/>
      <w:r>
        <w:rPr>
          <w:i/>
          <w:iCs/>
        </w:rPr>
        <w:t xml:space="preserve"> </w:t>
      </w:r>
      <w:proofErr w:type="spellStart"/>
      <w:r>
        <w:rPr>
          <w:i/>
          <w:iCs/>
        </w:rPr>
        <w:t>macarellus</w:t>
      </w:r>
      <w:proofErr w:type="spellEnd"/>
      <w:r>
        <w:t xml:space="preserve"> (Cuvier, 1833), is a small pelagic carangid with a </w:t>
      </w:r>
      <w:proofErr w:type="spellStart"/>
      <w:r>
        <w:t>circumglobal</w:t>
      </w:r>
      <w:proofErr w:type="spellEnd"/>
      <w:r>
        <w:t xml:space="preserve"> distribution in tropical and subtropical waters (da Luz and Vieira, 2020). Adults prefer clear oceanic waters, frequently around islands, form fast-moving schools usually between 40 and 200 m depth and feed mainly on zooplankton (Froese and Pauly, 2026). In Cabo Verde the species grows fast, reaching about 20 cm fork length (FL) in its first year (Almada, 1997). Estimates of asymptotic length differ between older studies, around 30 cm FL (Almada, 1997; Jardim, 1999), and more recent ones, above 40 cm FL (Santos, 2018; Vieira, 2019; da Cruz Delgado et al., 2024), a difference that probably reflects the methods used to separate cohorts in length data rather than a real change in growth. Reproduction is protracted: spawning extends from March to October, with peaks in March and between July and October, and length at first maturity (L</w:t>
      </w:r>
      <w:r>
        <w:rPr>
          <w:vertAlign w:val="subscript"/>
        </w:rPr>
        <w:t>50</w:t>
      </w:r>
      <w:r>
        <w:t>) has been estimated at 24.1 cm FL for females and 26.6 cm FL for males (Costa et al., 2020). These values are higher than the 20–23 cm FL reported by earlier studies (Almada, 1997; Santos, 2018), and L</w:t>
      </w:r>
      <w:r>
        <w:rPr>
          <w:vertAlign w:val="subscript"/>
        </w:rPr>
        <w:t>50</w:t>
      </w:r>
      <w:r>
        <w:t xml:space="preserve"> also increased between the 2000s and the late 2010s in northern Cabo Verde (da Cruz Delgado et al., 2024), which may reflect differences in methods as well as changes in the population. Natural mortality (</w:t>
      </w:r>
      <w:r>
        <w:rPr>
          <w:i/>
          <w:iCs/>
        </w:rPr>
        <w:t>M</w:t>
      </w:r>
      <w:r>
        <w:t>) is the most uncertain parameter, with estimates from about 0.3 to 0.9 yr</w:t>
      </w:r>
      <w:r>
        <w:rPr>
          <w:vertAlign w:val="superscript"/>
        </w:rPr>
        <w:t>−1</w:t>
      </w:r>
      <w:r>
        <w:t xml:space="preserve">; even within a single study, empirical estimators differ by a factor of 1.5 to 2 (Almada, 1997; Jardim, 1999), which is why </w:t>
      </w:r>
      <w:r>
        <w:rPr>
          <w:i/>
          <w:iCs/>
        </w:rPr>
        <w:t>M</w:t>
      </w:r>
      <w:r>
        <w:t xml:space="preserve"> must be treated as a major source of uncertainty in any assessment. The availability of the species to the fishery is seasonal, with higher catches between January and April (Baptista et al., 2009), and landings appear to follow sea surface temperature with a lag of about two years (Fujiwara and Ramos, n.d.), consistent with the strong environmental forcing typical of small </w:t>
      </w:r>
      <w:proofErr w:type="spellStart"/>
      <w:r>
        <w:t>pelagics</w:t>
      </w:r>
      <w:proofErr w:type="spellEnd"/>
      <w:r>
        <w:t>.</w:t>
      </w:r>
    </w:p>
    <w:p w14:paraId="10D79421" w14:textId="77777777" w:rsidR="00A0482C" w:rsidRDefault="00000000">
      <w:pPr>
        <w:spacing w:after="80" w:line="252" w:lineRule="auto"/>
        <w:ind w:firstLine="340"/>
        <w:jc w:val="both"/>
      </w:pPr>
      <w:r>
        <w:lastRenderedPageBreak/>
        <w:t xml:space="preserve">Mackerel scad has historically been the main small pelagic resource of Cabo Verde, accounting for almost 40% of national landings at the peak of the fishery in 1997–1998 (Stobberup and </w:t>
      </w:r>
      <w:proofErr w:type="spellStart"/>
      <w:r>
        <w:t>Erzini</w:t>
      </w:r>
      <w:proofErr w:type="spellEnd"/>
      <w:r>
        <w:t xml:space="preserve">, 2006; Vieira, 2019). Its importance goes beyond volume: it has a low first-sale price and is therefore an accessible source of protein for much of the population, it is the main live and dead bait of the pole-and-line tuna fishery, and it supplies the canning industry (Caramelo and Carvalho, 1995; Baptista et al., 2009; Vieira, 2019), so that changes in the stock affect food security, the tuna fishery and the local economy at once. Small pelagic fishing in the archipelago probably started in the 1930s, and statistical recording in the 1980s (Caramelo and Carvalho, 1995). Mackerel scad is caught mainly with purse seines, by an industrial fleet (decked vessels longer than 11 m) and an artisanal fleet of open boats, with minor catches from handlines and beach seines, mostly around the northern islands of São Vicente, São Nicolau and Santo Antão (Caramelo and Carvalho, 1995; Stobberup and </w:t>
      </w:r>
      <w:proofErr w:type="spellStart"/>
      <w:r>
        <w:t>Erzini</w:t>
      </w:r>
      <w:proofErr w:type="spellEnd"/>
      <w:r>
        <w:t>, 2006). Catches grew rapidly in the early 1990s, partly stimulated by foreign vessels that bought fish from the national fleet (Caramelo and Carvalho, 1995). According to the official statistics of the Instituto do Mar (IMar), total landings rose from 1,671 t in 1989 to a maximum of 3,015 t in 1998 and fluctuated between about 1,400 and 2,900 t until 2013, while the share of the industrial purse-seine fleet increased from 10–21% before 1994 to more than 86% from 2011 onwards. From 2014, landings dropped abruptly, to 644 t in 2015 and less than 250 t yr</w:t>
      </w:r>
      <w:r>
        <w:rPr>
          <w:vertAlign w:val="superscript"/>
        </w:rPr>
        <w:t>−1</w:t>
      </w:r>
      <w:r>
        <w:t xml:space="preserve"> in 2021–2023, and the nominal CPUE of the industrial fleet fell to about 6% of its 2005 value (Thiao, 2026).</w:t>
      </w:r>
    </w:p>
    <w:p w14:paraId="395A7FA5" w14:textId="77777777" w:rsidR="00A0482C" w:rsidRDefault="00000000">
      <w:pPr>
        <w:spacing w:after="80" w:line="252" w:lineRule="auto"/>
        <w:ind w:firstLine="340"/>
        <w:jc w:val="both"/>
      </w:pPr>
      <w:r>
        <w:t>The causes of this decline remain unresolved (Costa et al., 2020; da Cruz Delgado et al., 2024). It may reflect a real loss of biomass after more than a decade of catches close to or above previous estimates of maximum sustainable yield (MSY), but it coincided with profound changes in the fishery. The purse-seine fleet is multispecies: a single trip may land mackerel scad with bigeye scad (</w:t>
      </w:r>
      <w:r>
        <w:rPr>
          <w:i/>
          <w:iCs/>
        </w:rPr>
        <w:t xml:space="preserve">Selar </w:t>
      </w:r>
      <w:proofErr w:type="spellStart"/>
      <w:r>
        <w:rPr>
          <w:i/>
          <w:iCs/>
        </w:rPr>
        <w:t>crumenophthalmus</w:t>
      </w:r>
      <w:proofErr w:type="spellEnd"/>
      <w:r>
        <w:t>), frigate tuna (</w:t>
      </w:r>
      <w:proofErr w:type="spellStart"/>
      <w:r>
        <w:rPr>
          <w:i/>
          <w:iCs/>
        </w:rPr>
        <w:t>Auxis</w:t>
      </w:r>
      <w:proofErr w:type="spellEnd"/>
      <w:r>
        <w:t xml:space="preserve"> spp.), skipjack tuna (</w:t>
      </w:r>
      <w:r>
        <w:rPr>
          <w:i/>
          <w:iCs/>
        </w:rPr>
        <w:t>Katsuwonus pelamis</w:t>
      </w:r>
      <w:r>
        <w:t>) and other species, and the fleet redirects effort according to the availability and price of each (DGRM, 2019; Cabo Verde, 2020). Industrial landings of frigate tuna increased from 516 t in 2011 to 5,532 t in 2015, and those of skipjack tuna peaked at almost 2,000 t in 2017, as mackerel scad declined (Thiao, 2026). If the fleet stopped searching for mackerel scad, its catches and CPUE would fall even if the stock had not; conversely, a fleet may abandon a species precisely because it has become scarce. The same data are compatible with both explanations, and telling them apart is the central problem in assessing this stock.</w:t>
      </w:r>
    </w:p>
    <w:p w14:paraId="5FDFA59F" w14:textId="77777777" w:rsidR="00A0482C" w:rsidRDefault="00000000">
      <w:pPr>
        <w:spacing w:after="80" w:line="252" w:lineRule="auto"/>
        <w:ind w:firstLine="340"/>
        <w:jc w:val="both"/>
      </w:pPr>
      <w:r>
        <w:t>The fishery is managed under Decree-Law no. 3/2005 and successive management plans (DGRM, 2019). For mackerel scad in Cabo Verde, the main measures are a closed season, introduced in 2008 and now set at 15 July–14 September, and a minimum landing size raised from 18 to 20 cm FL (Cabo Verde, 2020; da Cruz Delgado et al., 2024). The minimum size is below the current length at first maturity, allowing the capture of many immature fish, and the closed season covers the main spawning peak but not the whole spawning period (Costa et al., 2020). The 2019–2023 management plan considered the stock overexploited and called for a recovery plan with reference catches of 2,000–3,000 t (DGRM, 2019), but the effects of these measures have not been monitored (da Cruz Delgado et al., 2024). Moving towards catch limits or explicit harvest rules requires a defensible diagnosis of stock status, which in turn depends on long and consistent data series, difficult to build after successive institutional and format changes in the national database.</w:t>
      </w:r>
    </w:p>
    <w:p w14:paraId="21E1A5F2" w14:textId="77777777" w:rsidR="00A0482C" w:rsidRDefault="00000000">
      <w:pPr>
        <w:spacing w:after="80" w:line="252" w:lineRule="auto"/>
        <w:ind w:firstLine="340"/>
        <w:jc w:val="both"/>
      </w:pPr>
      <w:r>
        <w:t xml:space="preserve">The stock has been assessed several times since the 1990s, with different data and methods and contradictory results. Caramelo and Carvalho (1995) applied length-based cohort analysis under equilibrium to data from 1983–1994 and concluded that changes of up to 10% in effort would not appreciably alter catches or biomass, although effort was recorded only at the fishery level and length compositions were uncertain. Schaefer models fitted to catch and effort from 1992–2000 later estimated MSYs of 2,213 t and 593 t for northern and southern groups suggested by a single morphometric survey, with effort above the MSY level (Ramos and Fujiwara, n.d.; Fujiwara and Ramos, n.d.). With a Bayesian biomass dynamic model fitted to catches and CPUE up to 2004, Stobberup and </w:t>
      </w:r>
      <w:proofErr w:type="spellStart"/>
      <w:r>
        <w:t>Erzini</w:t>
      </w:r>
      <w:proofErr w:type="spellEnd"/>
      <w:r>
        <w:t xml:space="preserve"> (2006) found the stock sustainably exploited and catches able to increase to about 4,000 t, but noted that the posterior of the intrinsic rate of increase (</w:t>
      </w:r>
      <w:r>
        <w:rPr>
          <w:i/>
          <w:iCs/>
        </w:rPr>
        <w:t>r</w:t>
      </w:r>
      <w:r>
        <w:t xml:space="preserve">) was almost identical to its prior, i.e., the CPUE carried almost no information, and that effort in days at sea did not capture gains in fishing efficiency. </w:t>
      </w:r>
      <w:proofErr w:type="spellStart"/>
      <w:r>
        <w:t>DeAlteris</w:t>
      </w:r>
      <w:proofErr w:type="spellEnd"/>
      <w:r>
        <w:t xml:space="preserve"> (2012), using equilibrium and dynamic production models and per-recruit analyses for 1989–2009, estimated an MSY of about 2,500 t, diagnosed the stock as overfished and subject to overfishing and recommended limiting landings to 1,000 t for three years, assuming that CPUE represented abundance.</w:t>
      </w:r>
    </w:p>
    <w:p w14:paraId="68A7FEF1" w14:textId="77777777" w:rsidR="00A0482C" w:rsidRDefault="00000000">
      <w:pPr>
        <w:spacing w:after="80" w:line="252" w:lineRule="auto"/>
        <w:ind w:firstLine="340"/>
        <w:jc w:val="both"/>
      </w:pPr>
      <w:r>
        <w:t>Later studies diversified data and models, but not the consistency of the diagnosis. Vieira (2019) fitted Schaefer models to CPUE and to a catch series reconstructed by the Sea Around Us project (1950–2015) and obtained an MSY of about 5,600 t, with inconclusive signs of decline. da Luz and Vieira (2020) applied CMSY, its Bayesian Schaefer model and the length-based Bayesian biomass method (LBB) to catches from 1989–2015 and lengths from a single market, and estimated an MSY of 2,130–2,400 t and, for 2015, B/B</w:t>
      </w:r>
      <w:r>
        <w:rPr>
          <w:vertAlign w:val="subscript"/>
        </w:rPr>
        <w:t>MSY</w:t>
      </w:r>
      <w:r>
        <w:t xml:space="preserve"> = 0.80 and F/F</w:t>
      </w:r>
      <w:r>
        <w:rPr>
          <w:vertAlign w:val="subscript"/>
        </w:rPr>
        <w:t>MSY</w:t>
      </w:r>
      <w:r>
        <w:t xml:space="preserve"> = 0.61, although the final depletion prior of CMSY was taken from LBB. Most recently, JABBA fitted to industrial catches and nominal CPUE </w:t>
      </w:r>
      <w:r>
        <w:lastRenderedPageBreak/>
        <w:t>from 2004–2023 estimated an MSY of 2,641 t and recent biomass at only 20–30% of B</w:t>
      </w:r>
      <w:r>
        <w:rPr>
          <w:vertAlign w:val="subscript"/>
        </w:rPr>
        <w:t>MSY</w:t>
      </w:r>
      <w:r>
        <w:t>, with a 72% probability of recovery in 2023 (Thiao, 2026), without correcting CPUE for targeting. MSY estimates thus generally converge on 2,000–2,700 t yr</w:t>
      </w:r>
      <w:r>
        <w:rPr>
          <w:vertAlign w:val="superscript"/>
        </w:rPr>
        <w:t>−1</w:t>
      </w:r>
      <w:r>
        <w:t xml:space="preserve">, but the diagnosis ranges from a healthy stock with room to increase catches (Stobberup and </w:t>
      </w:r>
      <w:proofErr w:type="spellStart"/>
      <w:r>
        <w:t>Erzini</w:t>
      </w:r>
      <w:proofErr w:type="spellEnd"/>
      <w:r>
        <w:t>, 2006) to an overfished stock subject to overfishing (</w:t>
      </w:r>
      <w:proofErr w:type="spellStart"/>
      <w:r>
        <w:t>DeAlteris</w:t>
      </w:r>
      <w:proofErr w:type="spellEnd"/>
      <w:r>
        <w:t>, 2012) or a severely depleted one (Thiao, 2026).</w:t>
      </w:r>
    </w:p>
    <w:p w14:paraId="0FEC4F13" w14:textId="77777777" w:rsidR="00A0482C" w:rsidRDefault="00000000">
      <w:pPr>
        <w:spacing w:after="80" w:line="252" w:lineRule="auto"/>
        <w:ind w:firstLine="340"/>
        <w:jc w:val="both"/>
      </w:pPr>
      <w:r>
        <w:t xml:space="preserve">These divergences have recurrent causes, most of them acknowledged by the authors. The CPUE series carried little information on abundance (Stobberup and </w:t>
      </w:r>
      <w:proofErr w:type="spellStart"/>
      <w:r>
        <w:t>Erzini</w:t>
      </w:r>
      <w:proofErr w:type="spellEnd"/>
      <w:r>
        <w:t xml:space="preserve">, 2006); effort measured as days at sea does not capture increases in fishing power (Stobberup and </w:t>
      </w:r>
      <w:proofErr w:type="spellStart"/>
      <w:r>
        <w:t>Erzini</w:t>
      </w:r>
      <w:proofErr w:type="spellEnd"/>
      <w:r>
        <w:t>, 2006); in a multispecies fishery, CPUE represents mackerel scad abundance only if effort is directed at the species, an assumption made but not verified in index-based assessments (</w:t>
      </w:r>
      <w:proofErr w:type="spellStart"/>
      <w:r>
        <w:t>DeAlteris</w:t>
      </w:r>
      <w:proofErr w:type="spellEnd"/>
      <w:r>
        <w:t>, 2012; Thiao, 2026); and catch-only assessments depend on the assumed initial and final depletion (da Luz and Vieira, 2020), precisely what catches alone cannot inform. Moreover, each assessment relied on a single model or set of assumptions, so it is impossible to tell which conclusions are supported by the data and which simply reflect the premises adopted.</w:t>
      </w:r>
    </w:p>
    <w:p w14:paraId="77A2587A" w14:textId="77777777" w:rsidR="00A0482C" w:rsidRDefault="00000000">
      <w:pPr>
        <w:spacing w:after="80" w:line="252" w:lineRule="auto"/>
        <w:ind w:firstLine="340"/>
        <w:jc w:val="both"/>
      </w:pPr>
      <w:r>
        <w:t>Here we address these limitations explicitly. First, we use the longest and most recent data available: total landings from 1989 to 2023, complemented by purse-seine landings for 2024–2025, aggregated effort of the industrial fleet from 1989 to 2014 and almost 8,000 purse-seine trip records from 2015–2025. Second, we treat target switching as part of the problem: fishing tactics are inferred from trip-level catch composition, with an explicit test of circularity, and CPUE is standardized with mixed models that account for tactic, vessel, fishing ground, season and crew size. Third, instead of a single depletion assumption, we formalize the competing explanations for the catch decline (stock depletion versus target switching) as four alternative priors on final depletion, derived from the CMSY++ neural network, from the pattern of the catch history (Zhou et al., 2017), from the target-switch hypothesis, and uninformative. Fourth, these hypotheses are carried through two catch-only models (DB-SRA and CMSY++) and a catch-and-index model (JABBA), in 46 scenarios that also vary natural mortality, productivity, abundance indices and time window. By comparing results across hypotheses and models, we aim to separate the conclusions informed by the data from those that merely reproduce the assumptions, and to give managers a clear account of what is, and what is not, known about the status of mackerel scad in Cabo Verde.</w:t>
      </w:r>
    </w:p>
    <w:p w14:paraId="2A293296" w14:textId="77777777" w:rsidR="00A0482C" w:rsidRDefault="00000000">
      <w:pPr>
        <w:pStyle w:val="Ttulo1"/>
        <w:keepNext/>
        <w:spacing w:before="200" w:after="100"/>
      </w:pPr>
      <w:r>
        <w:t>2. Material and methods</w:t>
      </w:r>
    </w:p>
    <w:p w14:paraId="09867E7C" w14:textId="77777777" w:rsidR="00A0482C" w:rsidRDefault="00000000">
      <w:pPr>
        <w:pStyle w:val="Ttulo2"/>
        <w:keepNext/>
        <w:spacing w:before="160" w:after="80"/>
      </w:pPr>
      <w:r>
        <w:t>2.1 Study area and stock unit</w:t>
      </w:r>
    </w:p>
    <w:p w14:paraId="07AF144C" w14:textId="77777777" w:rsidR="00A0482C" w:rsidRDefault="00000000">
      <w:pPr>
        <w:spacing w:after="80" w:line="252" w:lineRule="auto"/>
        <w:ind w:firstLine="340"/>
        <w:jc w:val="both"/>
      </w:pPr>
      <w:r>
        <w:t>Cabo Verde is a volcanic archipelago of ten islands located about 600 km off the West African coast, with an exclusive economic zone of approximately 734,000 km² and a narrow insular shelf of about 10,000 km² (Ramos, n.d.). The islands are divided into a northern (Barlavento) and a southern (Sotavento) group, and the mackerel scad fishery operates on the shelf and on banks close to the islands.</w:t>
      </w:r>
    </w:p>
    <w:p w14:paraId="62AA5264" w14:textId="77777777" w:rsidR="00A0482C" w:rsidRDefault="00000000">
      <w:pPr>
        <w:spacing w:after="80" w:line="252" w:lineRule="auto"/>
        <w:ind w:firstLine="340"/>
        <w:jc w:val="both"/>
      </w:pPr>
      <w:r>
        <w:t xml:space="preserve">Mackerel scad was treated as a single stock for the whole archipelago. Evidence on population structure is scarce. The only dedicated study, based on the morphometrics of 895 specimens collected between May and July 2002, suggested differences between northern and southern islands (Ramos and Fujiwara, n.d.), but it relied on a single survey, and morphometric differences may reflect environmental conditions rather than isolated populations. Conversely, catch composition showed no relevant island or regional effects (Stobberup and </w:t>
      </w:r>
      <w:proofErr w:type="spellStart"/>
      <w:r>
        <w:t>Erzini</w:t>
      </w:r>
      <w:proofErr w:type="spellEnd"/>
      <w:r>
        <w:t xml:space="preserve">, 2006), and there are no genetic, tagging or larval connectivity studies of population structure for the species in the archipelago; the available genetic work addresses the identification of </w:t>
      </w:r>
      <w:proofErr w:type="spellStart"/>
      <w:r>
        <w:rPr>
          <w:i/>
          <w:iCs/>
        </w:rPr>
        <w:t>Decapterus</w:t>
      </w:r>
      <w:proofErr w:type="spellEnd"/>
      <w:r>
        <w:t xml:space="preserve"> species in catches and canned products (Brás, 2014; Lopes et al., 2021). Given this, and because all previous assessments except Ramos and Fujiwara (n.d.) and current management treat the resource at the archipelago scale, the single-stock hypothesis is the most defensible, the simplest and the most useful for management.</w:t>
      </w:r>
    </w:p>
    <w:p w14:paraId="3B27BBAB" w14:textId="77777777" w:rsidR="00A0482C" w:rsidRDefault="00000000">
      <w:pPr>
        <w:pStyle w:val="Ttulo2"/>
        <w:keepNext/>
        <w:spacing w:before="160" w:after="80"/>
      </w:pPr>
      <w:r>
        <w:t>2.2 Life-history parameters</w:t>
      </w:r>
    </w:p>
    <w:p w14:paraId="7E5753D4" w14:textId="77777777" w:rsidR="00A0482C" w:rsidRDefault="00000000">
      <w:pPr>
        <w:spacing w:after="80" w:line="252" w:lineRule="auto"/>
        <w:ind w:firstLine="340"/>
        <w:jc w:val="both"/>
      </w:pPr>
      <w:r>
        <w:t xml:space="preserve">The biological parameters used in the models (growth, natural mortality, maturity, length–weight relationship and longevity) were compiled from all studies available for the species in Cabo Verde. The search covered bibliographic databases (Google Scholar, Scopus, Web of Science and </w:t>
      </w:r>
      <w:proofErr w:type="spellStart"/>
      <w:r>
        <w:t>FishBase</w:t>
      </w:r>
      <w:proofErr w:type="spellEnd"/>
      <w:r>
        <w:t xml:space="preserve">) and the institutional grey literature (reports of INDP/IMar and FAO, final projects of the United Nations University Fisheries Training </w:t>
      </w:r>
      <w:proofErr w:type="spellStart"/>
      <w:r>
        <w:t>Programme</w:t>
      </w:r>
      <w:proofErr w:type="spellEnd"/>
      <w:r>
        <w:t xml:space="preserve"> and theses of the University of Cabo Verde). From each study we extracted the sampling period and area, sample size, von </w:t>
      </w:r>
      <w:proofErr w:type="spellStart"/>
      <w:r>
        <w:t>Bertalanffy</w:t>
      </w:r>
      <w:proofErr w:type="spellEnd"/>
      <w:r>
        <w:t xml:space="preserve"> parameters (L</w:t>
      </w:r>
      <w:r>
        <w:rPr>
          <w:vertAlign w:val="subscript"/>
        </w:rPr>
        <w:t>∞</w:t>
      </w:r>
      <w:r>
        <w:t xml:space="preserve">, </w:t>
      </w:r>
      <w:r>
        <w:rPr>
          <w:i/>
          <w:iCs/>
        </w:rPr>
        <w:t>K</w:t>
      </w:r>
      <w:r>
        <w:t>, t</w:t>
      </w:r>
      <w:r>
        <w:rPr>
          <w:vertAlign w:val="subscript"/>
        </w:rPr>
        <w:t>0</w:t>
      </w:r>
      <w:r>
        <w:t>), length–weight parameters (</w:t>
      </w:r>
      <w:r>
        <w:rPr>
          <w:i/>
          <w:iCs/>
        </w:rPr>
        <w:t>a</w:t>
      </w:r>
      <w:r>
        <w:t xml:space="preserve">, </w:t>
      </w:r>
      <w:r>
        <w:rPr>
          <w:i/>
          <w:iCs/>
        </w:rPr>
        <w:t>b</w:t>
      </w:r>
      <w:r>
        <w:t>), L</w:t>
      </w:r>
      <w:r>
        <w:rPr>
          <w:vertAlign w:val="subscript"/>
        </w:rPr>
        <w:t>50</w:t>
      </w:r>
      <w:r>
        <w:t>, longevity, natural (</w:t>
      </w:r>
      <w:r>
        <w:rPr>
          <w:i/>
          <w:iCs/>
        </w:rPr>
        <w:t>M</w:t>
      </w:r>
      <w:r>
        <w:t>), fishing (</w:t>
      </w:r>
      <w:r>
        <w:rPr>
          <w:i/>
          <w:iCs/>
        </w:rPr>
        <w:t>F</w:t>
      </w:r>
      <w:r>
        <w:t>) and total (</w:t>
      </w:r>
      <w:r>
        <w:rPr>
          <w:i/>
          <w:iCs/>
        </w:rPr>
        <w:t>Z</w:t>
      </w:r>
      <w:r>
        <w:t>) mortality, spawning and recruitment seasons and the methods used. Only values reported in fork length were retained; total-length values were not converted, to avoid additional error.</w:t>
      </w:r>
    </w:p>
    <w:p w14:paraId="7737DB82" w14:textId="77777777" w:rsidR="00A0482C" w:rsidRDefault="00000000">
      <w:pPr>
        <w:spacing w:after="80" w:line="252" w:lineRule="auto"/>
        <w:ind w:firstLine="340"/>
        <w:jc w:val="both"/>
      </w:pPr>
      <w:r>
        <w:t>Because the studies differed widely in design and quality, each source was scored for reliability following pedigree analysis, in which the strength of each model input is graded against explicit qualitative criteria (</w:t>
      </w:r>
      <w:proofErr w:type="spellStart"/>
      <w:r>
        <w:t>Funtowicz</w:t>
      </w:r>
      <w:proofErr w:type="spellEnd"/>
      <w:r>
        <w:t xml:space="preserve"> and </w:t>
      </w:r>
      <w:proofErr w:type="spellStart"/>
      <w:r>
        <w:t>Ravetz</w:t>
      </w:r>
      <w:proofErr w:type="spellEnd"/>
      <w:r>
        <w:t xml:space="preserve">, 1990; van der Sluijs et al., 2005). The same principle underlies the pedigree index used to qualify the </w:t>
      </w:r>
      <w:r>
        <w:lastRenderedPageBreak/>
        <w:t xml:space="preserve">inputs of </w:t>
      </w:r>
      <w:proofErr w:type="spellStart"/>
      <w:r>
        <w:t>Ecopath</w:t>
      </w:r>
      <w:proofErr w:type="spellEnd"/>
      <w:r>
        <w:t xml:space="preserve"> models (Christensen and Walters, 2004) and the data-quality scores of </w:t>
      </w:r>
      <w:proofErr w:type="gramStart"/>
      <w:r>
        <w:t>productivity</w:t>
      </w:r>
      <w:proofErr w:type="gramEnd"/>
      <w:r>
        <w:t>–susceptibility analyses of fish stocks (Patrick et al., 2010). Six criteria were scored from 1 (weakest) to 5 (strongest): (</w:t>
      </w:r>
      <w:proofErr w:type="spellStart"/>
      <w:r>
        <w:t>i</w:t>
      </w:r>
      <w:proofErr w:type="spellEnd"/>
      <w:r>
        <w:t>) publication type and peer review; (ii) sample size; (iii) spatial coverage (islands and regions sampled); (iv) temporal coverage and continuity; (v) methodological robustness (e.g., ageing method, cohort separation and estimators); and (vi) internal consistency of the document (agreement between reported parameters, sample sizes, tables and figures). The mean score defined reliability as high (≥ 4.0), medium (2.5–3.9) or low (&lt; 2.5); sources cited only indirectly, whose original document could not be obtained, were not scored. Scores were used to rank sources, not as quantitative weights: reference values for the priors came from high-reliability sources whenever available, otherwise from the most complete medium-reliability source, and the remaining estimates defined the ranges explored in sensitivity scenarios.</w:t>
      </w:r>
    </w:p>
    <w:p w14:paraId="34ECEEDB" w14:textId="77777777" w:rsidR="00A0482C" w:rsidRDefault="00000000">
      <w:pPr>
        <w:spacing w:after="80" w:line="252" w:lineRule="auto"/>
        <w:ind w:firstLine="340"/>
        <w:jc w:val="both"/>
      </w:pPr>
      <w:r>
        <w:t xml:space="preserve">Overall, 43 parameter records from 12 sources were compiled. Three sources were rated high (Jardim, 1999; Costa et al., 2020; da Cruz Delgado et al., 2024), five medium (Almada, 1997; Carvalho and Caramelo, 1999; Santos, 2018; Vieira, 2019; da Luz and Vieira, 2020) and two low </w:t>
      </w:r>
      <w:proofErr w:type="gramStart"/>
      <w:r>
        <w:t>reliability</w:t>
      </w:r>
      <w:proofErr w:type="gramEnd"/>
      <w:r>
        <w:t xml:space="preserve"> (Stobberup and </w:t>
      </w:r>
      <w:proofErr w:type="spellStart"/>
      <w:r>
        <w:t>Erzini</w:t>
      </w:r>
      <w:proofErr w:type="spellEnd"/>
      <w:r>
        <w:t xml:space="preserve">, 2006, as a source of growth parameters; </w:t>
      </w:r>
      <w:proofErr w:type="spellStart"/>
      <w:r>
        <w:t>Tariche</w:t>
      </w:r>
      <w:proofErr w:type="spellEnd"/>
      <w:r>
        <w:t xml:space="preserve"> and Martins, 2009). The scoring guide, the full compilation and the scores and justification for each source are provided in the Supplementary Material and in the project repository (Section 2.7).</w:t>
      </w:r>
    </w:p>
    <w:p w14:paraId="00941F4E" w14:textId="77777777" w:rsidR="00A0482C" w:rsidRDefault="00000000">
      <w:pPr>
        <w:pStyle w:val="Ttulo2"/>
        <w:keepNext/>
        <w:spacing w:before="160" w:after="80"/>
      </w:pPr>
      <w:r>
        <w:t>2.3 Catch and effort data</w:t>
      </w:r>
    </w:p>
    <w:p w14:paraId="4D819B59" w14:textId="77777777" w:rsidR="00A0482C" w:rsidRDefault="00000000">
      <w:pPr>
        <w:spacing w:after="80" w:line="252" w:lineRule="auto"/>
        <w:ind w:firstLine="340"/>
        <w:jc w:val="both"/>
      </w:pPr>
      <w:r>
        <w:t>All fisheries data were provided by the Instituto do Mar (IMar, formerly INDP), which collects and holds the landing statistics of Cabo Verde. Table 1 summarizes each data set, the period covered and its use in this study.</w:t>
      </w:r>
    </w:p>
    <w:p w14:paraId="00317F07" w14:textId="77777777" w:rsidR="00A0482C" w:rsidRDefault="00000000">
      <w:pPr>
        <w:keepNext/>
        <w:spacing w:before="120" w:after="60"/>
        <w:jc w:val="both"/>
      </w:pPr>
      <w:r>
        <w:rPr>
          <w:b/>
          <w:bCs/>
          <w:sz w:val="19"/>
          <w:szCs w:val="19"/>
        </w:rPr>
        <w:t xml:space="preserve">Table 1. </w:t>
      </w:r>
      <w:r>
        <w:rPr>
          <w:sz w:val="19"/>
          <w:szCs w:val="19"/>
        </w:rPr>
        <w:t>Data sets used in this study.</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9"/>
        <w:gridCol w:w="1327"/>
        <w:gridCol w:w="3572"/>
        <w:gridCol w:w="2858"/>
      </w:tblGrid>
      <w:tr w:rsidR="00A0482C" w14:paraId="05F2AB7C" w14:textId="77777777">
        <w:tblPrEx>
          <w:tblCellMar>
            <w:top w:w="0" w:type="dxa"/>
            <w:bottom w:w="0" w:type="dxa"/>
          </w:tblCellMar>
        </w:tblPrEx>
        <w:trPr>
          <w:tblHeader/>
        </w:trPr>
        <w:tc>
          <w:tcPr>
            <w:tcW w:w="2449"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14:paraId="05E2D862" w14:textId="77777777" w:rsidR="00A0482C" w:rsidRDefault="00000000">
            <w:pPr>
              <w:spacing w:line="228" w:lineRule="auto"/>
            </w:pPr>
            <w:r>
              <w:rPr>
                <w:b/>
                <w:bCs/>
                <w:sz w:val="18"/>
                <w:szCs w:val="18"/>
              </w:rPr>
              <w:t>Data set</w:t>
            </w:r>
          </w:p>
        </w:tc>
        <w:tc>
          <w:tcPr>
            <w:tcW w:w="1327"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14:paraId="6A93DADA" w14:textId="77777777" w:rsidR="00A0482C" w:rsidRDefault="00000000">
            <w:pPr>
              <w:spacing w:line="228" w:lineRule="auto"/>
            </w:pPr>
            <w:r>
              <w:rPr>
                <w:b/>
                <w:bCs/>
                <w:sz w:val="18"/>
                <w:szCs w:val="18"/>
              </w:rPr>
              <w:t>Period</w:t>
            </w:r>
          </w:p>
        </w:tc>
        <w:tc>
          <w:tcPr>
            <w:tcW w:w="3572"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14:paraId="453FCEB3" w14:textId="77777777" w:rsidR="00A0482C" w:rsidRDefault="00000000">
            <w:pPr>
              <w:spacing w:line="228" w:lineRule="auto"/>
            </w:pPr>
            <w:r>
              <w:rPr>
                <w:b/>
                <w:bCs/>
                <w:sz w:val="18"/>
                <w:szCs w:val="18"/>
              </w:rPr>
              <w:t>Content</w:t>
            </w:r>
          </w:p>
        </w:tc>
        <w:tc>
          <w:tcPr>
            <w:tcW w:w="2858"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14:paraId="3BE97322" w14:textId="77777777" w:rsidR="00A0482C" w:rsidRDefault="00000000">
            <w:pPr>
              <w:spacing w:line="228" w:lineRule="auto"/>
            </w:pPr>
            <w:r>
              <w:rPr>
                <w:b/>
                <w:bCs/>
                <w:sz w:val="18"/>
                <w:szCs w:val="18"/>
              </w:rPr>
              <w:t>Use in this study</w:t>
            </w:r>
          </w:p>
        </w:tc>
      </w:tr>
      <w:tr w:rsidR="00A0482C" w14:paraId="2E459DE0" w14:textId="77777777">
        <w:tblPrEx>
          <w:tblCellMar>
            <w:top w:w="0" w:type="dxa"/>
            <w:bottom w:w="0" w:type="dxa"/>
          </w:tblCellMar>
        </w:tblPrEx>
        <w:trPr>
          <w:cantSplit/>
        </w:trPr>
        <w:tc>
          <w:tcPr>
            <w:tcW w:w="244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9A95624" w14:textId="77777777" w:rsidR="00A0482C" w:rsidRDefault="00000000">
            <w:pPr>
              <w:spacing w:line="228" w:lineRule="auto"/>
            </w:pPr>
            <w:r>
              <w:rPr>
                <w:sz w:val="18"/>
                <w:szCs w:val="18"/>
              </w:rPr>
              <w:t>Total landings (all gears)</w:t>
            </w:r>
          </w:p>
        </w:tc>
        <w:tc>
          <w:tcPr>
            <w:tcW w:w="132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05A6F5C" w14:textId="77777777" w:rsidR="00A0482C" w:rsidRDefault="00000000">
            <w:pPr>
              <w:spacing w:line="228" w:lineRule="auto"/>
            </w:pPr>
            <w:r>
              <w:rPr>
                <w:sz w:val="18"/>
                <w:szCs w:val="18"/>
              </w:rPr>
              <w:t>1989–2023</w:t>
            </w:r>
          </w:p>
        </w:tc>
        <w:tc>
          <w:tcPr>
            <w:tcW w:w="357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86ECC74" w14:textId="77777777" w:rsidR="00A0482C" w:rsidRDefault="00000000">
            <w:pPr>
              <w:spacing w:line="228" w:lineRule="auto"/>
            </w:pPr>
            <w:r>
              <w:rPr>
                <w:sz w:val="18"/>
                <w:szCs w:val="18"/>
              </w:rPr>
              <w:t>Annual landings of mackerel scad from all fleets and gears (t)</w:t>
            </w:r>
          </w:p>
        </w:tc>
        <w:tc>
          <w:tcPr>
            <w:tcW w:w="285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DA6422D" w14:textId="77777777" w:rsidR="00A0482C" w:rsidRDefault="00000000">
            <w:pPr>
              <w:spacing w:line="228" w:lineRule="auto"/>
            </w:pPr>
            <w:r>
              <w:rPr>
                <w:sz w:val="18"/>
                <w:szCs w:val="18"/>
              </w:rPr>
              <w:t>Catch series of DB-SRA, CMSY++ and JABBA</w:t>
            </w:r>
          </w:p>
        </w:tc>
      </w:tr>
      <w:tr w:rsidR="00A0482C" w14:paraId="761050D8" w14:textId="77777777">
        <w:tblPrEx>
          <w:tblCellMar>
            <w:top w:w="0" w:type="dxa"/>
            <w:bottom w:w="0" w:type="dxa"/>
          </w:tblCellMar>
        </w:tblPrEx>
        <w:trPr>
          <w:cantSplit/>
        </w:trPr>
        <w:tc>
          <w:tcPr>
            <w:tcW w:w="244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FC678EF" w14:textId="77777777" w:rsidR="00A0482C" w:rsidRDefault="00000000">
            <w:pPr>
              <w:spacing w:line="228" w:lineRule="auto"/>
            </w:pPr>
            <w:r>
              <w:rPr>
                <w:sz w:val="18"/>
                <w:szCs w:val="18"/>
              </w:rPr>
              <w:t>Industrial fleet – aggregated series</w:t>
            </w:r>
          </w:p>
        </w:tc>
        <w:tc>
          <w:tcPr>
            <w:tcW w:w="132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C1A4B81" w14:textId="77777777" w:rsidR="00A0482C" w:rsidRDefault="00000000">
            <w:pPr>
              <w:spacing w:line="228" w:lineRule="auto"/>
            </w:pPr>
            <w:r>
              <w:rPr>
                <w:sz w:val="18"/>
                <w:szCs w:val="18"/>
              </w:rPr>
              <w:t>1989–2014</w:t>
            </w:r>
          </w:p>
        </w:tc>
        <w:tc>
          <w:tcPr>
            <w:tcW w:w="357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7CF762B" w14:textId="77777777" w:rsidR="00A0482C" w:rsidRDefault="00000000">
            <w:pPr>
              <w:spacing w:line="228" w:lineRule="auto"/>
            </w:pPr>
            <w:r>
              <w:rPr>
                <w:sz w:val="18"/>
                <w:szCs w:val="18"/>
              </w:rPr>
              <w:t>Annual landings and total effort (days at sea for purse seines; trips for handlines)</w:t>
            </w:r>
          </w:p>
        </w:tc>
        <w:tc>
          <w:tcPr>
            <w:tcW w:w="285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CF53573" w14:textId="77777777" w:rsidR="00A0482C" w:rsidRDefault="00000000">
            <w:pPr>
              <w:spacing w:line="228" w:lineRule="auto"/>
            </w:pPr>
            <w:r>
              <w:rPr>
                <w:sz w:val="18"/>
                <w:szCs w:val="18"/>
              </w:rPr>
              <w:t>Nominal CPUE of the historical period (JABBA)</w:t>
            </w:r>
          </w:p>
        </w:tc>
      </w:tr>
      <w:tr w:rsidR="00A0482C" w14:paraId="524CC793" w14:textId="77777777">
        <w:tblPrEx>
          <w:tblCellMar>
            <w:top w:w="0" w:type="dxa"/>
            <w:bottom w:w="0" w:type="dxa"/>
          </w:tblCellMar>
        </w:tblPrEx>
        <w:trPr>
          <w:cantSplit/>
        </w:trPr>
        <w:tc>
          <w:tcPr>
            <w:tcW w:w="244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AFA6707" w14:textId="77777777" w:rsidR="00A0482C" w:rsidRDefault="00000000">
            <w:pPr>
              <w:spacing w:line="228" w:lineRule="auto"/>
            </w:pPr>
            <w:r>
              <w:rPr>
                <w:sz w:val="18"/>
                <w:szCs w:val="18"/>
              </w:rPr>
              <w:t>Industrial fleet – trip records</w:t>
            </w:r>
          </w:p>
        </w:tc>
        <w:tc>
          <w:tcPr>
            <w:tcW w:w="132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34F5B6D" w14:textId="77777777" w:rsidR="00A0482C" w:rsidRDefault="00000000">
            <w:pPr>
              <w:spacing w:line="228" w:lineRule="auto"/>
            </w:pPr>
            <w:r>
              <w:rPr>
                <w:sz w:val="18"/>
                <w:szCs w:val="18"/>
              </w:rPr>
              <w:t>2015–2025</w:t>
            </w:r>
          </w:p>
        </w:tc>
        <w:tc>
          <w:tcPr>
            <w:tcW w:w="357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6731D05" w14:textId="77777777" w:rsidR="00A0482C" w:rsidRDefault="00000000">
            <w:pPr>
              <w:spacing w:line="228" w:lineRule="auto"/>
            </w:pPr>
            <w:r>
              <w:rPr>
                <w:sz w:val="18"/>
                <w:szCs w:val="18"/>
              </w:rPr>
              <w:t>Landings by species and trip, with dates, duration, island, port, vessel, gear, crew and fishing ground</w:t>
            </w:r>
          </w:p>
        </w:tc>
        <w:tc>
          <w:tcPr>
            <w:tcW w:w="285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92D1A09" w14:textId="77777777" w:rsidR="00A0482C" w:rsidRDefault="00000000">
            <w:pPr>
              <w:spacing w:line="228" w:lineRule="auto"/>
            </w:pPr>
            <w:r>
              <w:rPr>
                <w:sz w:val="18"/>
                <w:szCs w:val="18"/>
              </w:rPr>
              <w:t xml:space="preserve">Tactic identification, CPUE standardization and purse-seine </w:t>
            </w:r>
            <w:proofErr w:type="gramStart"/>
            <w:r>
              <w:rPr>
                <w:sz w:val="18"/>
                <w:szCs w:val="18"/>
              </w:rPr>
              <w:t>catches</w:t>
            </w:r>
            <w:proofErr w:type="gramEnd"/>
            <w:r>
              <w:rPr>
                <w:sz w:val="18"/>
                <w:szCs w:val="18"/>
              </w:rPr>
              <w:t xml:space="preserve"> in 2024–2025</w:t>
            </w:r>
          </w:p>
        </w:tc>
      </w:tr>
      <w:tr w:rsidR="00A0482C" w14:paraId="4AFD5021" w14:textId="77777777">
        <w:tblPrEx>
          <w:tblCellMar>
            <w:top w:w="0" w:type="dxa"/>
            <w:bottom w:w="0" w:type="dxa"/>
          </w:tblCellMar>
        </w:tblPrEx>
        <w:trPr>
          <w:cantSplit/>
        </w:trPr>
        <w:tc>
          <w:tcPr>
            <w:tcW w:w="2449"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14:paraId="6691396D" w14:textId="77777777" w:rsidR="00A0482C" w:rsidRDefault="00000000">
            <w:pPr>
              <w:spacing w:line="228" w:lineRule="auto"/>
            </w:pPr>
            <w:r>
              <w:rPr>
                <w:sz w:val="18"/>
                <w:szCs w:val="18"/>
              </w:rPr>
              <w:t>Life-history parameters</w:t>
            </w:r>
          </w:p>
        </w:tc>
        <w:tc>
          <w:tcPr>
            <w:tcW w:w="1327"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14:paraId="6C55016E" w14:textId="77777777" w:rsidR="00A0482C" w:rsidRDefault="00000000">
            <w:pPr>
              <w:spacing w:line="228" w:lineRule="auto"/>
            </w:pPr>
            <w:r>
              <w:rPr>
                <w:sz w:val="18"/>
                <w:szCs w:val="18"/>
              </w:rPr>
              <w:t>Studies from 1983 to 2021</w:t>
            </w:r>
          </w:p>
        </w:tc>
        <w:tc>
          <w:tcPr>
            <w:tcW w:w="3572"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14:paraId="1424DC50" w14:textId="77777777" w:rsidR="00A0482C" w:rsidRDefault="00000000">
            <w:pPr>
              <w:spacing w:line="228" w:lineRule="auto"/>
            </w:pPr>
            <w:r>
              <w:rPr>
                <w:sz w:val="18"/>
                <w:szCs w:val="18"/>
              </w:rPr>
              <w:t>43 records from 12 sources, with reliability scores</w:t>
            </w:r>
          </w:p>
        </w:tc>
        <w:tc>
          <w:tcPr>
            <w:tcW w:w="2858"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14:paraId="6524AC92" w14:textId="77777777" w:rsidR="00A0482C" w:rsidRDefault="00000000">
            <w:pPr>
              <w:spacing w:line="228" w:lineRule="auto"/>
            </w:pPr>
            <w:r>
              <w:rPr>
                <w:sz w:val="18"/>
                <w:szCs w:val="18"/>
              </w:rPr>
              <w:t xml:space="preserve">Priors of </w:t>
            </w:r>
            <w:r>
              <w:rPr>
                <w:i/>
                <w:iCs/>
                <w:sz w:val="18"/>
                <w:szCs w:val="18"/>
              </w:rPr>
              <w:t>M</w:t>
            </w:r>
            <w:r>
              <w:rPr>
                <w:sz w:val="18"/>
                <w:szCs w:val="18"/>
              </w:rPr>
              <w:t xml:space="preserve">, </w:t>
            </w:r>
            <w:r>
              <w:rPr>
                <w:i/>
                <w:iCs/>
                <w:sz w:val="18"/>
                <w:szCs w:val="18"/>
              </w:rPr>
              <w:t>r</w:t>
            </w:r>
            <w:r>
              <w:rPr>
                <w:sz w:val="18"/>
                <w:szCs w:val="18"/>
              </w:rPr>
              <w:t>, growth and maturity</w:t>
            </w:r>
          </w:p>
        </w:tc>
      </w:tr>
    </w:tbl>
    <w:p w14:paraId="72F7DBD3" w14:textId="77777777" w:rsidR="00A0482C" w:rsidRDefault="00A0482C">
      <w:pPr>
        <w:spacing w:after="60"/>
      </w:pPr>
    </w:p>
    <w:p w14:paraId="29B925B0" w14:textId="77777777" w:rsidR="00A0482C" w:rsidRDefault="00000000">
      <w:pPr>
        <w:pStyle w:val="Ttulo3"/>
        <w:keepNext/>
        <w:spacing w:before="120" w:after="60"/>
      </w:pPr>
      <w:r>
        <w:t>2.3.1 Total landings</w:t>
      </w:r>
    </w:p>
    <w:p w14:paraId="3EE7AA7A" w14:textId="77777777" w:rsidR="00A0482C" w:rsidRDefault="00000000">
      <w:pPr>
        <w:spacing w:after="80" w:line="252" w:lineRule="auto"/>
        <w:ind w:firstLine="340"/>
        <w:jc w:val="both"/>
      </w:pPr>
      <w:r>
        <w:t xml:space="preserve">The series of total landings of mackerel scad, summing all gears and fleets, covers 1989–2023 and is the catch series common to all models. Two years were corrected. In 2014, the recorded total (151 t) was lower than the catch of the industrial purse-seine fleet alone (1,273.8 t), which is impossible; it was considered incomplete and replaced by linear interpolation between 2013 and 2015 (1,429 t). In 2018, a year recorded in a different format, the total (2,362 t) departed strongly from </w:t>
      </w:r>
      <w:proofErr w:type="spellStart"/>
      <w:r>
        <w:t>neighbouring</w:t>
      </w:r>
      <w:proofErr w:type="spellEnd"/>
      <w:r>
        <w:t xml:space="preserve"> years (150–800 t) and was replaced by the mean of 2015–2017 and 2019–2021 (554.5 t). The same corrected values were used in all models. For 2024 and 2025 there is no total for all gears, only purse-seine records; these were used as catches only in JABBA (Section 2.6), and the catch-only models end in 2023.</w:t>
      </w:r>
    </w:p>
    <w:p w14:paraId="5883E67B" w14:textId="77777777" w:rsidR="00A0482C" w:rsidRDefault="00000000">
      <w:pPr>
        <w:pStyle w:val="Ttulo3"/>
        <w:keepNext/>
        <w:spacing w:before="120" w:after="60"/>
      </w:pPr>
      <w:r>
        <w:t>2.3.2 Effort and catch of the industrial fleet</w:t>
      </w:r>
    </w:p>
    <w:p w14:paraId="572DE68E" w14:textId="77777777" w:rsidR="00A0482C" w:rsidRDefault="00000000">
      <w:pPr>
        <w:spacing w:after="80" w:line="252" w:lineRule="auto"/>
        <w:ind w:firstLine="340"/>
        <w:jc w:val="both"/>
      </w:pPr>
      <w:r>
        <w:t>For 1989–2014, only an aggregated annual series of the industrial fleet exists, with mackerel scad landings and total effort (days at sea for purse seines and number of trips for handlines). This series does not identify vessels or record other species landed, so it does not reveal how much effort was directed at mackerel scad.</w:t>
      </w:r>
    </w:p>
    <w:p w14:paraId="16F2C8AE" w14:textId="77777777" w:rsidR="00A0482C" w:rsidRDefault="00000000">
      <w:pPr>
        <w:spacing w:after="80" w:line="252" w:lineRule="auto"/>
        <w:ind w:firstLine="340"/>
        <w:jc w:val="both"/>
      </w:pPr>
      <w:r>
        <w:t>From 2015 onwards, data are recorded by trip and species. Each record includes departure and arrival dates, trip duration (days and hours), island, port, vessel, gear, number of fishers, fishing ground and the landed weight of each species. These data are available in three files with different structures: 2015–2017 (6,305 records), 2018 (3,537 records, in a different format with fewer fields) and 2019–2025 (17,144 records, version updated in September 2026). Purse seines and handlines account for most records, and Santiago and São Vicente concentrate most landings. This trip-level detail is what allows fishing tactics to be identified from catch composition and CPUE to be standardized (Section 2.5).</w:t>
      </w:r>
    </w:p>
    <w:p w14:paraId="7B096EAF" w14:textId="77777777" w:rsidR="00A0482C" w:rsidRDefault="00000000">
      <w:pPr>
        <w:pStyle w:val="Ttulo2"/>
        <w:keepNext/>
        <w:spacing w:before="160" w:after="80"/>
      </w:pPr>
      <w:r>
        <w:t>2.4 Catch-only approach</w:t>
      </w:r>
    </w:p>
    <w:p w14:paraId="33E8279C" w14:textId="77777777" w:rsidR="00A0482C" w:rsidRDefault="00000000">
      <w:pPr>
        <w:spacing w:after="80" w:line="252" w:lineRule="auto"/>
        <w:ind w:firstLine="340"/>
        <w:jc w:val="both"/>
      </w:pPr>
      <w:r>
        <w:t xml:space="preserve">Catch-only models reconstruct biomass trajectories from the </w:t>
      </w:r>
      <w:proofErr w:type="gramStart"/>
      <w:r>
        <w:t>landings</w:t>
      </w:r>
      <w:proofErr w:type="gramEnd"/>
      <w:r>
        <w:t xml:space="preserve"> series and prior information on the biology of the species. We applied DB-SRA (Dick and MacCall, 2011) and CMSY++ (Froese et al., 2023), which share the same principle: among parameter combinations drawn from the priors, only those producing biomass trajectories </w:t>
      </w:r>
      <w:r>
        <w:lastRenderedPageBreak/>
        <w:t>compatible with the observed catches, without collapse and ending at the assumed depletion level, are retained. To inform current stock size, both depend on priors for relative biomass (B/K) at the start and end of the series, and final depletion is the assumption with the greatest influence on the results (Dick and MacCall, 2011; Froese et al., 2017). This section describes the depletion hypotheses, the prior on the intrinsic rate of population increase (</w:t>
      </w:r>
      <w:r>
        <w:rPr>
          <w:i/>
          <w:iCs/>
        </w:rPr>
        <w:t>r</w:t>
      </w:r>
      <w:r>
        <w:t>) and the age at maturity, followed by the specification of each model.</w:t>
      </w:r>
    </w:p>
    <w:p w14:paraId="6C446535" w14:textId="77777777" w:rsidR="00A0482C" w:rsidRDefault="00000000">
      <w:pPr>
        <w:pStyle w:val="Ttulo3"/>
        <w:keepNext/>
        <w:spacing w:before="120" w:after="60"/>
      </w:pPr>
      <w:r>
        <w:t>2.4.1 Hypotheses for the post-2014 catch decline</w:t>
      </w:r>
    </w:p>
    <w:p w14:paraId="16EBA4C8" w14:textId="77777777" w:rsidR="00A0482C" w:rsidRDefault="00000000">
      <w:pPr>
        <w:spacing w:after="80" w:line="252" w:lineRule="auto"/>
        <w:ind w:firstLine="340"/>
        <w:jc w:val="both"/>
      </w:pPr>
      <w:r>
        <w:t>Landings fell from about 2,200 t in 2013 to less than 250 t yr</w:t>
      </w:r>
      <w:r>
        <w:rPr>
          <w:vertAlign w:val="superscript"/>
        </w:rPr>
        <w:t>−1</w:t>
      </w:r>
      <w:r>
        <w:t xml:space="preserve"> in 2021–2023 (Section 2.3.1), and two explanations, with opposite consequences for the diagnosis, are compatible with this decline. Under hypothesis 1, </w:t>
      </w:r>
      <w:r>
        <w:rPr>
          <w:i/>
          <w:iCs/>
        </w:rPr>
        <w:t>stock depletion</w:t>
      </w:r>
      <w:r>
        <w:t xml:space="preserve">, biomass decreased and catches fell because fewer fish were available, so that relative biomass at the end of the series is low; it was represented by two methods that infer depletion from the shape of the catch series, the CMSY++ neural network and </w:t>
      </w:r>
      <w:proofErr w:type="spellStart"/>
      <w:r>
        <w:t>zBRT</w:t>
      </w:r>
      <w:proofErr w:type="spellEnd"/>
      <w:r>
        <w:t xml:space="preserve">. Under hypothesis 2, </w:t>
      </w:r>
      <w:r>
        <w:rPr>
          <w:i/>
          <w:iCs/>
        </w:rPr>
        <w:t>target switching</w:t>
      </w:r>
      <w:r>
        <w:t>, the multispecies purse-seine fleet redirected its effort to other species and mackerel scad catches fell without a proportional decrease in biomass, which may have remained stable or recovered; it was represented by two priors that do not impose severe depletion, a target-switch prior and an uninformative prior. Catch data cannot discriminate between these explanations, so both were kept as alternative scenarios and crossed with the other assumptions of each model; comparing the two groups of scenarios shows how much the diagnosis depends on this choice. The four final-depletion priors are summarized in Table 2.</w:t>
      </w:r>
    </w:p>
    <w:p w14:paraId="691D5050" w14:textId="77777777" w:rsidR="00A0482C" w:rsidRDefault="00000000">
      <w:pPr>
        <w:keepNext/>
        <w:spacing w:before="120" w:after="60"/>
        <w:jc w:val="both"/>
      </w:pPr>
      <w:r>
        <w:rPr>
          <w:b/>
          <w:bCs/>
          <w:sz w:val="19"/>
          <w:szCs w:val="19"/>
        </w:rPr>
        <w:t xml:space="preserve">Table 2. </w:t>
      </w:r>
      <w:r>
        <w:rPr>
          <w:sz w:val="19"/>
          <w:szCs w:val="19"/>
        </w:rPr>
        <w:t>Final-depletion hypotheses (B/K in 2023) used in the catch-only models.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1"/>
        <w:gridCol w:w="2245"/>
        <w:gridCol w:w="1837"/>
        <w:gridCol w:w="4083"/>
      </w:tblGrid>
      <w:tr w:rsidR="00A0482C" w14:paraId="77EDC058" w14:textId="77777777">
        <w:tblPrEx>
          <w:tblCellMar>
            <w:top w:w="0" w:type="dxa"/>
            <w:bottom w:w="0" w:type="dxa"/>
          </w:tblCellMar>
        </w:tblPrEx>
        <w:trPr>
          <w:tblHeader/>
        </w:trPr>
        <w:tc>
          <w:tcPr>
            <w:tcW w:w="2041"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14:paraId="249F0E17" w14:textId="77777777" w:rsidR="00A0482C" w:rsidRDefault="00000000">
            <w:pPr>
              <w:spacing w:line="228" w:lineRule="auto"/>
            </w:pPr>
            <w:r>
              <w:rPr>
                <w:b/>
                <w:bCs/>
                <w:sz w:val="18"/>
                <w:szCs w:val="18"/>
              </w:rPr>
              <w:t>Prior</w:t>
            </w:r>
          </w:p>
        </w:tc>
        <w:tc>
          <w:tcPr>
            <w:tcW w:w="2245"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14:paraId="04EC59F5" w14:textId="77777777" w:rsidR="00A0482C" w:rsidRDefault="00000000">
            <w:pPr>
              <w:spacing w:line="228" w:lineRule="auto"/>
            </w:pPr>
            <w:r>
              <w:rPr>
                <w:b/>
                <w:bCs/>
                <w:sz w:val="18"/>
                <w:szCs w:val="18"/>
              </w:rPr>
              <w:t>Hypothesis for the catch decline</w:t>
            </w:r>
          </w:p>
        </w:tc>
        <w:tc>
          <w:tcPr>
            <w:tcW w:w="1837"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14:paraId="7A43B80F" w14:textId="77777777" w:rsidR="00A0482C" w:rsidRDefault="00000000">
            <w:pPr>
              <w:spacing w:line="228" w:lineRule="auto"/>
            </w:pPr>
            <w:r>
              <w:rPr>
                <w:b/>
                <w:bCs/>
                <w:sz w:val="18"/>
                <w:szCs w:val="18"/>
              </w:rPr>
              <w:t>Final B/K (range; central value)</w:t>
            </w:r>
          </w:p>
        </w:tc>
        <w:tc>
          <w:tcPr>
            <w:tcW w:w="4083"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14:paraId="12F91029" w14:textId="77777777" w:rsidR="00A0482C" w:rsidRDefault="00000000">
            <w:pPr>
              <w:spacing w:line="228" w:lineRule="auto"/>
            </w:pPr>
            <w:r>
              <w:rPr>
                <w:b/>
                <w:bCs/>
                <w:sz w:val="18"/>
                <w:szCs w:val="18"/>
              </w:rPr>
              <w:t>Origin</w:t>
            </w:r>
          </w:p>
        </w:tc>
      </w:tr>
      <w:tr w:rsidR="00A0482C" w14:paraId="704B454F" w14:textId="77777777">
        <w:tblPrEx>
          <w:tblCellMar>
            <w:top w:w="0" w:type="dxa"/>
            <w:bottom w:w="0" w:type="dxa"/>
          </w:tblCellMar>
        </w:tblPrEx>
        <w:trPr>
          <w:cantSplit/>
        </w:trPr>
        <w:tc>
          <w:tcPr>
            <w:tcW w:w="20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6F8ECCC" w14:textId="77777777" w:rsidR="00A0482C" w:rsidRDefault="00000000">
            <w:pPr>
              <w:spacing w:line="228" w:lineRule="auto"/>
            </w:pPr>
            <w:r>
              <w:rPr>
                <w:sz w:val="18"/>
                <w:szCs w:val="18"/>
              </w:rPr>
              <w:t>CMSY++ neural network</w:t>
            </w:r>
          </w:p>
        </w:tc>
        <w:tc>
          <w:tcPr>
            <w:tcW w:w="224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6A13FA0" w14:textId="77777777" w:rsidR="00A0482C" w:rsidRDefault="00000000">
            <w:pPr>
              <w:spacing w:line="228" w:lineRule="auto"/>
            </w:pPr>
            <w:r>
              <w:rPr>
                <w:sz w:val="18"/>
                <w:szCs w:val="18"/>
              </w:rPr>
              <w:t>1: stock depletion</w:t>
            </w:r>
          </w:p>
        </w:tc>
        <w:tc>
          <w:tcPr>
            <w:tcW w:w="183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312BE29" w14:textId="77777777" w:rsidR="00A0482C" w:rsidRDefault="00000000">
            <w:pPr>
              <w:spacing w:line="228" w:lineRule="auto"/>
            </w:pPr>
            <w:r>
              <w:rPr>
                <w:sz w:val="18"/>
                <w:szCs w:val="18"/>
              </w:rPr>
              <w:t>0.03–0.25; 0.14</w:t>
            </w:r>
          </w:p>
        </w:tc>
        <w:tc>
          <w:tcPr>
            <w:tcW w:w="40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115E6FC" w14:textId="77777777" w:rsidR="00A0482C" w:rsidRDefault="00000000">
            <w:pPr>
              <w:spacing w:line="228" w:lineRule="auto"/>
            </w:pPr>
            <w:r>
              <w:rPr>
                <w:sz w:val="18"/>
                <w:szCs w:val="18"/>
              </w:rPr>
              <w:t>Inferred from the shape of the catch series (Froese et al., 2023)</w:t>
            </w:r>
          </w:p>
        </w:tc>
      </w:tr>
      <w:tr w:rsidR="00A0482C" w14:paraId="0B3D68DC" w14:textId="77777777">
        <w:tblPrEx>
          <w:tblCellMar>
            <w:top w:w="0" w:type="dxa"/>
            <w:bottom w:w="0" w:type="dxa"/>
          </w:tblCellMar>
        </w:tblPrEx>
        <w:trPr>
          <w:cantSplit/>
        </w:trPr>
        <w:tc>
          <w:tcPr>
            <w:tcW w:w="20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2AED9F8" w14:textId="77777777" w:rsidR="00A0482C" w:rsidRDefault="00000000">
            <w:pPr>
              <w:spacing w:line="228" w:lineRule="auto"/>
            </w:pPr>
            <w:proofErr w:type="spellStart"/>
            <w:r>
              <w:rPr>
                <w:sz w:val="18"/>
                <w:szCs w:val="18"/>
              </w:rPr>
              <w:t>zBRT</w:t>
            </w:r>
            <w:proofErr w:type="spellEnd"/>
          </w:p>
        </w:tc>
        <w:tc>
          <w:tcPr>
            <w:tcW w:w="224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8ECB2B8" w14:textId="77777777" w:rsidR="00A0482C" w:rsidRDefault="00000000">
            <w:pPr>
              <w:spacing w:line="228" w:lineRule="auto"/>
            </w:pPr>
            <w:r>
              <w:rPr>
                <w:sz w:val="18"/>
                <w:szCs w:val="18"/>
              </w:rPr>
              <w:t>1: stock depletion</w:t>
            </w:r>
          </w:p>
        </w:tc>
        <w:tc>
          <w:tcPr>
            <w:tcW w:w="183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B911C75" w14:textId="77777777" w:rsidR="00A0482C" w:rsidRDefault="00000000">
            <w:pPr>
              <w:spacing w:line="228" w:lineRule="auto"/>
            </w:pPr>
            <w:r>
              <w:rPr>
                <w:sz w:val="18"/>
                <w:szCs w:val="18"/>
              </w:rPr>
              <w:t>0.01–0.44; 0.16</w:t>
            </w:r>
          </w:p>
        </w:tc>
        <w:tc>
          <w:tcPr>
            <w:tcW w:w="40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8FD5F49" w14:textId="77777777" w:rsidR="00A0482C" w:rsidRDefault="00000000">
            <w:pPr>
              <w:spacing w:line="228" w:lineRule="auto"/>
            </w:pPr>
            <w:r>
              <w:rPr>
                <w:sz w:val="18"/>
                <w:szCs w:val="18"/>
              </w:rPr>
              <w:t>Inferred from the catch series by boosted regression trees (Zhou et al., 2017)</w:t>
            </w:r>
          </w:p>
        </w:tc>
      </w:tr>
      <w:tr w:rsidR="00A0482C" w14:paraId="050E0DD8" w14:textId="77777777">
        <w:tblPrEx>
          <w:tblCellMar>
            <w:top w:w="0" w:type="dxa"/>
            <w:bottom w:w="0" w:type="dxa"/>
          </w:tblCellMar>
        </w:tblPrEx>
        <w:trPr>
          <w:cantSplit/>
        </w:trPr>
        <w:tc>
          <w:tcPr>
            <w:tcW w:w="20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DEC84A1" w14:textId="77777777" w:rsidR="00A0482C" w:rsidRDefault="00000000">
            <w:pPr>
              <w:spacing w:line="228" w:lineRule="auto"/>
            </w:pPr>
            <w:r>
              <w:rPr>
                <w:sz w:val="18"/>
                <w:szCs w:val="18"/>
              </w:rPr>
              <w:t>Target switch</w:t>
            </w:r>
          </w:p>
        </w:tc>
        <w:tc>
          <w:tcPr>
            <w:tcW w:w="224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5A903FC" w14:textId="77777777" w:rsidR="00A0482C" w:rsidRDefault="00000000">
            <w:pPr>
              <w:spacing w:line="228" w:lineRule="auto"/>
            </w:pPr>
            <w:r>
              <w:rPr>
                <w:sz w:val="18"/>
                <w:szCs w:val="18"/>
              </w:rPr>
              <w:t>2: target switching</w:t>
            </w:r>
          </w:p>
        </w:tc>
        <w:tc>
          <w:tcPr>
            <w:tcW w:w="183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00A98D0" w14:textId="77777777" w:rsidR="00A0482C" w:rsidRDefault="00000000">
            <w:pPr>
              <w:spacing w:line="228" w:lineRule="auto"/>
            </w:pPr>
            <w:r>
              <w:rPr>
                <w:sz w:val="18"/>
                <w:szCs w:val="18"/>
              </w:rPr>
              <w:t>0.01–0.50; 0.25</w:t>
            </w:r>
          </w:p>
        </w:tc>
        <w:tc>
          <w:tcPr>
            <w:tcW w:w="40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1953B3A" w14:textId="77777777" w:rsidR="00A0482C" w:rsidRDefault="00000000">
            <w:pPr>
              <w:spacing w:line="228" w:lineRule="auto"/>
            </w:pPr>
            <w:r>
              <w:rPr>
                <w:sz w:val="18"/>
                <w:szCs w:val="18"/>
              </w:rPr>
              <w:t>Broad prior, independent of catches</w:t>
            </w:r>
          </w:p>
        </w:tc>
      </w:tr>
      <w:tr w:rsidR="00A0482C" w14:paraId="1513CA32" w14:textId="77777777">
        <w:tblPrEx>
          <w:tblCellMar>
            <w:top w:w="0" w:type="dxa"/>
            <w:bottom w:w="0" w:type="dxa"/>
          </w:tblCellMar>
        </w:tblPrEx>
        <w:trPr>
          <w:cantSplit/>
        </w:trPr>
        <w:tc>
          <w:tcPr>
            <w:tcW w:w="2041"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14:paraId="0735CEFF" w14:textId="77777777" w:rsidR="00A0482C" w:rsidRDefault="00000000">
            <w:pPr>
              <w:spacing w:line="228" w:lineRule="auto"/>
            </w:pPr>
            <w:r>
              <w:rPr>
                <w:sz w:val="18"/>
                <w:szCs w:val="18"/>
              </w:rPr>
              <w:t>Uninformative</w:t>
            </w:r>
          </w:p>
        </w:tc>
        <w:tc>
          <w:tcPr>
            <w:tcW w:w="2245"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14:paraId="3652B09A" w14:textId="77777777" w:rsidR="00A0482C" w:rsidRDefault="00000000">
            <w:pPr>
              <w:spacing w:line="228" w:lineRule="auto"/>
            </w:pPr>
            <w:r>
              <w:rPr>
                <w:sz w:val="18"/>
                <w:szCs w:val="18"/>
              </w:rPr>
              <w:t>2: target switching</w:t>
            </w:r>
          </w:p>
        </w:tc>
        <w:tc>
          <w:tcPr>
            <w:tcW w:w="1837"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14:paraId="1D4DE4FB" w14:textId="77777777" w:rsidR="00A0482C" w:rsidRDefault="00000000">
            <w:pPr>
              <w:spacing w:line="228" w:lineRule="auto"/>
            </w:pPr>
            <w:r>
              <w:rPr>
                <w:sz w:val="18"/>
                <w:szCs w:val="18"/>
              </w:rPr>
              <w:t>0.01–1.00; 0.50</w:t>
            </w:r>
          </w:p>
        </w:tc>
        <w:tc>
          <w:tcPr>
            <w:tcW w:w="4083"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14:paraId="50562D47" w14:textId="77777777" w:rsidR="00A0482C" w:rsidRDefault="00000000">
            <w:pPr>
              <w:spacing w:line="228" w:lineRule="auto"/>
            </w:pPr>
            <w:r>
              <w:rPr>
                <w:sz w:val="18"/>
                <w:szCs w:val="18"/>
              </w:rPr>
              <w:t>Whole possible range; tests the information content of the data</w:t>
            </w:r>
          </w:p>
        </w:tc>
      </w:tr>
    </w:tbl>
    <w:p w14:paraId="3340ABFE" w14:textId="77777777" w:rsidR="00A0482C" w:rsidRDefault="00A0482C">
      <w:pPr>
        <w:spacing w:after="60"/>
      </w:pPr>
    </w:p>
    <w:p w14:paraId="53130238" w14:textId="77777777" w:rsidR="00A0482C" w:rsidRDefault="00000000">
      <w:pPr>
        <w:spacing w:after="80" w:line="252" w:lineRule="auto"/>
        <w:ind w:firstLine="340"/>
        <w:jc w:val="both"/>
      </w:pPr>
      <w:r>
        <w:rPr>
          <w:i/>
          <w:iCs/>
        </w:rPr>
        <w:t>CMSY++ neural network.</w:t>
      </w:r>
      <w:r>
        <w:t xml:space="preserve"> The neural network is part of the CMSY++ code (Froese et al., 2023), but here it was run on its own to derive a final-depletion prior used by both catch-only models, DB-SRA and CMSY++. It was trained on the catch series of stocks assessed with full models, for which relative biomass is known, and uses as predictors features of the catch series: its overall shape (stable, increasing, decreasing, peaked or U-shaped), the catch in an intermediate year and the mean catch in recent years relative to an MSY proxy derived from the largest catches, and the slopes of the trends in the first and last ten years. With these predictors, the network classifies the stock in the last year as likely below or above half of carrying capacity, and the predicted class and the ratio between final catch and the MSY proxy are converted into a B/K interval. Applied to the 1989–2023 series, it classified the stock below 0.5K and indicated a final B/K between 0.03 and 0.25 (central value 0.14).</w:t>
      </w:r>
    </w:p>
    <w:p w14:paraId="1B48FB1C" w14:textId="77777777" w:rsidR="00A0482C" w:rsidRDefault="00000000">
      <w:pPr>
        <w:spacing w:after="80" w:line="252" w:lineRule="auto"/>
        <w:ind w:firstLine="340"/>
        <w:jc w:val="both"/>
      </w:pPr>
      <w:proofErr w:type="spellStart"/>
      <w:r>
        <w:rPr>
          <w:i/>
          <w:iCs/>
        </w:rPr>
        <w:t>zBRT</w:t>
      </w:r>
      <w:proofErr w:type="spellEnd"/>
      <w:r>
        <w:rPr>
          <w:i/>
          <w:iCs/>
        </w:rPr>
        <w:t>.</w:t>
      </w:r>
      <w:r>
        <w:t xml:space="preserve"> </w:t>
      </w:r>
      <w:proofErr w:type="spellStart"/>
      <w:r>
        <w:t>zBRT</w:t>
      </w:r>
      <w:proofErr w:type="spellEnd"/>
      <w:r>
        <w:t xml:space="preserve"> (Zhou et al., 2017) estimates depletion with boosted regression trees, a machine-learning method that combines many simple decision trees, fitted to formally assessed stocks of the RAM Legacy database to relate relative biomass to features of the catch series, such as current catch relative to the historical maximum, the position of the peak and recent trends. We used the implementation of the datalimited2 package (Free, 2018). For mackerel scad, </w:t>
      </w:r>
      <w:proofErr w:type="spellStart"/>
      <w:r>
        <w:t>zBRT</w:t>
      </w:r>
      <w:proofErr w:type="spellEnd"/>
      <w:r>
        <w:t xml:space="preserve"> estimated B/K in 2023 between 0.01 and 0.44 (central value 0.16), a wider interval than that of the neural network but equally concentrated at low biomass.</w:t>
      </w:r>
    </w:p>
    <w:p w14:paraId="59D60FB3" w14:textId="77777777" w:rsidR="00A0482C" w:rsidRDefault="00000000">
      <w:pPr>
        <w:spacing w:after="80" w:line="252" w:lineRule="auto"/>
        <w:ind w:firstLine="340"/>
        <w:jc w:val="both"/>
      </w:pPr>
      <w:r>
        <w:rPr>
          <w:i/>
          <w:iCs/>
        </w:rPr>
        <w:t>Target-switch and uninformative priors.</w:t>
      </w:r>
      <w:r>
        <w:t xml:space="preserve"> Target switching was represented by a uniform prior on final B/K between 0.01 and 0.50 (central value 0.25), which does not assume that the decline in landings reflects an equivalent decline in biomass and admits stocks close to B</w:t>
      </w:r>
      <w:r>
        <w:rPr>
          <w:vertAlign w:val="subscript"/>
        </w:rPr>
        <w:t>MSY</w:t>
      </w:r>
      <w:r>
        <w:t>. The uninformative prior (0.01–1.00) covers the whole possible range and acts as a test: it shows what the models conclude when nothing is assumed about final stock status, that is, how much the catch series and the productivity of the species alone constrain the solution.</w:t>
      </w:r>
    </w:p>
    <w:p w14:paraId="04253E84" w14:textId="77777777" w:rsidR="00A0482C" w:rsidRDefault="00000000">
      <w:pPr>
        <w:spacing w:after="80" w:line="252" w:lineRule="auto"/>
        <w:ind w:firstLine="340"/>
        <w:jc w:val="both"/>
      </w:pPr>
      <w:r>
        <w:rPr>
          <w:i/>
          <w:iCs/>
        </w:rPr>
        <w:t>Initial depletion.</w:t>
      </w:r>
      <w:r>
        <w:t xml:space="preserve"> In all scenarios and in the three models that use this assumption (DB-SRA, CMSY++ and JABBA), relative biomass in 1989 was set between 0.5 and 0.8K, because industrial purse seining already operated before the series began and the 1989 catch (1,671 t) already represented 55% of the historical maximum (3,015 t in 1998), the profile of an established fishery rather than of a near-virgin stock.</w:t>
      </w:r>
    </w:p>
    <w:p w14:paraId="23DC046E" w14:textId="77777777" w:rsidR="00A0482C" w:rsidRDefault="00000000">
      <w:pPr>
        <w:pStyle w:val="Ttulo3"/>
        <w:keepNext/>
        <w:spacing w:before="120" w:after="60"/>
      </w:pPr>
      <w:r>
        <w:t>2.4.2 Prior on the intrinsic rate of population increase</w:t>
      </w:r>
    </w:p>
    <w:p w14:paraId="4AA2A576" w14:textId="77777777" w:rsidR="00A0482C" w:rsidRDefault="00000000">
      <w:pPr>
        <w:spacing w:after="80" w:line="252" w:lineRule="auto"/>
        <w:ind w:firstLine="340"/>
        <w:jc w:val="both"/>
      </w:pPr>
      <w:r>
        <w:t>The intrinsic rate of population increase (</w:t>
      </w:r>
      <w:r>
        <w:rPr>
          <w:i/>
          <w:iCs/>
        </w:rPr>
        <w:t>r</w:t>
      </w:r>
      <w:r>
        <w:t>) defines stock productivity in CMSY++. Its prior was derived from life history with four demographic methods reviewed by Cortés (2016): (</w:t>
      </w:r>
      <w:proofErr w:type="spellStart"/>
      <w:r>
        <w:t>i</w:t>
      </w:r>
      <w:proofErr w:type="spellEnd"/>
      <w:r>
        <w:t xml:space="preserve">) the Euler–Lotka equation, which finds </w:t>
      </w:r>
      <w:r>
        <w:lastRenderedPageBreak/>
        <w:t xml:space="preserve">the </w:t>
      </w:r>
      <w:r>
        <w:rPr>
          <w:i/>
          <w:iCs/>
        </w:rPr>
        <w:t>r</w:t>
      </w:r>
      <w:r>
        <w:t xml:space="preserve"> for which the sum over ages of survival times fecundity, discounted by </w:t>
      </w:r>
      <m:oMath>
        <m:sSup>
          <m:sSupPr>
            <m:ctrlPr>
              <w:rPr>
                <w:rFonts w:ascii="Cambria Math" w:hAnsi="Cambria Math"/>
              </w:rPr>
            </m:ctrlPr>
          </m:sSupPr>
          <m:e>
            <m:r>
              <w:rPr>
                <w:rFonts w:ascii="Cambria Math" w:hAnsi="Cambria Math"/>
                <w:lang w:val="pt-BR"/>
              </w:rPr>
              <m:t>e</m:t>
            </m:r>
          </m:e>
          <m:sup>
            <m:r>
              <w:rPr>
                <w:rFonts w:ascii="Cambria Math" w:hAnsi="Cambria Math"/>
              </w:rPr>
              <m:t>-</m:t>
            </m:r>
            <m:r>
              <w:rPr>
                <w:rFonts w:ascii="Cambria Math" w:hAnsi="Cambria Math"/>
                <w:lang w:val="pt-BR"/>
              </w:rPr>
              <m:t>r</m:t>
            </m:r>
            <m:r>
              <w:rPr>
                <w:rFonts w:ascii="Cambria Math" w:hAnsi="Cambria Math"/>
              </w:rPr>
              <m:t>·</m:t>
            </m:r>
            <m:r>
              <m:rPr>
                <m:sty m:val="p"/>
              </m:rPr>
              <w:rPr>
                <w:rFonts w:ascii="Cambria Math" w:hAnsi="Cambria Math"/>
              </w:rPr>
              <m:t>age</m:t>
            </m:r>
          </m:sup>
        </m:sSup>
      </m:oMath>
      <w:r>
        <w:t xml:space="preserve">, equals one; (ii) the method of Myers et al. (1997), based on age at maturity, adult survival and offspring production; (iii) the rebound potential of Smith et al. (1998), which estimates the growth rate of a reduced population from </w:t>
      </w:r>
      <w:r>
        <w:rPr>
          <w:i/>
          <w:iCs/>
        </w:rPr>
        <w:t>M</w:t>
      </w:r>
      <w:r>
        <w:t xml:space="preserve">, age at maturity and longevity; and (iv) the demographic invariant of Niel and Lebreton (2005), which relates </w:t>
      </w:r>
      <w:r>
        <w:rPr>
          <w:i/>
          <w:iCs/>
        </w:rPr>
        <w:t>r</w:t>
      </w:r>
      <w:r>
        <w:t xml:space="preserve"> to age at maturity and adult survival.</w:t>
      </w:r>
    </w:p>
    <w:p w14:paraId="5CB26DDE" w14:textId="77777777" w:rsidR="00A0482C" w:rsidRDefault="00000000">
      <w:pPr>
        <w:spacing w:after="80" w:line="252" w:lineRule="auto"/>
        <w:ind w:firstLine="340"/>
        <w:jc w:val="both"/>
      </w:pPr>
      <w:r>
        <w:t>Inputs came from the most reliable and complete sources of the compilation (Section 2.2). L</w:t>
      </w:r>
      <w:r>
        <w:rPr>
          <w:vertAlign w:val="subscript"/>
        </w:rPr>
        <w:t>50</w:t>
      </w:r>
      <w:r>
        <w:t xml:space="preserve"> was the mean of the estimates of Costa et al. (2020) for females (24.1 cm FL) and males (26.6 cm FL) and of Vieira (2019) for pooled sexes (20.3 cm FL), i.e., 23.7 cm FL. Growth (L</w:t>
      </w:r>
      <w:r>
        <w:rPr>
          <w:vertAlign w:val="subscript"/>
        </w:rPr>
        <w:t>∞</w:t>
      </w:r>
      <w:r>
        <w:t xml:space="preserve"> = 40.6 cm FL; </w:t>
      </w:r>
      <w:r>
        <w:rPr>
          <w:i/>
          <w:iCs/>
        </w:rPr>
        <w:t>K</w:t>
      </w:r>
      <w:r>
        <w:t xml:space="preserve"> = 0.45 yr</w:t>
      </w:r>
      <w:r>
        <w:rPr>
          <w:vertAlign w:val="superscript"/>
        </w:rPr>
        <w:t>−1</w:t>
      </w:r>
      <w:r>
        <w:t xml:space="preserve">), </w:t>
      </w:r>
      <w:r>
        <w:rPr>
          <w:i/>
          <w:iCs/>
        </w:rPr>
        <w:t>M</w:t>
      </w:r>
      <w:r>
        <w:t xml:space="preserve"> (0.92 yr</w:t>
      </w:r>
      <w:r>
        <w:rPr>
          <w:vertAlign w:val="superscript"/>
        </w:rPr>
        <w:t>−1</w:t>
      </w:r>
      <w:r>
        <w:t>) and longevity (</w:t>
      </w:r>
      <w:proofErr w:type="spellStart"/>
      <w:r>
        <w:t>t</w:t>
      </w:r>
      <w:r>
        <w:rPr>
          <w:vertAlign w:val="subscript"/>
        </w:rPr>
        <w:t>max</w:t>
      </w:r>
      <w:proofErr w:type="spellEnd"/>
      <w:r>
        <w:t xml:space="preserve"> = 6.3 years) came from Vieira (2019), the only recent source (1988–2018) reporting all four parameters together. Age at maturity was obtained by inverting the von </w:t>
      </w:r>
      <w:proofErr w:type="spellStart"/>
      <w:r>
        <w:t>Bertalanffy</w:t>
      </w:r>
      <w:proofErr w:type="spellEnd"/>
      <w:r>
        <w:t xml:space="preserve"> curve at L</w:t>
      </w:r>
      <w:r>
        <w:rPr>
          <w:vertAlign w:val="subscript"/>
        </w:rPr>
        <w:t>50</w:t>
      </w:r>
      <w:r>
        <w:t xml:space="preserve">, and survival at age as </w:t>
      </w:r>
      <m:oMath>
        <m:sSup>
          <m:sSupPr>
            <m:ctrlPr>
              <w:rPr>
                <w:rFonts w:ascii="Cambria Math" w:hAnsi="Cambria Math"/>
              </w:rPr>
            </m:ctrlPr>
          </m:sSupPr>
          <m:e>
            <m:r>
              <w:rPr>
                <w:rFonts w:ascii="Cambria Math" w:hAnsi="Cambria Math"/>
                <w:lang w:val="pt-BR"/>
              </w:rPr>
              <m:t>e</m:t>
            </m:r>
          </m:e>
          <m:sup>
            <m:r>
              <w:rPr>
                <w:rFonts w:ascii="Cambria Math" w:hAnsi="Cambria Math"/>
              </w:rPr>
              <m:t>-</m:t>
            </m:r>
            <m:r>
              <w:rPr>
                <w:rFonts w:ascii="Cambria Math" w:hAnsi="Cambria Math"/>
                <w:lang w:val="pt-BR"/>
              </w:rPr>
              <m:t>M</m:t>
            </m:r>
            <m:r>
              <w:rPr>
                <w:rFonts w:ascii="Cambria Math" w:hAnsi="Cambria Math"/>
              </w:rPr>
              <m:t>·</m:t>
            </m:r>
            <m:r>
              <m:rPr>
                <m:sty m:val="p"/>
              </m:rPr>
              <w:rPr>
                <w:rFonts w:ascii="Cambria Math" w:hAnsi="Cambria Math"/>
              </w:rPr>
              <m:t>age</m:t>
            </m:r>
          </m:sup>
        </m:sSup>
      </m:oMath>
      <w:r>
        <w:t>. Parameter uncertainty was propagated by parametric bootstrap (1,000 iterations), drawing parameters from lognormal distributions centred on the reference values with coefficients of variation of 15% (L</w:t>
      </w:r>
      <w:r>
        <w:rPr>
          <w:vertAlign w:val="subscript"/>
        </w:rPr>
        <w:t>∞</w:t>
      </w:r>
      <w:r>
        <w:t>, L</w:t>
      </w:r>
      <w:r>
        <w:rPr>
          <w:vertAlign w:val="subscript"/>
        </w:rPr>
        <w:t>50</w:t>
      </w:r>
      <w:r>
        <w:t>), 20% (</w:t>
      </w:r>
      <w:r>
        <w:rPr>
          <w:i/>
          <w:iCs/>
        </w:rPr>
        <w:t>K</w:t>
      </w:r>
      <w:r>
        <w:t xml:space="preserve">, </w:t>
      </w:r>
      <w:r>
        <w:rPr>
          <w:i/>
          <w:iCs/>
        </w:rPr>
        <w:t>M</w:t>
      </w:r>
      <w:r>
        <w:t>), 10% (</w:t>
      </w:r>
      <w:proofErr w:type="spellStart"/>
      <w:r>
        <w:t>t</w:t>
      </w:r>
      <w:r>
        <w:rPr>
          <w:vertAlign w:val="subscript"/>
        </w:rPr>
        <w:t>max</w:t>
      </w:r>
      <w:proofErr w:type="spellEnd"/>
      <w:r>
        <w:t>) and 25% (fecundity term).</w:t>
      </w:r>
    </w:p>
    <w:p w14:paraId="442DBADC" w14:textId="77777777" w:rsidR="00A0482C" w:rsidRDefault="00000000">
      <w:pPr>
        <w:spacing w:after="80" w:line="252" w:lineRule="auto"/>
        <w:ind w:firstLine="340"/>
        <w:jc w:val="both"/>
      </w:pPr>
      <w:r>
        <w:t xml:space="preserve">The central value of the prior was the median of the four method medians, </w:t>
      </w:r>
      <w:r>
        <w:rPr>
          <w:i/>
          <w:iCs/>
        </w:rPr>
        <w:t>r</w:t>
      </w:r>
      <w:r>
        <w:t xml:space="preserve"> = 0.47 yr</w:t>
      </w:r>
      <w:r>
        <w:rPr>
          <w:vertAlign w:val="superscript"/>
        </w:rPr>
        <w:t>−1</w:t>
      </w:r>
      <w:r>
        <w:t>, with an interval of 0.2–0.8 yr</w:t>
      </w:r>
      <w:r>
        <w:rPr>
          <w:vertAlign w:val="superscript"/>
        </w:rPr>
        <w:t>−1</w:t>
      </w:r>
      <w:r>
        <w:t xml:space="preserve"> that encompasses the medians of all methods and matches the medium-resilience category of CMSY (Froese et al., 2017). Three additional scenarios tested the sensitivity to productivity (Table 3): lower and higher resilience, shifting the interval and central value by −0.2 and +0.2, and an uninformative prior (0.1–1.5 yr</w:t>
      </w:r>
      <w:r>
        <w:rPr>
          <w:vertAlign w:val="superscript"/>
        </w:rPr>
        <w:t>−1</w:t>
      </w:r>
      <w:r>
        <w:t xml:space="preserve">); combined with the four depletion hypotheses, they form the 16 CMSY++ scenarios. DB-SRA does not use </w:t>
      </w:r>
      <w:r>
        <w:rPr>
          <w:i/>
          <w:iCs/>
        </w:rPr>
        <w:t>r</w:t>
      </w:r>
      <w:r>
        <w:t xml:space="preserve"> directly, because productivity enters the model through </w:t>
      </w:r>
      <w:r>
        <w:rPr>
          <w:i/>
          <w:iCs/>
        </w:rPr>
        <w:t>M</w:t>
      </w:r>
      <w:r>
        <w:t xml:space="preserve"> and the ratios F</w:t>
      </w:r>
      <w:r>
        <w:rPr>
          <w:vertAlign w:val="subscript"/>
        </w:rPr>
        <w:t>MSY</w:t>
      </w:r>
      <w:r>
        <w:t>/M and B</w:t>
      </w:r>
      <w:r>
        <w:rPr>
          <w:vertAlign w:val="subscript"/>
        </w:rPr>
        <w:t>MSY</w:t>
      </w:r>
      <w:r>
        <w:t xml:space="preserve">/K. DB-SRA was therefore run with three values of </w:t>
      </w:r>
      <w:r>
        <w:rPr>
          <w:i/>
          <w:iCs/>
        </w:rPr>
        <w:t>M</w:t>
      </w:r>
      <w:r>
        <w:t xml:space="preserve"> from the compilation, 0.92 yr</w:t>
      </w:r>
      <w:r>
        <w:rPr>
          <w:vertAlign w:val="superscript"/>
        </w:rPr>
        <w:t>−1</w:t>
      </w:r>
      <w:r>
        <w:t xml:space="preserve"> (Vieira, 2019), 0.62 yr</w:t>
      </w:r>
      <w:r>
        <w:rPr>
          <w:vertAlign w:val="superscript"/>
        </w:rPr>
        <w:t>−1</w:t>
      </w:r>
      <w:r>
        <w:t xml:space="preserve"> (Jardim, 1999; mean of 0.80 and 0.43 yr</w:t>
      </w:r>
      <w:r>
        <w:rPr>
          <w:vertAlign w:val="superscript"/>
        </w:rPr>
        <w:t>−1</w:t>
      </w:r>
      <w:r>
        <w:t>) and 0.63 yr</w:t>
      </w:r>
      <w:r>
        <w:rPr>
          <w:vertAlign w:val="superscript"/>
        </w:rPr>
        <w:t>−1</w:t>
      </w:r>
      <w:r>
        <w:t xml:space="preserve"> (Santos, 2018; mean of 0.60 and 0.67 yr</w:t>
      </w:r>
      <w:r>
        <w:rPr>
          <w:vertAlign w:val="superscript"/>
        </w:rPr>
        <w:t>−1</w:t>
      </w:r>
      <w:r>
        <w:t>), which, combined with the four depletion hypotheses, form 12 scenarios.</w:t>
      </w:r>
    </w:p>
    <w:p w14:paraId="29666244" w14:textId="77777777" w:rsidR="00A0482C" w:rsidRDefault="00000000">
      <w:pPr>
        <w:keepNext/>
        <w:spacing w:before="120" w:after="60"/>
        <w:jc w:val="both"/>
      </w:pPr>
      <w:r>
        <w:rPr>
          <w:b/>
          <w:bCs/>
          <w:sz w:val="19"/>
          <w:szCs w:val="19"/>
        </w:rPr>
        <w:t xml:space="preserve">Table 3. </w:t>
      </w:r>
      <w:r>
        <w:rPr>
          <w:sz w:val="19"/>
          <w:szCs w:val="19"/>
        </w:rPr>
        <w:t xml:space="preserve">Scenarios for the prior on </w:t>
      </w:r>
      <w:r>
        <w:rPr>
          <w:i/>
          <w:iCs/>
          <w:sz w:val="19"/>
          <w:szCs w:val="19"/>
        </w:rPr>
        <w:t>r</w:t>
      </w:r>
      <w:r>
        <w:rPr>
          <w:sz w:val="19"/>
          <w:szCs w:val="19"/>
        </w:rPr>
        <w:t xml:space="preserve"> used in CMSY++.</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4"/>
        <w:gridCol w:w="1837"/>
        <w:gridCol w:w="1429"/>
        <w:gridCol w:w="4286"/>
      </w:tblGrid>
      <w:tr w:rsidR="00A0482C" w14:paraId="0BF64A68" w14:textId="77777777">
        <w:tblPrEx>
          <w:tblCellMar>
            <w:top w:w="0" w:type="dxa"/>
            <w:bottom w:w="0" w:type="dxa"/>
          </w:tblCellMar>
        </w:tblPrEx>
        <w:trPr>
          <w:tblHeader/>
        </w:trPr>
        <w:tc>
          <w:tcPr>
            <w:tcW w:w="2654"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14:paraId="57D48419" w14:textId="77777777" w:rsidR="00A0482C" w:rsidRDefault="00000000">
            <w:pPr>
              <w:spacing w:line="228" w:lineRule="auto"/>
            </w:pPr>
            <w:r>
              <w:rPr>
                <w:b/>
                <w:bCs/>
                <w:sz w:val="18"/>
                <w:szCs w:val="18"/>
              </w:rPr>
              <w:t>Scenario</w:t>
            </w:r>
          </w:p>
        </w:tc>
        <w:tc>
          <w:tcPr>
            <w:tcW w:w="1837"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14:paraId="0EDC922B" w14:textId="77777777" w:rsidR="00A0482C" w:rsidRDefault="00000000">
            <w:pPr>
              <w:spacing w:line="228" w:lineRule="auto"/>
            </w:pPr>
            <w:r>
              <w:rPr>
                <w:b/>
                <w:bCs/>
                <w:sz w:val="18"/>
                <w:szCs w:val="18"/>
              </w:rPr>
              <w:t xml:space="preserve">Range of </w:t>
            </w:r>
            <w:r>
              <w:rPr>
                <w:b/>
                <w:bCs/>
                <w:i/>
                <w:iCs/>
                <w:sz w:val="18"/>
                <w:szCs w:val="18"/>
              </w:rPr>
              <w:t>r</w:t>
            </w:r>
            <w:r>
              <w:rPr>
                <w:b/>
                <w:bCs/>
                <w:sz w:val="18"/>
                <w:szCs w:val="18"/>
              </w:rPr>
              <w:t xml:space="preserve"> (yr</w:t>
            </w:r>
            <w:r>
              <w:rPr>
                <w:b/>
                <w:bCs/>
                <w:sz w:val="18"/>
                <w:szCs w:val="18"/>
                <w:vertAlign w:val="superscript"/>
              </w:rPr>
              <w:t>−1</w:t>
            </w:r>
            <w:r>
              <w:rPr>
                <w:b/>
                <w:bCs/>
                <w:sz w:val="18"/>
                <w:szCs w:val="18"/>
              </w:rPr>
              <w:t>)</w:t>
            </w:r>
          </w:p>
        </w:tc>
        <w:tc>
          <w:tcPr>
            <w:tcW w:w="1429"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14:paraId="3EE0425B" w14:textId="77777777" w:rsidR="00A0482C" w:rsidRDefault="00000000">
            <w:pPr>
              <w:spacing w:line="228" w:lineRule="auto"/>
            </w:pPr>
            <w:r>
              <w:rPr>
                <w:b/>
                <w:bCs/>
                <w:sz w:val="18"/>
                <w:szCs w:val="18"/>
              </w:rPr>
              <w:t>Central value</w:t>
            </w:r>
          </w:p>
        </w:tc>
        <w:tc>
          <w:tcPr>
            <w:tcW w:w="4286"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14:paraId="3C5E6285" w14:textId="77777777" w:rsidR="00A0482C" w:rsidRDefault="00000000">
            <w:pPr>
              <w:spacing w:line="228" w:lineRule="auto"/>
            </w:pPr>
            <w:r>
              <w:rPr>
                <w:b/>
                <w:bCs/>
                <w:sz w:val="18"/>
                <w:szCs w:val="18"/>
              </w:rPr>
              <w:t>Rationale</w:t>
            </w:r>
          </w:p>
        </w:tc>
      </w:tr>
      <w:tr w:rsidR="00A0482C" w14:paraId="1C8BD2FE" w14:textId="77777777">
        <w:tblPrEx>
          <w:tblCellMar>
            <w:top w:w="0" w:type="dxa"/>
            <w:bottom w:w="0" w:type="dxa"/>
          </w:tblCellMar>
        </w:tblPrEx>
        <w:trPr>
          <w:cantSplit/>
        </w:trPr>
        <w:tc>
          <w:tcPr>
            <w:tcW w:w="265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2913334" w14:textId="77777777" w:rsidR="00A0482C" w:rsidRDefault="00000000">
            <w:pPr>
              <w:spacing w:line="228" w:lineRule="auto"/>
            </w:pPr>
            <w:r>
              <w:rPr>
                <w:sz w:val="18"/>
                <w:szCs w:val="18"/>
              </w:rPr>
              <w:t>Demographic methods (base)</w:t>
            </w:r>
          </w:p>
        </w:tc>
        <w:tc>
          <w:tcPr>
            <w:tcW w:w="183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76606F1" w14:textId="77777777" w:rsidR="00A0482C" w:rsidRDefault="00000000">
            <w:pPr>
              <w:spacing w:line="228" w:lineRule="auto"/>
            </w:pPr>
            <w:r>
              <w:rPr>
                <w:sz w:val="18"/>
                <w:szCs w:val="18"/>
              </w:rPr>
              <w:t>0.20–0.80</w:t>
            </w:r>
          </w:p>
        </w:tc>
        <w:tc>
          <w:tcPr>
            <w:tcW w:w="142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025161B" w14:textId="77777777" w:rsidR="00A0482C" w:rsidRDefault="00000000">
            <w:pPr>
              <w:spacing w:line="228" w:lineRule="auto"/>
            </w:pPr>
            <w:r>
              <w:rPr>
                <w:sz w:val="18"/>
                <w:szCs w:val="18"/>
              </w:rPr>
              <w:t>0.47</w:t>
            </w:r>
          </w:p>
        </w:tc>
        <w:tc>
          <w:tcPr>
            <w:tcW w:w="428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9CDF062" w14:textId="77777777" w:rsidR="00A0482C" w:rsidRDefault="00000000">
            <w:pPr>
              <w:spacing w:line="228" w:lineRule="auto"/>
            </w:pPr>
            <w:r>
              <w:rPr>
                <w:sz w:val="18"/>
                <w:szCs w:val="18"/>
              </w:rPr>
              <w:t>Median of the four methods; medium-resilience interval</w:t>
            </w:r>
          </w:p>
        </w:tc>
      </w:tr>
      <w:tr w:rsidR="00A0482C" w14:paraId="12EABDB8" w14:textId="77777777">
        <w:tblPrEx>
          <w:tblCellMar>
            <w:top w:w="0" w:type="dxa"/>
            <w:bottom w:w="0" w:type="dxa"/>
          </w:tblCellMar>
        </w:tblPrEx>
        <w:trPr>
          <w:cantSplit/>
        </w:trPr>
        <w:tc>
          <w:tcPr>
            <w:tcW w:w="265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B2A29A0" w14:textId="77777777" w:rsidR="00A0482C" w:rsidRDefault="00000000">
            <w:pPr>
              <w:spacing w:line="228" w:lineRule="auto"/>
            </w:pPr>
            <w:r>
              <w:rPr>
                <w:sz w:val="18"/>
                <w:szCs w:val="18"/>
              </w:rPr>
              <w:t>Lower resilience</w:t>
            </w:r>
          </w:p>
        </w:tc>
        <w:tc>
          <w:tcPr>
            <w:tcW w:w="183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B8BA050" w14:textId="77777777" w:rsidR="00A0482C" w:rsidRDefault="00000000">
            <w:pPr>
              <w:spacing w:line="228" w:lineRule="auto"/>
            </w:pPr>
            <w:r>
              <w:rPr>
                <w:sz w:val="18"/>
                <w:szCs w:val="18"/>
              </w:rPr>
              <w:t>0.05–0.60</w:t>
            </w:r>
          </w:p>
        </w:tc>
        <w:tc>
          <w:tcPr>
            <w:tcW w:w="142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691F7F4" w14:textId="77777777" w:rsidR="00A0482C" w:rsidRDefault="00000000">
            <w:pPr>
              <w:spacing w:line="228" w:lineRule="auto"/>
            </w:pPr>
            <w:r>
              <w:rPr>
                <w:sz w:val="18"/>
                <w:szCs w:val="18"/>
              </w:rPr>
              <w:t>0.27</w:t>
            </w:r>
          </w:p>
        </w:tc>
        <w:tc>
          <w:tcPr>
            <w:tcW w:w="428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8E20BC7" w14:textId="77777777" w:rsidR="00A0482C" w:rsidRDefault="00000000">
            <w:pPr>
              <w:spacing w:line="228" w:lineRule="auto"/>
            </w:pPr>
            <w:r>
              <w:rPr>
                <w:sz w:val="18"/>
                <w:szCs w:val="18"/>
              </w:rPr>
              <w:t>Base shifted by −0.2: less productive population</w:t>
            </w:r>
          </w:p>
        </w:tc>
      </w:tr>
      <w:tr w:rsidR="00A0482C" w14:paraId="531703A6" w14:textId="77777777">
        <w:tblPrEx>
          <w:tblCellMar>
            <w:top w:w="0" w:type="dxa"/>
            <w:bottom w:w="0" w:type="dxa"/>
          </w:tblCellMar>
        </w:tblPrEx>
        <w:trPr>
          <w:cantSplit/>
        </w:trPr>
        <w:tc>
          <w:tcPr>
            <w:tcW w:w="265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27CE906" w14:textId="77777777" w:rsidR="00A0482C" w:rsidRDefault="00000000">
            <w:pPr>
              <w:spacing w:line="228" w:lineRule="auto"/>
            </w:pPr>
            <w:r>
              <w:rPr>
                <w:sz w:val="18"/>
                <w:szCs w:val="18"/>
              </w:rPr>
              <w:t>Higher resilience</w:t>
            </w:r>
          </w:p>
        </w:tc>
        <w:tc>
          <w:tcPr>
            <w:tcW w:w="183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D047954" w14:textId="77777777" w:rsidR="00A0482C" w:rsidRDefault="00000000">
            <w:pPr>
              <w:spacing w:line="228" w:lineRule="auto"/>
            </w:pPr>
            <w:r>
              <w:rPr>
                <w:sz w:val="18"/>
                <w:szCs w:val="18"/>
              </w:rPr>
              <w:t>0.40–1.00</w:t>
            </w:r>
          </w:p>
        </w:tc>
        <w:tc>
          <w:tcPr>
            <w:tcW w:w="142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FAF3F71" w14:textId="77777777" w:rsidR="00A0482C" w:rsidRDefault="00000000">
            <w:pPr>
              <w:spacing w:line="228" w:lineRule="auto"/>
            </w:pPr>
            <w:r>
              <w:rPr>
                <w:sz w:val="18"/>
                <w:szCs w:val="18"/>
              </w:rPr>
              <w:t>0.67</w:t>
            </w:r>
          </w:p>
        </w:tc>
        <w:tc>
          <w:tcPr>
            <w:tcW w:w="428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121A72C" w14:textId="77777777" w:rsidR="00A0482C" w:rsidRDefault="00000000">
            <w:pPr>
              <w:spacing w:line="228" w:lineRule="auto"/>
            </w:pPr>
            <w:r>
              <w:rPr>
                <w:sz w:val="18"/>
                <w:szCs w:val="18"/>
              </w:rPr>
              <w:t>Base shifted by +0.2: more productive population</w:t>
            </w:r>
          </w:p>
        </w:tc>
      </w:tr>
      <w:tr w:rsidR="00A0482C" w14:paraId="671EC7C7" w14:textId="77777777">
        <w:tblPrEx>
          <w:tblCellMar>
            <w:top w:w="0" w:type="dxa"/>
            <w:bottom w:w="0" w:type="dxa"/>
          </w:tblCellMar>
        </w:tblPrEx>
        <w:trPr>
          <w:cantSplit/>
        </w:trPr>
        <w:tc>
          <w:tcPr>
            <w:tcW w:w="2654"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14:paraId="34F3C7C7" w14:textId="77777777" w:rsidR="00A0482C" w:rsidRDefault="00000000">
            <w:pPr>
              <w:spacing w:line="228" w:lineRule="auto"/>
            </w:pPr>
            <w:r>
              <w:rPr>
                <w:sz w:val="18"/>
                <w:szCs w:val="18"/>
              </w:rPr>
              <w:t>Uninformative</w:t>
            </w:r>
          </w:p>
        </w:tc>
        <w:tc>
          <w:tcPr>
            <w:tcW w:w="1837"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14:paraId="0743FA48" w14:textId="77777777" w:rsidR="00A0482C" w:rsidRDefault="00000000">
            <w:pPr>
              <w:spacing w:line="228" w:lineRule="auto"/>
            </w:pPr>
            <w:r>
              <w:rPr>
                <w:sz w:val="18"/>
                <w:szCs w:val="18"/>
              </w:rPr>
              <w:t>0.10–1.50</w:t>
            </w:r>
          </w:p>
        </w:tc>
        <w:tc>
          <w:tcPr>
            <w:tcW w:w="1429"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14:paraId="55E55F97" w14:textId="77777777" w:rsidR="00A0482C" w:rsidRDefault="00000000">
            <w:pPr>
              <w:spacing w:line="228" w:lineRule="auto"/>
            </w:pPr>
            <w:r>
              <w:rPr>
                <w:sz w:val="18"/>
                <w:szCs w:val="18"/>
              </w:rPr>
              <w:t>–</w:t>
            </w:r>
          </w:p>
        </w:tc>
        <w:tc>
          <w:tcPr>
            <w:tcW w:w="4286"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14:paraId="5B910FFA" w14:textId="77777777" w:rsidR="00A0482C" w:rsidRDefault="00000000">
            <w:pPr>
              <w:spacing w:line="228" w:lineRule="auto"/>
            </w:pPr>
            <w:r>
              <w:rPr>
                <w:sz w:val="18"/>
                <w:szCs w:val="18"/>
              </w:rPr>
              <w:t>Whole biologically plausible range</w:t>
            </w:r>
          </w:p>
        </w:tc>
      </w:tr>
    </w:tbl>
    <w:p w14:paraId="22E314F5" w14:textId="77777777" w:rsidR="00A0482C" w:rsidRDefault="00A0482C">
      <w:pPr>
        <w:spacing w:after="60"/>
      </w:pPr>
    </w:p>
    <w:p w14:paraId="7CA7B18C" w14:textId="77777777" w:rsidR="00A0482C" w:rsidRDefault="00000000">
      <w:pPr>
        <w:pStyle w:val="Ttulo3"/>
        <w:keepNext/>
        <w:spacing w:before="120" w:after="60"/>
      </w:pPr>
      <w:r>
        <w:t>2.4.3 Age at maturity</w:t>
      </w:r>
    </w:p>
    <w:p w14:paraId="4853510E" w14:textId="77777777" w:rsidR="00A0482C" w:rsidRDefault="00000000">
      <w:pPr>
        <w:spacing w:after="80" w:line="252" w:lineRule="auto"/>
        <w:ind w:firstLine="340"/>
        <w:jc w:val="both"/>
      </w:pPr>
      <w:r>
        <w:t>DB-SRA includes a lag between birth and contribution to stock production, defined by the age at maturity in whole years. The L</w:t>
      </w:r>
      <w:r>
        <w:rPr>
          <w:vertAlign w:val="subscript"/>
        </w:rPr>
        <w:t>50</w:t>
      </w:r>
      <w:r>
        <w:t xml:space="preserve"> of Costa et al. (2020) for both sexes combined, weighted by sample size (284 females and 85 males), is 24.7 cm FL, which corresponds to 1.7 years (1.7 for females and 2.0 for males) with the growth curve of Vieira (2019) (L</w:t>
      </w:r>
      <w:r>
        <w:rPr>
          <w:vertAlign w:val="subscript"/>
        </w:rPr>
        <w:t>∞</w:t>
      </w:r>
      <w:r>
        <w:t xml:space="preserve"> = 40.6 cm FL; </w:t>
      </w:r>
      <w:r>
        <w:rPr>
          <w:i/>
          <w:iCs/>
        </w:rPr>
        <w:t>K</w:t>
      </w:r>
      <w:r>
        <w:t xml:space="preserve"> = 0.45 yr</w:t>
      </w:r>
      <w:r>
        <w:rPr>
          <w:vertAlign w:val="superscript"/>
        </w:rPr>
        <w:t>−1</w:t>
      </w:r>
      <w:r>
        <w:t>; t</w:t>
      </w:r>
      <w:r>
        <w:rPr>
          <w:vertAlign w:val="subscript"/>
        </w:rPr>
        <w:t>0</w:t>
      </w:r>
      <w:r>
        <w:t xml:space="preserve"> = −0.34 yr). Age at maturity was therefore set at 2 years. The curve of Vieira (2019) was preferred because it is the most recent complete set of growth parameters and is based on the largest sample (27,768 fish).</w:t>
      </w:r>
    </w:p>
    <w:p w14:paraId="3F59500A" w14:textId="77777777" w:rsidR="00A0482C" w:rsidRDefault="00000000">
      <w:pPr>
        <w:pStyle w:val="Ttulo3"/>
        <w:keepNext/>
        <w:spacing w:before="120" w:after="60"/>
      </w:pPr>
      <w:r>
        <w:t>2.4.4 DB-SRA</w:t>
      </w:r>
    </w:p>
    <w:p w14:paraId="6369BAE4" w14:textId="628CFE1E" w:rsidR="00A0482C" w:rsidRDefault="00000000">
      <w:pPr>
        <w:spacing w:after="80" w:line="252" w:lineRule="auto"/>
        <w:ind w:firstLine="340"/>
        <w:jc w:val="both"/>
      </w:pPr>
      <w:r>
        <w:t>DB-SRA (Dick and MacCall, 2011) combines stock reduction analysis (Walters et al., 2006) with the logic of depletion-corrected average catch (DCAC; MacCall, 2009). Instead of fitting an abundance index, it draws Monte Carlo combinations of biological and depletion parameters from their priors and, for each combination, searches for the carrying capacity (K) that makes the observed catches consistent with the assumed reduction in biomass between the first year and a reference year; the accepted combinations form the posterior distribution. Biomass follows a lagged surplus production model:</w:t>
      </w:r>
      <m:oMath>
        <m:sSub>
          <m:sSubPr>
            <m:ctrlPr>
              <w:rPr>
                <w:rFonts w:ascii="Cambria Math" w:hAnsi="Cambria Math"/>
              </w:rPr>
            </m:ctrlPr>
          </m:sSubPr>
          <m:e>
            <m:r>
              <w:rPr>
                <w:rFonts w:ascii="Cambria Math" w:hAnsi="Cambria Math"/>
                <w:lang w:val="pt-BR"/>
              </w:rPr>
              <m:t>B</m:t>
            </m:r>
          </m:e>
          <m:sub>
            <m:r>
              <w:rPr>
                <w:rFonts w:ascii="Cambria Math" w:hAnsi="Cambria Math"/>
                <w:lang w:val="pt-BR"/>
              </w:rPr>
              <m:t>t</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lang w:val="pt-BR"/>
              </w:rPr>
              <m:t>B</m:t>
            </m:r>
          </m:e>
          <m:sub>
            <m:r>
              <w:rPr>
                <w:rFonts w:ascii="Cambria Math" w:hAnsi="Cambria Math"/>
                <w:lang w:val="pt-BR"/>
              </w:rPr>
              <m:t>t</m:t>
            </m:r>
          </m:sub>
        </m:sSub>
        <m:r>
          <w:rPr>
            <w:rFonts w:ascii="Cambria Math" w:hAnsi="Cambria Math"/>
          </w:rPr>
          <m:t>+</m:t>
        </m:r>
        <m:r>
          <w:rPr>
            <w:rFonts w:ascii="Cambria Math" w:hAnsi="Cambria Math"/>
            <w:lang w:val="pt-BR"/>
          </w:rPr>
          <m:t>P</m:t>
        </m:r>
        <m:r>
          <w:rPr>
            <w:rFonts w:ascii="Cambria Math" w:hAnsi="Cambria Math"/>
          </w:rPr>
          <m:t>(</m:t>
        </m:r>
        <m:sSub>
          <m:sSubPr>
            <m:ctrlPr>
              <w:rPr>
                <w:rFonts w:ascii="Cambria Math" w:hAnsi="Cambria Math"/>
              </w:rPr>
            </m:ctrlPr>
          </m:sSubPr>
          <m:e>
            <m:r>
              <w:rPr>
                <w:rFonts w:ascii="Cambria Math" w:hAnsi="Cambria Math"/>
                <w:lang w:val="pt-BR"/>
              </w:rPr>
              <m:t>B</m:t>
            </m:r>
          </m:e>
          <m:sub>
            <m:r>
              <w:rPr>
                <w:rFonts w:ascii="Cambria Math" w:hAnsi="Cambria Math"/>
                <w:lang w:val="pt-BR"/>
              </w:rPr>
              <m:t>t</m:t>
            </m:r>
            <m:r>
              <w:rPr>
                <w:rFonts w:ascii="Cambria Math" w:hAnsi="Cambria Math"/>
              </w:rPr>
              <m:t>-</m:t>
            </m:r>
            <m:r>
              <w:rPr>
                <w:rFonts w:ascii="Cambria Math" w:hAnsi="Cambria Math"/>
                <w:lang w:val="pt-BR"/>
              </w:rPr>
              <m:t>a</m:t>
            </m:r>
          </m:sub>
        </m:sSub>
        <m:r>
          <w:rPr>
            <w:rFonts w:ascii="Cambria Math" w:hAnsi="Cambria Math"/>
          </w:rPr>
          <m:t>)-</m:t>
        </m:r>
        <m:sSub>
          <m:sSubPr>
            <m:ctrlPr>
              <w:rPr>
                <w:rFonts w:ascii="Cambria Math" w:hAnsi="Cambria Math"/>
              </w:rPr>
            </m:ctrlPr>
          </m:sSubPr>
          <m:e>
            <m:r>
              <w:rPr>
                <w:rFonts w:ascii="Cambria Math" w:hAnsi="Cambria Math"/>
                <w:lang w:val="pt-BR"/>
              </w:rPr>
              <m:t>C</m:t>
            </m:r>
          </m:e>
          <m:sub>
            <m:r>
              <w:rPr>
                <w:rFonts w:ascii="Cambria Math" w:hAnsi="Cambria Math"/>
                <w:lang w:val="pt-BR"/>
              </w:rPr>
              <m:t>t</m:t>
            </m:r>
          </m:sub>
        </m:sSub>
      </m:oMath>
      <w:r>
        <w:t>(1)</w:t>
      </w:r>
      <w:r w:rsidR="00621BD1">
        <w:t xml:space="preserve">, </w:t>
      </w:r>
      <w:r>
        <w:t xml:space="preserve">where </w:t>
      </w:r>
      <w:proofErr w:type="spellStart"/>
      <w:r>
        <w:t>B</w:t>
      </w:r>
      <w:r>
        <w:rPr>
          <w:vertAlign w:val="subscript"/>
        </w:rPr>
        <w:t>t</w:t>
      </w:r>
      <w:proofErr w:type="spellEnd"/>
      <w:r>
        <w:t xml:space="preserve"> is biomass at the start of year </w:t>
      </w:r>
      <w:r>
        <w:rPr>
          <w:i/>
          <w:iCs/>
        </w:rPr>
        <w:t>t</w:t>
      </w:r>
      <w:r>
        <w:t xml:space="preserve">, </w:t>
      </w:r>
      <w:proofErr w:type="gramStart"/>
      <w:r>
        <w:rPr>
          <w:i/>
          <w:iCs/>
        </w:rPr>
        <w:t>P</w:t>
      </w:r>
      <w:r>
        <w:t>(</w:t>
      </w:r>
      <w:proofErr w:type="gramEnd"/>
      <w:r>
        <w:t>·) is surplus production, C</w:t>
      </w:r>
      <w:r>
        <w:rPr>
          <w:vertAlign w:val="subscript"/>
        </w:rPr>
        <w:t>t</w:t>
      </w:r>
      <w:r>
        <w:t xml:space="preserve"> is the catch in year </w:t>
      </w:r>
      <w:r>
        <w:rPr>
          <w:i/>
          <w:iCs/>
        </w:rPr>
        <w:t>t</w:t>
      </w:r>
      <w:r>
        <w:t xml:space="preserve"> and </w:t>
      </w:r>
      <w:r>
        <w:rPr>
          <w:i/>
          <w:iCs/>
        </w:rPr>
        <w:t>a</w:t>
      </w:r>
      <w:r>
        <w:t xml:space="preserve"> is the age at maturity, so that production depends on the biomass </w:t>
      </w:r>
      <w:r>
        <w:rPr>
          <w:i/>
          <w:iCs/>
        </w:rPr>
        <w:t>a</w:t>
      </w:r>
      <w:r>
        <w:t xml:space="preserve"> years earlier (and is zero in the first </w:t>
      </w:r>
      <w:r>
        <w:rPr>
          <w:i/>
          <w:iCs/>
        </w:rPr>
        <w:t>a</w:t>
      </w:r>
      <w:r>
        <w:t xml:space="preserve"> </w:t>
      </w:r>
      <w:proofErr w:type="gramStart"/>
      <w:r>
        <w:t>years</w:t>
      </w:r>
      <w:proofErr w:type="gramEnd"/>
      <w:r>
        <w:t xml:space="preserve"> of the series). Production follows the Pella–Tomlinson function (Pella and Tomlinson, 1969) in the parametrization of Fletcher (1978):</w:t>
      </w:r>
      <w:r>
        <w:tab/>
      </w:r>
      <m:oMath>
        <m:r>
          <w:rPr>
            <w:rFonts w:ascii="Cambria Math" w:hAnsi="Cambria Math"/>
            <w:lang w:val="pt-BR"/>
          </w:rPr>
          <m:t>P</m:t>
        </m:r>
        <m:r>
          <w:rPr>
            <w:rFonts w:ascii="Cambria Math" w:hAnsi="Cambria Math"/>
          </w:rPr>
          <m:t>(</m:t>
        </m:r>
        <m:r>
          <w:rPr>
            <w:rFonts w:ascii="Cambria Math" w:hAnsi="Cambria Math"/>
            <w:lang w:val="pt-BR"/>
          </w:rPr>
          <m:t>B</m:t>
        </m:r>
        <m:r>
          <w:rPr>
            <w:rFonts w:ascii="Cambria Math" w:hAnsi="Cambria Math"/>
          </w:rPr>
          <m:t>)=</m:t>
        </m:r>
        <m:r>
          <w:rPr>
            <w:rFonts w:ascii="Cambria Math" w:hAnsi="Cambria Math"/>
            <w:lang w:val="pt-BR"/>
          </w:rPr>
          <m:t>g</m:t>
        </m:r>
        <m:r>
          <w:rPr>
            <w:rFonts w:ascii="Cambria Math" w:hAnsi="Cambria Math"/>
          </w:rPr>
          <m:t>·</m:t>
        </m:r>
        <m:r>
          <m:rPr>
            <m:sty m:val="p"/>
          </m:rPr>
          <w:rPr>
            <w:rFonts w:ascii="Cambria Math" w:hAnsi="Cambria Math"/>
          </w:rPr>
          <m:t>MSY</m:t>
        </m:r>
        <m:r>
          <w:rPr>
            <w:rFonts w:ascii="Cambria Math" w:hAnsi="Cambria Math"/>
          </w:rPr>
          <m:t>·[</m:t>
        </m:r>
        <m:f>
          <m:fPr>
            <m:ctrlPr>
              <w:rPr>
                <w:rFonts w:ascii="Cambria Math" w:hAnsi="Cambria Math"/>
              </w:rPr>
            </m:ctrlPr>
          </m:fPr>
          <m:num>
            <m:r>
              <w:rPr>
                <w:rFonts w:ascii="Cambria Math" w:hAnsi="Cambria Math"/>
                <w:lang w:val="pt-BR"/>
              </w:rPr>
              <m:t>B</m:t>
            </m:r>
          </m:num>
          <m:den>
            <m:r>
              <w:rPr>
                <w:rFonts w:ascii="Cambria Math" w:hAnsi="Cambria Math"/>
                <w:lang w:val="pt-BR"/>
              </w:rPr>
              <m:t>K</m:t>
            </m:r>
          </m:den>
        </m:f>
        <m:r>
          <w:rPr>
            <w:rFonts w:ascii="Cambria Math" w:hAnsi="Cambria Math"/>
          </w:rPr>
          <m:t>-(</m:t>
        </m:r>
        <m:f>
          <m:fPr>
            <m:ctrlPr>
              <w:rPr>
                <w:rFonts w:ascii="Cambria Math" w:hAnsi="Cambria Math"/>
              </w:rPr>
            </m:ctrlPr>
          </m:fPr>
          <m:num>
            <m:r>
              <w:rPr>
                <w:rFonts w:ascii="Cambria Math" w:hAnsi="Cambria Math"/>
                <w:lang w:val="pt-BR"/>
              </w:rPr>
              <m:t>B</m:t>
            </m:r>
          </m:num>
          <m:den>
            <m:r>
              <w:rPr>
                <w:rFonts w:ascii="Cambria Math" w:hAnsi="Cambria Math"/>
                <w:lang w:val="pt-BR"/>
              </w:rPr>
              <m:t>K</m:t>
            </m:r>
          </m:den>
        </m:f>
        <m:sSup>
          <m:sSupPr>
            <m:ctrlPr>
              <w:rPr>
                <w:rFonts w:ascii="Cambria Math" w:hAnsi="Cambria Math"/>
              </w:rPr>
            </m:ctrlPr>
          </m:sSupPr>
          <m:e>
            <m:r>
              <w:rPr>
                <w:rFonts w:ascii="Cambria Math" w:hAnsi="Cambria Math"/>
              </w:rPr>
              <m:t>)</m:t>
            </m:r>
          </m:e>
          <m:sup>
            <m:r>
              <w:rPr>
                <w:rFonts w:ascii="Cambria Math" w:hAnsi="Cambria Math"/>
                <w:lang w:val="pt-BR"/>
              </w:rPr>
              <m:t>n</m:t>
            </m:r>
          </m:sup>
        </m:sSup>
        <m:r>
          <w:rPr>
            <w:rFonts w:ascii="Cambria Math" w:hAnsi="Cambria Math"/>
          </w:rPr>
          <m:t>]</m:t>
        </m:r>
      </m:oMath>
      <w:r>
        <w:t>(2)</w:t>
      </w:r>
      <w:r w:rsidR="00621BD1">
        <w:t xml:space="preserve">, </w:t>
      </w:r>
      <w:r>
        <w:t xml:space="preserve">where MSY is the maximum sustainable yield, the exponent </w:t>
      </w:r>
      <w:r>
        <w:rPr>
          <w:i/>
          <w:iCs/>
        </w:rPr>
        <w:t>n</w:t>
      </w:r>
      <w:r>
        <w:t xml:space="preserve"> is set by B</w:t>
      </w:r>
      <w:r>
        <w:rPr>
          <w:vertAlign w:val="subscript"/>
        </w:rPr>
        <w:t>MSY</w:t>
      </w:r>
      <w:r>
        <w:t xml:space="preserve">/K and </w:t>
      </w:r>
      <m:oMath>
        <m:r>
          <w:rPr>
            <w:rFonts w:ascii="Cambria Math" w:hAnsi="Cambria Math"/>
            <w:lang w:val="pt-BR"/>
          </w:rPr>
          <m:t>g</m:t>
        </m:r>
        <m:r>
          <w:rPr>
            <w:rFonts w:ascii="Cambria Math" w:hAnsi="Cambria Math"/>
          </w:rPr>
          <m:t>=</m:t>
        </m:r>
        <m:sSup>
          <m:sSupPr>
            <m:ctrlPr>
              <w:rPr>
                <w:rFonts w:ascii="Cambria Math" w:hAnsi="Cambria Math"/>
              </w:rPr>
            </m:ctrlPr>
          </m:sSupPr>
          <m:e>
            <m:r>
              <w:rPr>
                <w:rFonts w:ascii="Cambria Math" w:hAnsi="Cambria Math"/>
                <w:lang w:val="pt-BR"/>
              </w:rPr>
              <m:t>n</m:t>
            </m:r>
          </m:e>
          <m:sup>
            <m:r>
              <w:rPr>
                <w:rFonts w:ascii="Cambria Math" w:hAnsi="Cambria Math"/>
                <w:lang w:val="pt-BR"/>
              </w:rPr>
              <m:t>n</m:t>
            </m:r>
            <m:r>
              <w:rPr>
                <w:rFonts w:ascii="Cambria Math" w:hAnsi="Cambria Math"/>
              </w:rPr>
              <m:t>/(</m:t>
            </m:r>
            <m:r>
              <w:rPr>
                <w:rFonts w:ascii="Cambria Math" w:hAnsi="Cambria Math"/>
                <w:lang w:val="pt-BR"/>
              </w:rPr>
              <m:t>n</m:t>
            </m:r>
            <m:r>
              <w:rPr>
                <w:rFonts w:ascii="Cambria Math" w:hAnsi="Cambria Math"/>
              </w:rPr>
              <m:t>-1)</m:t>
            </m:r>
          </m:sup>
        </m:sSup>
        <m:r>
          <w:rPr>
            <w:rFonts w:ascii="Cambria Math" w:hAnsi="Cambria Math"/>
          </w:rPr>
          <m:t>/(</m:t>
        </m:r>
        <m:r>
          <w:rPr>
            <w:rFonts w:ascii="Cambria Math" w:hAnsi="Cambria Math"/>
            <w:lang w:val="pt-BR"/>
          </w:rPr>
          <m:t>n</m:t>
        </m:r>
        <m:r>
          <w:rPr>
            <w:rFonts w:ascii="Cambria Math" w:hAnsi="Cambria Math"/>
          </w:rPr>
          <m:t>-1)</m:t>
        </m:r>
      </m:oMath>
      <w:r>
        <w:t xml:space="preserve"> scales maximum production to MSY. This form allows maximum production below K/2; when B</w:t>
      </w:r>
      <w:r>
        <w:rPr>
          <w:vertAlign w:val="subscript"/>
        </w:rPr>
        <w:t>MSY</w:t>
      </w:r>
      <w:r>
        <w:t>/K &lt; 0.5, the curve is replaced at very low biomass by a linear segment from the origin, avoiding unrealistic productivity near collapse (Dick and MacCall, 2011). MSY derives from K, B</w:t>
      </w:r>
      <w:r>
        <w:rPr>
          <w:vertAlign w:val="subscript"/>
        </w:rPr>
        <w:t>MSY</w:t>
      </w:r>
      <w:r>
        <w:t>/K and the exploitation rate at MSY (U</w:t>
      </w:r>
      <w:r>
        <w:rPr>
          <w:vertAlign w:val="subscript"/>
        </w:rPr>
        <w:t>MSY</w:t>
      </w:r>
      <w:r>
        <w:t>, the fraction of start-of-year biomass removed by fishing at B</w:t>
      </w:r>
      <w:r>
        <w:rPr>
          <w:vertAlign w:val="subscript"/>
        </w:rPr>
        <w:t>MSY</w:t>
      </w:r>
      <w:r>
        <w:t xml:space="preserve">), which follows from </w:t>
      </w:r>
      <m:oMath>
        <m:sSub>
          <m:sSubPr>
            <m:ctrlPr>
              <w:rPr>
                <w:rFonts w:ascii="Cambria Math" w:hAnsi="Cambria Math"/>
              </w:rPr>
            </m:ctrlPr>
          </m:sSubPr>
          <m:e>
            <m:r>
              <w:rPr>
                <w:rFonts w:ascii="Cambria Math" w:hAnsi="Cambria Math"/>
                <w:lang w:val="pt-BR"/>
              </w:rPr>
              <m:t>F</m:t>
            </m:r>
          </m:e>
          <m:sub>
            <m:r>
              <m:rPr>
                <m:sty m:val="p"/>
              </m:rPr>
              <w:rPr>
                <w:rFonts w:ascii="Cambria Math" w:hAnsi="Cambria Math"/>
              </w:rPr>
              <m:t>MSY</m:t>
            </m:r>
          </m:sub>
        </m:sSub>
        <m:r>
          <w:rPr>
            <w:rFonts w:ascii="Cambria Math" w:hAnsi="Cambria Math"/>
          </w:rPr>
          <m:t>=(</m:t>
        </m:r>
        <m:sSub>
          <m:sSubPr>
            <m:ctrlPr>
              <w:rPr>
                <w:rFonts w:ascii="Cambria Math" w:hAnsi="Cambria Math"/>
              </w:rPr>
            </m:ctrlPr>
          </m:sSubPr>
          <m:e>
            <m:r>
              <w:rPr>
                <w:rFonts w:ascii="Cambria Math" w:hAnsi="Cambria Math"/>
                <w:lang w:val="pt-BR"/>
              </w:rPr>
              <m:t>F</m:t>
            </m:r>
          </m:e>
          <m:sub>
            <m:r>
              <m:rPr>
                <m:sty m:val="p"/>
              </m:rPr>
              <w:rPr>
                <w:rFonts w:ascii="Cambria Math" w:hAnsi="Cambria Math"/>
              </w:rPr>
              <m:t>MSY</m:t>
            </m:r>
          </m:sub>
        </m:sSub>
        <m:r>
          <w:rPr>
            <w:rFonts w:ascii="Cambria Math" w:hAnsi="Cambria Math"/>
          </w:rPr>
          <m:t>/</m:t>
        </m:r>
        <m:r>
          <w:rPr>
            <w:rFonts w:ascii="Cambria Math" w:hAnsi="Cambria Math"/>
            <w:lang w:val="pt-BR"/>
          </w:rPr>
          <m:t>M</m:t>
        </m:r>
        <m:r>
          <w:rPr>
            <w:rFonts w:ascii="Cambria Math" w:hAnsi="Cambria Math"/>
          </w:rPr>
          <m:t>)·</m:t>
        </m:r>
        <m:r>
          <w:rPr>
            <w:rFonts w:ascii="Cambria Math" w:hAnsi="Cambria Math"/>
            <w:lang w:val="pt-BR"/>
          </w:rPr>
          <m:t>M</m:t>
        </m:r>
      </m:oMath>
      <w:r>
        <w:t xml:space="preserve"> and natural mortality through Baranov's catch equation:</w:t>
      </w:r>
      <w:r w:rsidR="00621BD1">
        <w:t xml:space="preserve"> </w:t>
      </w:r>
      <m:oMath>
        <m:r>
          <m:rPr>
            <m:sty m:val="p"/>
          </m:rPr>
          <w:rPr>
            <w:rFonts w:ascii="Cambria Math" w:hAnsi="Cambria Math"/>
          </w:rPr>
          <m:t>MSY</m:t>
        </m:r>
        <m:r>
          <w:rPr>
            <w:rFonts w:ascii="Cambria Math" w:hAnsi="Cambria Math"/>
          </w:rPr>
          <m:t>=</m:t>
        </m:r>
        <m:r>
          <w:rPr>
            <w:rFonts w:ascii="Cambria Math" w:hAnsi="Cambria Math"/>
            <w:lang w:val="pt-BR"/>
          </w:rPr>
          <m:t>K</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lang w:val="pt-BR"/>
                  </w:rPr>
                  <m:t>B</m:t>
                </m:r>
              </m:e>
              <m:sub>
                <m:r>
                  <m:rPr>
                    <m:sty m:val="p"/>
                  </m:rPr>
                  <w:rPr>
                    <w:rFonts w:ascii="Cambria Math" w:hAnsi="Cambria Math"/>
                  </w:rPr>
                  <m:t>MSY</m:t>
                </m:r>
              </m:sub>
            </m:sSub>
          </m:num>
          <m:den>
            <m:r>
              <w:rPr>
                <w:rFonts w:ascii="Cambria Math" w:hAnsi="Cambria Math"/>
                <w:lang w:val="pt-BR"/>
              </w:rPr>
              <m:t>K</m:t>
            </m:r>
          </m:den>
        </m:f>
        <m:r>
          <w:rPr>
            <w:rFonts w:ascii="Cambria Math" w:hAnsi="Cambria Math"/>
          </w:rPr>
          <m:t>·</m:t>
        </m:r>
        <m:sSub>
          <m:sSubPr>
            <m:ctrlPr>
              <w:rPr>
                <w:rFonts w:ascii="Cambria Math" w:hAnsi="Cambria Math"/>
              </w:rPr>
            </m:ctrlPr>
          </m:sSubPr>
          <m:e>
            <m:r>
              <w:rPr>
                <w:rFonts w:ascii="Cambria Math" w:hAnsi="Cambria Math"/>
                <w:lang w:val="pt-BR"/>
              </w:rPr>
              <m:t>U</m:t>
            </m:r>
          </m:e>
          <m:sub>
            <m:r>
              <m:rPr>
                <m:sty m:val="p"/>
              </m:rPr>
              <w:rPr>
                <w:rFonts w:ascii="Cambria Math" w:hAnsi="Cambria Math"/>
              </w:rPr>
              <m:t>MSY</m:t>
            </m:r>
          </m:sub>
        </m:sSub>
        <m:r>
          <w:rPr>
            <w:rFonts w:ascii="Cambria Math" w:hAnsi="Cambria Math"/>
          </w:rPr>
          <m:t xml:space="preserve">,   </m:t>
        </m:r>
        <m:sSub>
          <m:sSubPr>
            <m:ctrlPr>
              <w:rPr>
                <w:rFonts w:ascii="Cambria Math" w:hAnsi="Cambria Math"/>
              </w:rPr>
            </m:ctrlPr>
          </m:sSubPr>
          <m:e>
            <m:r>
              <w:rPr>
                <w:rFonts w:ascii="Cambria Math" w:hAnsi="Cambria Math"/>
                <w:lang w:val="pt-BR"/>
              </w:rPr>
              <m:t>U</m:t>
            </m:r>
          </m:e>
          <m:sub>
            <m:r>
              <m:rPr>
                <m:sty m:val="p"/>
              </m:rPr>
              <w:rPr>
                <w:rFonts w:ascii="Cambria Math" w:hAnsi="Cambria Math"/>
              </w:rPr>
              <m:t>MSY</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lang w:val="pt-BR"/>
                  </w:rPr>
                  <m:t>F</m:t>
                </m:r>
              </m:e>
              <m:sub>
                <m:r>
                  <m:rPr>
                    <m:sty m:val="p"/>
                  </m:rPr>
                  <w:rPr>
                    <w:rFonts w:ascii="Cambria Math" w:hAnsi="Cambria Math"/>
                  </w:rPr>
                  <m:t>MSY</m:t>
                </m:r>
              </m:sub>
            </m:sSub>
          </m:num>
          <m:den>
            <m:sSub>
              <m:sSubPr>
                <m:ctrlPr>
                  <w:rPr>
                    <w:rFonts w:ascii="Cambria Math" w:hAnsi="Cambria Math"/>
                  </w:rPr>
                </m:ctrlPr>
              </m:sSubPr>
              <m:e>
                <m:r>
                  <w:rPr>
                    <w:rFonts w:ascii="Cambria Math" w:hAnsi="Cambria Math"/>
                    <w:lang w:val="pt-BR"/>
                  </w:rPr>
                  <m:t>F</m:t>
                </m:r>
              </m:e>
              <m:sub>
                <m:r>
                  <m:rPr>
                    <m:sty m:val="p"/>
                  </m:rPr>
                  <w:rPr>
                    <w:rFonts w:ascii="Cambria Math" w:hAnsi="Cambria Math"/>
                  </w:rPr>
                  <m:t>MSY</m:t>
                </m:r>
              </m:sub>
            </m:sSub>
            <m:r>
              <w:rPr>
                <w:rFonts w:ascii="Cambria Math" w:hAnsi="Cambria Math"/>
              </w:rPr>
              <m:t>+</m:t>
            </m:r>
            <m:r>
              <w:rPr>
                <w:rFonts w:ascii="Cambria Math" w:hAnsi="Cambria Math"/>
                <w:lang w:val="pt-BR"/>
              </w:rPr>
              <m:t>M</m:t>
            </m:r>
          </m:den>
        </m:f>
        <m:r>
          <w:rPr>
            <w:rFonts w:ascii="Cambria Math" w:hAnsi="Cambria Math"/>
          </w:rPr>
          <m:t>·(1-</m:t>
        </m:r>
        <m:sSup>
          <m:sSupPr>
            <m:ctrlPr>
              <w:rPr>
                <w:rFonts w:ascii="Cambria Math" w:hAnsi="Cambria Math"/>
              </w:rPr>
            </m:ctrlPr>
          </m:sSupPr>
          <m:e>
            <m:r>
              <w:rPr>
                <w:rFonts w:ascii="Cambria Math" w:hAnsi="Cambria Math"/>
                <w:lang w:val="pt-BR"/>
              </w:rPr>
              <m:t>e</m:t>
            </m:r>
          </m:e>
          <m:sup>
            <m:r>
              <w:rPr>
                <w:rFonts w:ascii="Cambria Math" w:hAnsi="Cambria Math"/>
              </w:rPr>
              <m:t>-(</m:t>
            </m:r>
            <m:sSub>
              <m:sSubPr>
                <m:ctrlPr>
                  <w:rPr>
                    <w:rFonts w:ascii="Cambria Math" w:hAnsi="Cambria Math"/>
                  </w:rPr>
                </m:ctrlPr>
              </m:sSubPr>
              <m:e>
                <m:r>
                  <w:rPr>
                    <w:rFonts w:ascii="Cambria Math" w:hAnsi="Cambria Math"/>
                    <w:lang w:val="pt-BR"/>
                  </w:rPr>
                  <m:t>F</m:t>
                </m:r>
              </m:e>
              <m:sub>
                <m:r>
                  <m:rPr>
                    <m:sty m:val="p"/>
                  </m:rPr>
                  <w:rPr>
                    <w:rFonts w:ascii="Cambria Math" w:hAnsi="Cambria Math"/>
                  </w:rPr>
                  <m:t>MSY</m:t>
                </m:r>
              </m:sub>
            </m:sSub>
            <m:r>
              <w:rPr>
                <w:rFonts w:ascii="Cambria Math" w:hAnsi="Cambria Math"/>
              </w:rPr>
              <m:t>+</m:t>
            </m:r>
            <m:r>
              <w:rPr>
                <w:rFonts w:ascii="Cambria Math" w:hAnsi="Cambria Math"/>
                <w:lang w:val="pt-BR"/>
              </w:rPr>
              <m:t>M</m:t>
            </m:r>
            <m:r>
              <w:rPr>
                <w:rFonts w:ascii="Cambria Math" w:hAnsi="Cambria Math"/>
              </w:rPr>
              <m:t>)</m:t>
            </m:r>
          </m:sup>
        </m:sSup>
        <m:r>
          <w:rPr>
            <w:rFonts w:ascii="Cambria Math" w:hAnsi="Cambria Math"/>
          </w:rPr>
          <m:t>)</m:t>
        </m:r>
      </m:oMath>
      <w:r>
        <w:t>(3)</w:t>
      </w:r>
      <w:r w:rsidR="00621BD1">
        <w:t xml:space="preserve">. </w:t>
      </w:r>
      <w:r>
        <w:t xml:space="preserve">A simulation is accepted when a value of K within the search interval takes biomass from the sampled initial depletion to the sampled depletion in the reference year without biomass becoming zero or exceeding K in any year. The acceptance rate thus </w:t>
      </w:r>
      <w:r>
        <w:lastRenderedPageBreak/>
        <w:t>measures how compatible each set of assumptions is with the catch series. Because depletion in the reference year is imposed by the prior, DB-SRA status estimates depend directly on this assumption (Wetzel and Punt, 2015).</w:t>
      </w:r>
    </w:p>
    <w:p w14:paraId="6A33971D" w14:textId="0536A69D" w:rsidR="00A0482C" w:rsidRDefault="00000000">
      <w:pPr>
        <w:spacing w:after="80" w:line="252" w:lineRule="auto"/>
        <w:ind w:firstLine="340"/>
        <w:jc w:val="both"/>
      </w:pPr>
      <w:r>
        <w:t xml:space="preserve">DB-SRA was run with the </w:t>
      </w:r>
      <w:proofErr w:type="spellStart"/>
      <w:r>
        <w:rPr>
          <w:i/>
          <w:iCs/>
        </w:rPr>
        <w:t>dbsra</w:t>
      </w:r>
      <w:proofErr w:type="spellEnd"/>
      <w:r>
        <w:t xml:space="preserve"> function of the </w:t>
      </w:r>
      <w:proofErr w:type="spellStart"/>
      <w:r>
        <w:t>fishmethods</w:t>
      </w:r>
      <w:proofErr w:type="spellEnd"/>
      <w:r>
        <w:t xml:space="preserve"> package (Nelson, 2023) in 12 scenarios (four depletion hypotheses × three values of </w:t>
      </w:r>
      <w:r>
        <w:rPr>
          <w:i/>
          <w:iCs/>
        </w:rPr>
        <w:t>M</w:t>
      </w:r>
      <w:r>
        <w:t>), each with 10,000 simulations (Table 4). Accepted simulations provide K, MSY, B</w:t>
      </w:r>
      <w:r>
        <w:rPr>
          <w:vertAlign w:val="subscript"/>
        </w:rPr>
        <w:t>MSY</w:t>
      </w:r>
      <w:r>
        <w:t>, F</w:t>
      </w:r>
      <w:r>
        <w:rPr>
          <w:vertAlign w:val="subscript"/>
        </w:rPr>
        <w:t>MSY</w:t>
      </w:r>
      <w:r>
        <w:t>, U</w:t>
      </w:r>
      <w:r>
        <w:rPr>
          <w:vertAlign w:val="subscript"/>
        </w:rPr>
        <w:t>MSY</w:t>
      </w:r>
      <w:r>
        <w:t xml:space="preserve"> and the overfishing limit (OFL, the catch obtained by applying U</w:t>
      </w:r>
      <w:r>
        <w:rPr>
          <w:vertAlign w:val="subscript"/>
        </w:rPr>
        <w:t>MSY</w:t>
      </w:r>
      <w:r>
        <w:t xml:space="preserve"> to the biomass of the year after the series). They provide B/K, B/B</w:t>
      </w:r>
      <w:r>
        <w:rPr>
          <w:vertAlign w:val="subscript"/>
        </w:rPr>
        <w:t>MSY</w:t>
      </w:r>
      <w:r>
        <w:t xml:space="preserve"> and a proxy of relative fishing mortality, </w:t>
      </w:r>
      <m:oMath>
        <m:r>
          <w:rPr>
            <w:rFonts w:ascii="Cambria Math" w:hAnsi="Cambria Math"/>
            <w:lang w:val="pt-BR"/>
          </w:rPr>
          <m:t>F</m:t>
        </m:r>
        <m:r>
          <w:rPr>
            <w:rFonts w:ascii="Cambria Math" w:hAnsi="Cambria Math"/>
          </w:rPr>
          <m:t>/</m:t>
        </m:r>
        <m:sSub>
          <m:sSubPr>
            <m:ctrlPr>
              <w:rPr>
                <w:rFonts w:ascii="Cambria Math" w:hAnsi="Cambria Math"/>
              </w:rPr>
            </m:ctrlPr>
          </m:sSubPr>
          <m:e>
            <m:r>
              <w:rPr>
                <w:rFonts w:ascii="Cambria Math" w:hAnsi="Cambria Math"/>
                <w:lang w:val="pt-BR"/>
              </w:rPr>
              <m:t>F</m:t>
            </m:r>
          </m:e>
          <m:sub>
            <m:r>
              <m:rPr>
                <m:sty m:val="p"/>
              </m:rPr>
              <w:rPr>
                <w:rFonts w:ascii="Cambria Math" w:hAnsi="Cambria Math"/>
              </w:rPr>
              <m:t>MSY</m:t>
            </m:r>
          </m:sub>
        </m:sSub>
        <m:r>
          <w:rPr>
            <w:rFonts w:ascii="Cambria Math" w:hAnsi="Cambria Math"/>
          </w:rPr>
          <m:t>≈(</m:t>
        </m:r>
        <m:sSub>
          <m:sSubPr>
            <m:ctrlPr>
              <w:rPr>
                <w:rFonts w:ascii="Cambria Math" w:hAnsi="Cambria Math"/>
              </w:rPr>
            </m:ctrlPr>
          </m:sSubPr>
          <m:e>
            <m:r>
              <w:rPr>
                <w:rFonts w:ascii="Cambria Math" w:hAnsi="Cambria Math"/>
                <w:lang w:val="pt-BR"/>
              </w:rPr>
              <m:t>C</m:t>
            </m:r>
          </m:e>
          <m:sub>
            <m:r>
              <w:rPr>
                <w:rFonts w:ascii="Cambria Math" w:hAnsi="Cambria Math"/>
                <w:lang w:val="pt-BR"/>
              </w:rPr>
              <m:t>t</m:t>
            </m:r>
          </m:sub>
        </m:sSub>
        <m:r>
          <w:rPr>
            <w:rFonts w:ascii="Cambria Math" w:hAnsi="Cambria Math"/>
          </w:rPr>
          <m:t>/</m:t>
        </m:r>
        <m:sSub>
          <m:sSubPr>
            <m:ctrlPr>
              <w:rPr>
                <w:rFonts w:ascii="Cambria Math" w:hAnsi="Cambria Math"/>
              </w:rPr>
            </m:ctrlPr>
          </m:sSubPr>
          <m:e>
            <m:r>
              <w:rPr>
                <w:rFonts w:ascii="Cambria Math" w:hAnsi="Cambria Math"/>
                <w:lang w:val="pt-BR"/>
              </w:rPr>
              <m:t>B</m:t>
            </m:r>
          </m:e>
          <m:sub>
            <m:r>
              <w:rPr>
                <w:rFonts w:ascii="Cambria Math" w:hAnsi="Cambria Math"/>
                <w:lang w:val="pt-BR"/>
              </w:rPr>
              <m:t>t</m:t>
            </m:r>
          </m:sub>
        </m:sSub>
        <m:r>
          <w:rPr>
            <w:rFonts w:ascii="Cambria Math" w:hAnsi="Cambria Math"/>
          </w:rPr>
          <m:t>)/</m:t>
        </m:r>
        <m:sSub>
          <m:sSubPr>
            <m:ctrlPr>
              <w:rPr>
                <w:rFonts w:ascii="Cambria Math" w:hAnsi="Cambria Math"/>
              </w:rPr>
            </m:ctrlPr>
          </m:sSubPr>
          <m:e>
            <m:r>
              <w:rPr>
                <w:rFonts w:ascii="Cambria Math" w:hAnsi="Cambria Math"/>
                <w:lang w:val="pt-BR"/>
              </w:rPr>
              <m:t>U</m:t>
            </m:r>
          </m:e>
          <m:sub>
            <m:r>
              <m:rPr>
                <m:sty m:val="p"/>
              </m:rPr>
              <w:rPr>
                <w:rFonts w:ascii="Cambria Math" w:hAnsi="Cambria Math"/>
              </w:rPr>
              <m:t>MSY</m:t>
            </m:r>
          </m:sub>
        </m:sSub>
      </m:oMath>
      <w:r>
        <w:t xml:space="preserve">. Accepted simulations of all scenarios were pooled into joint distributions, and the sensitivity of MSY was measured relative to the target-switch scenario with </w:t>
      </w:r>
      <w:r>
        <w:rPr>
          <w:i/>
          <w:iCs/>
        </w:rPr>
        <w:t>M</w:t>
      </w:r>
      <w:r>
        <w:t xml:space="preserve"> from Jardim (1999).</w:t>
      </w:r>
    </w:p>
    <w:p w14:paraId="58392F04" w14:textId="77777777" w:rsidR="00A0482C" w:rsidRDefault="00000000">
      <w:pPr>
        <w:keepNext/>
        <w:spacing w:before="120" w:after="60"/>
        <w:jc w:val="both"/>
      </w:pPr>
      <w:r>
        <w:rPr>
          <w:b/>
          <w:bCs/>
          <w:sz w:val="19"/>
          <w:szCs w:val="19"/>
        </w:rPr>
        <w:t xml:space="preserve">Table 4. </w:t>
      </w:r>
      <w:r>
        <w:rPr>
          <w:sz w:val="19"/>
          <w:szCs w:val="19"/>
        </w:rPr>
        <w:t>Specification of DB-SRA for mackerel scad.</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3"/>
        <w:gridCol w:w="1735"/>
        <w:gridCol w:w="3266"/>
        <w:gridCol w:w="3572"/>
      </w:tblGrid>
      <w:tr w:rsidR="00A0482C" w14:paraId="629E0FD1" w14:textId="77777777">
        <w:tblPrEx>
          <w:tblCellMar>
            <w:top w:w="0" w:type="dxa"/>
            <w:bottom w:w="0" w:type="dxa"/>
          </w:tblCellMar>
        </w:tblPrEx>
        <w:trPr>
          <w:tblHeader/>
        </w:trPr>
        <w:tc>
          <w:tcPr>
            <w:tcW w:w="1633"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14:paraId="24CD937B" w14:textId="77777777" w:rsidR="00A0482C" w:rsidRDefault="00000000">
            <w:pPr>
              <w:spacing w:line="228" w:lineRule="auto"/>
            </w:pPr>
            <w:r>
              <w:rPr>
                <w:b/>
                <w:bCs/>
                <w:sz w:val="18"/>
                <w:szCs w:val="18"/>
              </w:rPr>
              <w:t>Component</w:t>
            </w:r>
          </w:p>
        </w:tc>
        <w:tc>
          <w:tcPr>
            <w:tcW w:w="1735"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14:paraId="7D9FA627" w14:textId="77777777" w:rsidR="00A0482C" w:rsidRDefault="00000000">
            <w:pPr>
              <w:spacing w:line="228" w:lineRule="auto"/>
            </w:pPr>
            <w:r>
              <w:rPr>
                <w:b/>
                <w:bCs/>
                <w:sz w:val="18"/>
                <w:szCs w:val="18"/>
              </w:rPr>
              <w:t>Distribution</w:t>
            </w:r>
          </w:p>
        </w:tc>
        <w:tc>
          <w:tcPr>
            <w:tcW w:w="3266"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14:paraId="70B62984" w14:textId="77777777" w:rsidR="00A0482C" w:rsidRDefault="00000000">
            <w:pPr>
              <w:spacing w:line="228" w:lineRule="auto"/>
            </w:pPr>
            <w:r>
              <w:rPr>
                <w:b/>
                <w:bCs/>
                <w:sz w:val="18"/>
                <w:szCs w:val="18"/>
              </w:rPr>
              <w:t>Values</w:t>
            </w:r>
          </w:p>
        </w:tc>
        <w:tc>
          <w:tcPr>
            <w:tcW w:w="3572"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14:paraId="176396D4" w14:textId="77777777" w:rsidR="00A0482C" w:rsidRDefault="00000000">
            <w:pPr>
              <w:spacing w:line="228" w:lineRule="auto"/>
            </w:pPr>
            <w:r>
              <w:rPr>
                <w:b/>
                <w:bCs/>
                <w:sz w:val="18"/>
                <w:szCs w:val="18"/>
              </w:rPr>
              <w:t>Source and rationale</w:t>
            </w:r>
          </w:p>
        </w:tc>
      </w:tr>
      <w:tr w:rsidR="00A0482C" w14:paraId="49460608" w14:textId="77777777">
        <w:tblPrEx>
          <w:tblCellMar>
            <w:top w:w="0" w:type="dxa"/>
            <w:bottom w:w="0" w:type="dxa"/>
          </w:tblCellMar>
        </w:tblPrEx>
        <w:trPr>
          <w:cantSplit/>
        </w:trPr>
        <w:tc>
          <w:tcPr>
            <w:tcW w:w="16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4D1A5BB" w14:textId="77777777" w:rsidR="00A0482C" w:rsidRDefault="00000000">
            <w:pPr>
              <w:spacing w:line="228" w:lineRule="auto"/>
            </w:pPr>
            <w:r>
              <w:rPr>
                <w:sz w:val="18"/>
                <w:szCs w:val="18"/>
              </w:rPr>
              <w:t>Catches</w:t>
            </w:r>
          </w:p>
        </w:tc>
        <w:tc>
          <w:tcPr>
            <w:tcW w:w="173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9CFEAD9" w14:textId="77777777" w:rsidR="00A0482C" w:rsidRDefault="00000000">
            <w:pPr>
              <w:spacing w:line="228" w:lineRule="auto"/>
            </w:pPr>
            <w:r>
              <w:rPr>
                <w:sz w:val="18"/>
                <w:szCs w:val="18"/>
              </w:rPr>
              <w:t>Fixed</w:t>
            </w:r>
          </w:p>
        </w:tc>
        <w:tc>
          <w:tcPr>
            <w:tcW w:w="326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8716099" w14:textId="77777777" w:rsidR="00A0482C" w:rsidRDefault="00000000">
            <w:pPr>
              <w:spacing w:line="228" w:lineRule="auto"/>
            </w:pPr>
            <w:r>
              <w:rPr>
                <w:sz w:val="18"/>
                <w:szCs w:val="18"/>
              </w:rPr>
              <w:t xml:space="preserve">Total landings 1989–2023 (2014 interpolated; 2018 mean of </w:t>
            </w:r>
            <w:proofErr w:type="spellStart"/>
            <w:r>
              <w:rPr>
                <w:sz w:val="18"/>
                <w:szCs w:val="18"/>
              </w:rPr>
              <w:t>neighbouring</w:t>
            </w:r>
            <w:proofErr w:type="spellEnd"/>
            <w:r>
              <w:rPr>
                <w:sz w:val="18"/>
                <w:szCs w:val="18"/>
              </w:rPr>
              <w:t xml:space="preserve"> years)</w:t>
            </w:r>
          </w:p>
        </w:tc>
        <w:tc>
          <w:tcPr>
            <w:tcW w:w="357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0939849" w14:textId="77777777" w:rsidR="00A0482C" w:rsidRDefault="00000000">
            <w:pPr>
              <w:spacing w:line="228" w:lineRule="auto"/>
            </w:pPr>
            <w:r>
              <w:rPr>
                <w:sz w:val="18"/>
                <w:szCs w:val="18"/>
              </w:rPr>
              <w:t>Common series (Section 2.3.1)</w:t>
            </w:r>
          </w:p>
        </w:tc>
      </w:tr>
      <w:tr w:rsidR="00A0482C" w14:paraId="6F028297" w14:textId="77777777">
        <w:tblPrEx>
          <w:tblCellMar>
            <w:top w:w="0" w:type="dxa"/>
            <w:bottom w:w="0" w:type="dxa"/>
          </w:tblCellMar>
        </w:tblPrEx>
        <w:trPr>
          <w:cantSplit/>
        </w:trPr>
        <w:tc>
          <w:tcPr>
            <w:tcW w:w="16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E622EC2" w14:textId="77777777" w:rsidR="00A0482C" w:rsidRDefault="00000000">
            <w:pPr>
              <w:spacing w:line="228" w:lineRule="auto"/>
            </w:pPr>
            <w:r>
              <w:rPr>
                <w:sz w:val="18"/>
                <w:szCs w:val="18"/>
              </w:rPr>
              <w:t>Age at maturity (</w:t>
            </w:r>
            <w:r>
              <w:rPr>
                <w:i/>
                <w:iCs/>
                <w:sz w:val="18"/>
                <w:szCs w:val="18"/>
              </w:rPr>
              <w:t>a</w:t>
            </w:r>
            <w:r>
              <w:rPr>
                <w:sz w:val="18"/>
                <w:szCs w:val="18"/>
              </w:rPr>
              <w:t>)</w:t>
            </w:r>
          </w:p>
        </w:tc>
        <w:tc>
          <w:tcPr>
            <w:tcW w:w="173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7A897C0" w14:textId="77777777" w:rsidR="00A0482C" w:rsidRDefault="00000000">
            <w:pPr>
              <w:spacing w:line="228" w:lineRule="auto"/>
            </w:pPr>
            <w:r>
              <w:rPr>
                <w:sz w:val="18"/>
                <w:szCs w:val="18"/>
              </w:rPr>
              <w:t>Fixed</w:t>
            </w:r>
          </w:p>
        </w:tc>
        <w:tc>
          <w:tcPr>
            <w:tcW w:w="326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9D28155" w14:textId="77777777" w:rsidR="00A0482C" w:rsidRDefault="00000000">
            <w:pPr>
              <w:spacing w:line="228" w:lineRule="auto"/>
            </w:pPr>
            <w:r>
              <w:rPr>
                <w:sz w:val="18"/>
                <w:szCs w:val="18"/>
              </w:rPr>
              <w:t>2 years</w:t>
            </w:r>
          </w:p>
        </w:tc>
        <w:tc>
          <w:tcPr>
            <w:tcW w:w="357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BB878E2" w14:textId="77777777" w:rsidR="00A0482C" w:rsidRDefault="00000000">
            <w:pPr>
              <w:spacing w:line="228" w:lineRule="auto"/>
            </w:pPr>
            <w:r>
              <w:rPr>
                <w:sz w:val="18"/>
                <w:szCs w:val="18"/>
              </w:rPr>
              <w:t>L</w:t>
            </w:r>
            <w:r>
              <w:rPr>
                <w:sz w:val="18"/>
                <w:szCs w:val="18"/>
                <w:vertAlign w:val="subscript"/>
              </w:rPr>
              <w:t>50</w:t>
            </w:r>
            <w:r>
              <w:rPr>
                <w:sz w:val="18"/>
                <w:szCs w:val="18"/>
              </w:rPr>
              <w:t xml:space="preserve"> of 24.7 cm FL converted to age (Section 2.4.3)</w:t>
            </w:r>
          </w:p>
        </w:tc>
      </w:tr>
      <w:tr w:rsidR="00A0482C" w14:paraId="13F8C772" w14:textId="77777777">
        <w:tblPrEx>
          <w:tblCellMar>
            <w:top w:w="0" w:type="dxa"/>
            <w:bottom w:w="0" w:type="dxa"/>
          </w:tblCellMar>
        </w:tblPrEx>
        <w:trPr>
          <w:cantSplit/>
        </w:trPr>
        <w:tc>
          <w:tcPr>
            <w:tcW w:w="16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E58CADF" w14:textId="77777777" w:rsidR="00A0482C" w:rsidRDefault="00000000">
            <w:pPr>
              <w:spacing w:line="228" w:lineRule="auto"/>
            </w:pPr>
            <w:r>
              <w:rPr>
                <w:sz w:val="18"/>
                <w:szCs w:val="18"/>
              </w:rPr>
              <w:t>K (t)</w:t>
            </w:r>
          </w:p>
        </w:tc>
        <w:tc>
          <w:tcPr>
            <w:tcW w:w="173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F6BBC21" w14:textId="77777777" w:rsidR="00A0482C" w:rsidRDefault="00000000">
            <w:pPr>
              <w:spacing w:line="228" w:lineRule="auto"/>
            </w:pPr>
            <w:r>
              <w:rPr>
                <w:sz w:val="18"/>
                <w:szCs w:val="18"/>
              </w:rPr>
              <w:t>Optimized</w:t>
            </w:r>
          </w:p>
        </w:tc>
        <w:tc>
          <w:tcPr>
            <w:tcW w:w="326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31D2624" w14:textId="77777777" w:rsidR="00A0482C" w:rsidRDefault="00000000">
            <w:pPr>
              <w:spacing w:line="228" w:lineRule="auto"/>
            </w:pPr>
            <w:r>
              <w:rPr>
                <w:sz w:val="18"/>
                <w:szCs w:val="18"/>
              </w:rPr>
              <w:t>3,000–60,000; tolerance of 0.01 in B/K in the reference year</w:t>
            </w:r>
          </w:p>
        </w:tc>
        <w:tc>
          <w:tcPr>
            <w:tcW w:w="357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04CF8FD" w14:textId="77777777" w:rsidR="00A0482C" w:rsidRDefault="00000000">
            <w:pPr>
              <w:spacing w:line="228" w:lineRule="auto"/>
            </w:pPr>
            <w:r>
              <w:rPr>
                <w:sz w:val="18"/>
                <w:szCs w:val="18"/>
              </w:rPr>
              <w:t>Lower bound near the largest catch (3,015 t, 1998); upper bound about 37 times the mean catch</w:t>
            </w:r>
          </w:p>
        </w:tc>
      </w:tr>
      <w:tr w:rsidR="00A0482C" w14:paraId="145F921D" w14:textId="77777777">
        <w:tblPrEx>
          <w:tblCellMar>
            <w:top w:w="0" w:type="dxa"/>
            <w:bottom w:w="0" w:type="dxa"/>
          </w:tblCellMar>
        </w:tblPrEx>
        <w:trPr>
          <w:cantSplit/>
        </w:trPr>
        <w:tc>
          <w:tcPr>
            <w:tcW w:w="16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A082978" w14:textId="77777777" w:rsidR="00A0482C" w:rsidRDefault="00000000">
            <w:pPr>
              <w:spacing w:line="228" w:lineRule="auto"/>
            </w:pPr>
            <w:r>
              <w:rPr>
                <w:sz w:val="18"/>
                <w:szCs w:val="18"/>
              </w:rPr>
              <w:t>B</w:t>
            </w:r>
            <w:r>
              <w:rPr>
                <w:sz w:val="18"/>
                <w:szCs w:val="18"/>
                <w:vertAlign w:val="subscript"/>
              </w:rPr>
              <w:t>1989</w:t>
            </w:r>
            <w:r>
              <w:rPr>
                <w:sz w:val="18"/>
                <w:szCs w:val="18"/>
              </w:rPr>
              <w:t>/K</w:t>
            </w:r>
          </w:p>
        </w:tc>
        <w:tc>
          <w:tcPr>
            <w:tcW w:w="173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62BBE41" w14:textId="77777777" w:rsidR="00A0482C" w:rsidRDefault="00000000">
            <w:pPr>
              <w:spacing w:line="228" w:lineRule="auto"/>
            </w:pPr>
            <w:r>
              <w:rPr>
                <w:sz w:val="18"/>
                <w:szCs w:val="18"/>
              </w:rPr>
              <w:t>Uniform</w:t>
            </w:r>
          </w:p>
        </w:tc>
        <w:tc>
          <w:tcPr>
            <w:tcW w:w="326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72E9F66" w14:textId="77777777" w:rsidR="00A0482C" w:rsidRDefault="00000000">
            <w:pPr>
              <w:spacing w:line="228" w:lineRule="auto"/>
            </w:pPr>
            <w:r>
              <w:rPr>
                <w:sz w:val="18"/>
                <w:szCs w:val="18"/>
              </w:rPr>
              <w:t>0.50–0.80</w:t>
            </w:r>
          </w:p>
        </w:tc>
        <w:tc>
          <w:tcPr>
            <w:tcW w:w="357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2A5F973" w14:textId="77777777" w:rsidR="00A0482C" w:rsidRDefault="00000000">
            <w:pPr>
              <w:spacing w:line="228" w:lineRule="auto"/>
            </w:pPr>
            <w:r>
              <w:rPr>
                <w:sz w:val="18"/>
                <w:szCs w:val="18"/>
              </w:rPr>
              <w:t>Established fishery in 1989 (Section 2.4.1)</w:t>
            </w:r>
          </w:p>
        </w:tc>
      </w:tr>
      <w:tr w:rsidR="00A0482C" w14:paraId="00F173ED" w14:textId="77777777">
        <w:tblPrEx>
          <w:tblCellMar>
            <w:top w:w="0" w:type="dxa"/>
            <w:bottom w:w="0" w:type="dxa"/>
          </w:tblCellMar>
        </w:tblPrEx>
        <w:trPr>
          <w:cantSplit/>
        </w:trPr>
        <w:tc>
          <w:tcPr>
            <w:tcW w:w="16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1751424" w14:textId="77777777" w:rsidR="00A0482C" w:rsidRDefault="00000000">
            <w:pPr>
              <w:spacing w:line="228" w:lineRule="auto"/>
            </w:pPr>
            <w:r>
              <w:rPr>
                <w:sz w:val="18"/>
                <w:szCs w:val="18"/>
              </w:rPr>
              <w:t>B</w:t>
            </w:r>
            <w:r>
              <w:rPr>
                <w:sz w:val="18"/>
                <w:szCs w:val="18"/>
                <w:vertAlign w:val="subscript"/>
              </w:rPr>
              <w:t>2023</w:t>
            </w:r>
            <w:r>
              <w:rPr>
                <w:sz w:val="18"/>
                <w:szCs w:val="18"/>
              </w:rPr>
              <w:t>/K</w:t>
            </w:r>
          </w:p>
        </w:tc>
        <w:tc>
          <w:tcPr>
            <w:tcW w:w="173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39265FE" w14:textId="77777777" w:rsidR="00A0482C" w:rsidRDefault="00000000">
            <w:pPr>
              <w:spacing w:line="228" w:lineRule="auto"/>
            </w:pPr>
            <w:r>
              <w:rPr>
                <w:sz w:val="18"/>
                <w:szCs w:val="18"/>
              </w:rPr>
              <w:t>Uniform</w:t>
            </w:r>
          </w:p>
        </w:tc>
        <w:tc>
          <w:tcPr>
            <w:tcW w:w="326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25FB4F6" w14:textId="77777777" w:rsidR="00A0482C" w:rsidRDefault="00000000">
            <w:pPr>
              <w:spacing w:line="228" w:lineRule="auto"/>
            </w:pPr>
            <w:r>
              <w:rPr>
                <w:sz w:val="18"/>
                <w:szCs w:val="18"/>
              </w:rPr>
              <w:t>Bounds of each hypothesis (Table 2)</w:t>
            </w:r>
          </w:p>
        </w:tc>
        <w:tc>
          <w:tcPr>
            <w:tcW w:w="357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CAE2C97" w14:textId="77777777" w:rsidR="00A0482C" w:rsidRDefault="00000000">
            <w:pPr>
              <w:spacing w:line="228" w:lineRule="auto"/>
            </w:pPr>
            <w:r>
              <w:rPr>
                <w:sz w:val="18"/>
                <w:szCs w:val="18"/>
              </w:rPr>
              <w:t>Four final-depletion hypotheses (Section 2.4.1)</w:t>
            </w:r>
          </w:p>
        </w:tc>
      </w:tr>
      <w:tr w:rsidR="00A0482C" w14:paraId="605B2D86" w14:textId="77777777">
        <w:tblPrEx>
          <w:tblCellMar>
            <w:top w:w="0" w:type="dxa"/>
            <w:bottom w:w="0" w:type="dxa"/>
          </w:tblCellMar>
        </w:tblPrEx>
        <w:trPr>
          <w:cantSplit/>
        </w:trPr>
        <w:tc>
          <w:tcPr>
            <w:tcW w:w="16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9F9011F" w14:textId="77777777" w:rsidR="00A0482C" w:rsidRDefault="00000000">
            <w:pPr>
              <w:spacing w:line="228" w:lineRule="auto"/>
            </w:pPr>
            <w:r>
              <w:rPr>
                <w:sz w:val="18"/>
                <w:szCs w:val="18"/>
              </w:rPr>
              <w:t>F</w:t>
            </w:r>
            <w:r>
              <w:rPr>
                <w:sz w:val="18"/>
                <w:szCs w:val="18"/>
                <w:vertAlign w:val="subscript"/>
              </w:rPr>
              <w:t>MSY</w:t>
            </w:r>
            <w:r>
              <w:rPr>
                <w:sz w:val="18"/>
                <w:szCs w:val="18"/>
              </w:rPr>
              <w:t>/M</w:t>
            </w:r>
          </w:p>
        </w:tc>
        <w:tc>
          <w:tcPr>
            <w:tcW w:w="173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0ACDAAD" w14:textId="77777777" w:rsidR="00A0482C" w:rsidRDefault="00000000">
            <w:pPr>
              <w:spacing w:line="228" w:lineRule="auto"/>
            </w:pPr>
            <w:r>
              <w:rPr>
                <w:sz w:val="18"/>
                <w:szCs w:val="18"/>
              </w:rPr>
              <w:t>Truncated lognormal</w:t>
            </w:r>
          </w:p>
        </w:tc>
        <w:tc>
          <w:tcPr>
            <w:tcW w:w="326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24E110A" w14:textId="77777777" w:rsidR="00A0482C" w:rsidRDefault="00000000">
            <w:pPr>
              <w:spacing w:line="228" w:lineRule="auto"/>
            </w:pPr>
            <w:r>
              <w:rPr>
                <w:sz w:val="18"/>
                <w:szCs w:val="18"/>
              </w:rPr>
              <w:t xml:space="preserve">Median 0.8; </w:t>
            </w:r>
            <w:proofErr w:type="gramStart"/>
            <w:r>
              <w:rPr>
                <w:sz w:val="18"/>
                <w:szCs w:val="18"/>
              </w:rPr>
              <w:t>SD(</w:t>
            </w:r>
            <w:proofErr w:type="gramEnd"/>
            <w:r>
              <w:rPr>
                <w:sz w:val="18"/>
                <w:szCs w:val="18"/>
              </w:rPr>
              <w:t>log) 0.3; bounds 0.1–2</w:t>
            </w:r>
          </w:p>
        </w:tc>
        <w:tc>
          <w:tcPr>
            <w:tcW w:w="357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7F07F93" w14:textId="77777777" w:rsidR="00A0482C" w:rsidRDefault="00000000">
            <w:pPr>
              <w:spacing w:line="228" w:lineRule="auto"/>
            </w:pPr>
            <w:r>
              <w:rPr>
                <w:sz w:val="18"/>
                <w:szCs w:val="18"/>
              </w:rPr>
              <w:t>F</w:t>
            </w:r>
            <w:r>
              <w:rPr>
                <w:sz w:val="18"/>
                <w:szCs w:val="18"/>
                <w:vertAlign w:val="subscript"/>
              </w:rPr>
              <w:t>MSY</w:t>
            </w:r>
            <w:r>
              <w:rPr>
                <w:sz w:val="18"/>
                <w:szCs w:val="18"/>
              </w:rPr>
              <w:t xml:space="preserve"> ≈ 0.8M for teleosts (Walters and Martell, 2004; Dick and MacCall, 2011)</w:t>
            </w:r>
          </w:p>
        </w:tc>
      </w:tr>
      <w:tr w:rsidR="00A0482C" w14:paraId="6A3C1A96" w14:textId="77777777">
        <w:tblPrEx>
          <w:tblCellMar>
            <w:top w:w="0" w:type="dxa"/>
            <w:bottom w:w="0" w:type="dxa"/>
          </w:tblCellMar>
        </w:tblPrEx>
        <w:trPr>
          <w:cantSplit/>
        </w:trPr>
        <w:tc>
          <w:tcPr>
            <w:tcW w:w="16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4EE6917" w14:textId="77777777" w:rsidR="00A0482C" w:rsidRDefault="00000000">
            <w:pPr>
              <w:spacing w:line="228" w:lineRule="auto"/>
            </w:pPr>
            <w:r>
              <w:rPr>
                <w:sz w:val="18"/>
                <w:szCs w:val="18"/>
              </w:rPr>
              <w:t>B</w:t>
            </w:r>
            <w:r>
              <w:rPr>
                <w:sz w:val="18"/>
                <w:szCs w:val="18"/>
                <w:vertAlign w:val="subscript"/>
              </w:rPr>
              <w:t>MSY</w:t>
            </w:r>
            <w:r>
              <w:rPr>
                <w:sz w:val="18"/>
                <w:szCs w:val="18"/>
              </w:rPr>
              <w:t>/K</w:t>
            </w:r>
          </w:p>
        </w:tc>
        <w:tc>
          <w:tcPr>
            <w:tcW w:w="173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942510C" w14:textId="77777777" w:rsidR="00A0482C" w:rsidRDefault="00000000">
            <w:pPr>
              <w:spacing w:line="228" w:lineRule="auto"/>
            </w:pPr>
            <w:r>
              <w:rPr>
                <w:sz w:val="18"/>
                <w:szCs w:val="18"/>
              </w:rPr>
              <w:t>Truncated beta</w:t>
            </w:r>
          </w:p>
        </w:tc>
        <w:tc>
          <w:tcPr>
            <w:tcW w:w="326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02C3451" w14:textId="77777777" w:rsidR="00A0482C" w:rsidRDefault="00000000">
            <w:pPr>
              <w:spacing w:line="228" w:lineRule="auto"/>
            </w:pPr>
            <w:r>
              <w:rPr>
                <w:sz w:val="18"/>
                <w:szCs w:val="18"/>
              </w:rPr>
              <w:t>Mean 0.4; SD 0.1; bounds 0.05–0.95</w:t>
            </w:r>
          </w:p>
        </w:tc>
        <w:tc>
          <w:tcPr>
            <w:tcW w:w="357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ADFE40A" w14:textId="77777777" w:rsidR="00A0482C" w:rsidRDefault="00000000">
            <w:pPr>
              <w:spacing w:line="228" w:lineRule="auto"/>
            </w:pPr>
            <w:r>
              <w:rPr>
                <w:sz w:val="18"/>
                <w:szCs w:val="18"/>
              </w:rPr>
              <w:t>Allows maximum production below K/2 (Dick and MacCall, 2011)</w:t>
            </w:r>
          </w:p>
        </w:tc>
      </w:tr>
      <w:tr w:rsidR="00A0482C" w14:paraId="450B0D9A" w14:textId="77777777">
        <w:tblPrEx>
          <w:tblCellMar>
            <w:top w:w="0" w:type="dxa"/>
            <w:bottom w:w="0" w:type="dxa"/>
          </w:tblCellMar>
        </w:tblPrEx>
        <w:trPr>
          <w:cantSplit/>
        </w:trPr>
        <w:tc>
          <w:tcPr>
            <w:tcW w:w="16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ED4ED39" w14:textId="77777777" w:rsidR="00A0482C" w:rsidRDefault="00000000">
            <w:pPr>
              <w:spacing w:line="228" w:lineRule="auto"/>
            </w:pPr>
            <w:r>
              <w:rPr>
                <w:i/>
                <w:iCs/>
                <w:sz w:val="18"/>
                <w:szCs w:val="18"/>
              </w:rPr>
              <w:t>M</w:t>
            </w:r>
            <w:r>
              <w:rPr>
                <w:sz w:val="18"/>
                <w:szCs w:val="18"/>
              </w:rPr>
              <w:t xml:space="preserve"> (yr</w:t>
            </w:r>
            <w:r>
              <w:rPr>
                <w:sz w:val="18"/>
                <w:szCs w:val="18"/>
                <w:vertAlign w:val="superscript"/>
              </w:rPr>
              <w:t>−1</w:t>
            </w:r>
            <w:r>
              <w:rPr>
                <w:sz w:val="18"/>
                <w:szCs w:val="18"/>
              </w:rPr>
              <w:t>)</w:t>
            </w:r>
          </w:p>
        </w:tc>
        <w:tc>
          <w:tcPr>
            <w:tcW w:w="173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99D596E" w14:textId="77777777" w:rsidR="00A0482C" w:rsidRDefault="00000000">
            <w:pPr>
              <w:spacing w:line="228" w:lineRule="auto"/>
            </w:pPr>
            <w:r>
              <w:rPr>
                <w:sz w:val="18"/>
                <w:szCs w:val="18"/>
              </w:rPr>
              <w:t>Truncated lognormal</w:t>
            </w:r>
          </w:p>
        </w:tc>
        <w:tc>
          <w:tcPr>
            <w:tcW w:w="326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47CB3DE" w14:textId="77777777" w:rsidR="00A0482C" w:rsidRDefault="00000000">
            <w:pPr>
              <w:spacing w:line="228" w:lineRule="auto"/>
            </w:pPr>
            <w:r>
              <w:rPr>
                <w:sz w:val="18"/>
                <w:szCs w:val="18"/>
              </w:rPr>
              <w:t xml:space="preserve">Median 0.92, 0.62 or 0.63; </w:t>
            </w:r>
            <w:proofErr w:type="gramStart"/>
            <w:r>
              <w:rPr>
                <w:sz w:val="18"/>
                <w:szCs w:val="18"/>
              </w:rPr>
              <w:t>SD(</w:t>
            </w:r>
            <w:proofErr w:type="gramEnd"/>
            <w:r>
              <w:rPr>
                <w:sz w:val="18"/>
                <w:szCs w:val="18"/>
              </w:rPr>
              <w:t>log) 0.1; ±30%</w:t>
            </w:r>
          </w:p>
        </w:tc>
        <w:tc>
          <w:tcPr>
            <w:tcW w:w="357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F0D1C7F" w14:textId="77777777" w:rsidR="00A0482C" w:rsidRDefault="00000000">
            <w:pPr>
              <w:spacing w:line="228" w:lineRule="auto"/>
            </w:pPr>
            <w:r>
              <w:rPr>
                <w:sz w:val="18"/>
                <w:szCs w:val="18"/>
              </w:rPr>
              <w:t>Vieira (2019), Jardim (1999) and Santos (2018)</w:t>
            </w:r>
          </w:p>
        </w:tc>
      </w:tr>
      <w:tr w:rsidR="00A0482C" w14:paraId="76C82F11" w14:textId="77777777">
        <w:tblPrEx>
          <w:tblCellMar>
            <w:top w:w="0" w:type="dxa"/>
            <w:bottom w:w="0" w:type="dxa"/>
          </w:tblCellMar>
        </w:tblPrEx>
        <w:trPr>
          <w:cantSplit/>
        </w:trPr>
        <w:tc>
          <w:tcPr>
            <w:tcW w:w="1633"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14:paraId="5415A223" w14:textId="77777777" w:rsidR="00A0482C" w:rsidRDefault="00000000">
            <w:pPr>
              <w:spacing w:line="228" w:lineRule="auto"/>
            </w:pPr>
            <w:r>
              <w:rPr>
                <w:sz w:val="18"/>
                <w:szCs w:val="18"/>
              </w:rPr>
              <w:t>Simulations</w:t>
            </w:r>
          </w:p>
        </w:tc>
        <w:tc>
          <w:tcPr>
            <w:tcW w:w="1735"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14:paraId="5CFA06B5" w14:textId="77777777" w:rsidR="00A0482C" w:rsidRDefault="00000000">
            <w:pPr>
              <w:spacing w:line="228" w:lineRule="auto"/>
            </w:pPr>
            <w:r>
              <w:rPr>
                <w:sz w:val="18"/>
                <w:szCs w:val="18"/>
              </w:rPr>
              <w:t>Monte Carlo</w:t>
            </w:r>
          </w:p>
        </w:tc>
        <w:tc>
          <w:tcPr>
            <w:tcW w:w="3266"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14:paraId="7EE04077" w14:textId="77777777" w:rsidR="00A0482C" w:rsidRDefault="00000000">
            <w:pPr>
              <w:spacing w:line="228" w:lineRule="auto"/>
            </w:pPr>
            <w:r>
              <w:rPr>
                <w:sz w:val="18"/>
                <w:szCs w:val="18"/>
              </w:rPr>
              <w:t>10,000 per scenario; 12 scenarios</w:t>
            </w:r>
          </w:p>
        </w:tc>
        <w:tc>
          <w:tcPr>
            <w:tcW w:w="3572"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14:paraId="7C1618F3" w14:textId="77777777" w:rsidR="00A0482C" w:rsidRDefault="00000000">
            <w:pPr>
              <w:spacing w:line="228" w:lineRule="auto"/>
            </w:pPr>
            <w:r>
              <w:rPr>
                <w:sz w:val="18"/>
                <w:szCs w:val="18"/>
              </w:rPr>
              <w:t>Accepted if K is feasible and biomass stays positive and below K</w:t>
            </w:r>
          </w:p>
        </w:tc>
      </w:tr>
    </w:tbl>
    <w:p w14:paraId="78C284B3" w14:textId="77777777" w:rsidR="00A0482C" w:rsidRDefault="00A0482C">
      <w:pPr>
        <w:spacing w:after="60"/>
      </w:pPr>
    </w:p>
    <w:p w14:paraId="5969CC06" w14:textId="77777777" w:rsidR="00A0482C" w:rsidRDefault="00000000">
      <w:pPr>
        <w:pStyle w:val="Ttulo3"/>
        <w:keepNext/>
        <w:spacing w:before="120" w:after="60"/>
      </w:pPr>
      <w:r>
        <w:t>2.4.5 CMSY++</w:t>
      </w:r>
    </w:p>
    <w:p w14:paraId="73DFAE9E" w14:textId="5F92D013" w:rsidR="00A0482C" w:rsidRDefault="00000000" w:rsidP="00621BD1">
      <w:pPr>
        <w:spacing w:after="80" w:line="252" w:lineRule="auto"/>
        <w:ind w:firstLine="340"/>
        <w:jc w:val="both"/>
      </w:pPr>
      <w:r>
        <w:t xml:space="preserve">CMSY++ (Froese et al., 2023) is the latest version of CMSY (Martell and Froese, 2013; Froese et al., 2017), which estimates productivity and stock size from catches, a prior on </w:t>
      </w:r>
      <w:r>
        <w:rPr>
          <w:i/>
          <w:iCs/>
        </w:rPr>
        <w:t>r</w:t>
      </w:r>
      <w:r>
        <w:t xml:space="preserve"> and priors on relative biomass in selected years. Dynamics follow the Schaefer (1954) surplus production model, written in terms of relative biomass P</w:t>
      </w:r>
      <w:r>
        <w:rPr>
          <w:vertAlign w:val="subscript"/>
        </w:rPr>
        <w:t>t</w:t>
      </w:r>
      <w:r>
        <w:t xml:space="preserve"> = </w:t>
      </w:r>
      <w:proofErr w:type="spellStart"/>
      <w:r>
        <w:t>B</w:t>
      </w:r>
      <w:r>
        <w:rPr>
          <w:vertAlign w:val="subscript"/>
        </w:rPr>
        <w:t>t</w:t>
      </w:r>
      <w:proofErr w:type="spellEnd"/>
      <w:r>
        <w:t>/K:</w:t>
      </w:r>
      <w:r w:rsidR="00621BD1">
        <w:t xml:space="preserve"> </w:t>
      </w:r>
      <m:oMath>
        <m:sSub>
          <m:sSubPr>
            <m:ctrlPr>
              <w:rPr>
                <w:rFonts w:ascii="Cambria Math" w:hAnsi="Cambria Math"/>
              </w:rPr>
            </m:ctrlPr>
          </m:sSubPr>
          <m:e>
            <m:r>
              <w:rPr>
                <w:rFonts w:ascii="Cambria Math" w:hAnsi="Cambria Math"/>
                <w:lang w:val="pt-BR"/>
              </w:rPr>
              <m:t>P</m:t>
            </m:r>
          </m:e>
          <m:sub>
            <m:r>
              <w:rPr>
                <w:rFonts w:ascii="Cambria Math" w:hAnsi="Cambria Math"/>
                <w:lang w:val="pt-BR"/>
              </w:rPr>
              <m:t>t</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lang w:val="pt-BR"/>
              </w:rPr>
              <m:t>P</m:t>
            </m:r>
          </m:e>
          <m:sub>
            <m:r>
              <w:rPr>
                <w:rFonts w:ascii="Cambria Math" w:hAnsi="Cambria Math"/>
                <w:lang w:val="pt-BR"/>
              </w:rPr>
              <m:t>t</m:t>
            </m:r>
          </m:sub>
        </m:sSub>
        <m:r>
          <w:rPr>
            <w:rFonts w:ascii="Cambria Math" w:hAnsi="Cambria Math"/>
          </w:rPr>
          <m:t>+</m:t>
        </m:r>
        <m:r>
          <w:rPr>
            <w:rFonts w:ascii="Cambria Math" w:hAnsi="Cambria Math"/>
            <w:lang w:val="pt-BR"/>
          </w:rPr>
          <m:t>r</m:t>
        </m:r>
        <m:r>
          <w:rPr>
            <w:rFonts w:ascii="Cambria Math" w:hAnsi="Cambria Math"/>
          </w:rPr>
          <m:t>·</m:t>
        </m:r>
        <m:sSub>
          <m:sSubPr>
            <m:ctrlPr>
              <w:rPr>
                <w:rFonts w:ascii="Cambria Math" w:hAnsi="Cambria Math"/>
              </w:rPr>
            </m:ctrlPr>
          </m:sSubPr>
          <m:e>
            <m:r>
              <w:rPr>
                <w:rFonts w:ascii="Cambria Math" w:hAnsi="Cambria Math"/>
                <w:lang w:val="pt-BR"/>
              </w:rPr>
              <m:t>P</m:t>
            </m:r>
          </m:e>
          <m:sub>
            <m:r>
              <w:rPr>
                <w:rFonts w:ascii="Cambria Math" w:hAnsi="Cambria Math"/>
                <w:lang w:val="pt-BR"/>
              </w:rPr>
              <m:t>t</m:t>
            </m:r>
          </m:sub>
        </m:sSub>
        <m:r>
          <w:rPr>
            <w:rFonts w:ascii="Cambria Math" w:hAnsi="Cambria Math"/>
          </w:rPr>
          <m:t>·(1-</m:t>
        </m:r>
        <m:sSub>
          <m:sSubPr>
            <m:ctrlPr>
              <w:rPr>
                <w:rFonts w:ascii="Cambria Math" w:hAnsi="Cambria Math"/>
              </w:rPr>
            </m:ctrlPr>
          </m:sSubPr>
          <m:e>
            <m:r>
              <w:rPr>
                <w:rFonts w:ascii="Cambria Math" w:hAnsi="Cambria Math"/>
                <w:lang w:val="pt-BR"/>
              </w:rPr>
              <m:t>P</m:t>
            </m:r>
          </m:e>
          <m:sub>
            <m:r>
              <w:rPr>
                <w:rFonts w:ascii="Cambria Math" w:hAnsi="Cambria Math"/>
                <w:lang w:val="pt-BR"/>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lang w:val="pt-BR"/>
                  </w:rPr>
                  <m:t>C</m:t>
                </m:r>
              </m:e>
              <m:sub>
                <m:r>
                  <w:rPr>
                    <w:rFonts w:ascii="Cambria Math" w:hAnsi="Cambria Math"/>
                    <w:lang w:val="pt-BR"/>
                  </w:rPr>
                  <m:t>t</m:t>
                </m:r>
              </m:sub>
            </m:sSub>
          </m:num>
          <m:den>
            <m:r>
              <w:rPr>
                <w:rFonts w:ascii="Cambria Math" w:hAnsi="Cambria Math"/>
                <w:lang w:val="pt-BR"/>
              </w:rPr>
              <m:t>K</m:t>
            </m:r>
          </m:den>
        </m:f>
        <m:r>
          <w:rPr>
            <w:rFonts w:ascii="Cambria Math" w:hAnsi="Cambria Math"/>
          </w:rPr>
          <m:t>]·</m:t>
        </m:r>
        <m:sSup>
          <m:sSupPr>
            <m:ctrlPr>
              <w:rPr>
                <w:rFonts w:ascii="Cambria Math" w:hAnsi="Cambria Math"/>
              </w:rPr>
            </m:ctrlPr>
          </m:sSupPr>
          <m:e>
            <m:r>
              <w:rPr>
                <w:rFonts w:ascii="Cambria Math" w:hAnsi="Cambria Math"/>
                <w:lang w:val="pt-BR"/>
              </w:rPr>
              <m:t>e</m:t>
            </m:r>
          </m:e>
          <m:sup>
            <m:sSub>
              <m:sSubPr>
                <m:ctrlPr>
                  <w:rPr>
                    <w:rFonts w:ascii="Cambria Math" w:hAnsi="Cambria Math"/>
                  </w:rPr>
                </m:ctrlPr>
              </m:sSubPr>
              <m:e>
                <m:r>
                  <w:rPr>
                    <w:rFonts w:ascii="Cambria Math" w:hAnsi="Cambria Math"/>
                    <w:lang w:val="pt-BR"/>
                  </w:rPr>
                  <m:t>η</m:t>
                </m:r>
              </m:e>
              <m:sub>
                <m:r>
                  <w:rPr>
                    <w:rFonts w:ascii="Cambria Math" w:hAnsi="Cambria Math"/>
                    <w:lang w:val="pt-BR"/>
                  </w:rPr>
                  <m:t>t</m:t>
                </m:r>
              </m:sub>
            </m:sSub>
          </m:sup>
        </m:sSup>
      </m:oMath>
      <w:r>
        <w:tab/>
        <w:t>(4)</w:t>
      </w:r>
      <w:r w:rsidR="00621BD1">
        <w:t xml:space="preserve">, </w:t>
      </w:r>
      <w:r>
        <w:t xml:space="preserve">where </w:t>
      </w:r>
      <w:r>
        <w:rPr>
          <w:i/>
          <w:iCs/>
        </w:rPr>
        <w:t>r</w:t>
      </w:r>
      <w:r>
        <w:t xml:space="preserve"> is the intrinsic rate of population increase, K the carrying capacity and </w:t>
      </w:r>
      <w:proofErr w:type="spellStart"/>
      <w:r>
        <w:t>η</w:t>
      </w:r>
      <w:r>
        <w:rPr>
          <w:vertAlign w:val="subscript"/>
        </w:rPr>
        <w:t>t</w:t>
      </w:r>
      <w:proofErr w:type="spellEnd"/>
      <w:r>
        <w:t xml:space="preserve"> a normal process error with mean zero. Below 0.25K, production is reduced linearly (</w:t>
      </w:r>
      <w:r>
        <w:rPr>
          <w:i/>
          <w:iCs/>
        </w:rPr>
        <w:t>r</w:t>
      </w:r>
      <w:r>
        <w:t xml:space="preserve"> is multiplied by 4P</w:t>
      </w:r>
      <w:r>
        <w:rPr>
          <w:vertAlign w:val="subscript"/>
        </w:rPr>
        <w:t>t</w:t>
      </w:r>
      <w:r>
        <w:t xml:space="preserve">), representing the loss of reproductive capacity of severely depleted stocks; in this model MSY = </w:t>
      </w:r>
      <w:proofErr w:type="spellStart"/>
      <w:r>
        <w:rPr>
          <w:i/>
          <w:iCs/>
        </w:rPr>
        <w:t>r</w:t>
      </w:r>
      <w:r>
        <w:t>K</w:t>
      </w:r>
      <w:proofErr w:type="spellEnd"/>
      <w:r>
        <w:t>/4, B</w:t>
      </w:r>
      <w:r>
        <w:rPr>
          <w:vertAlign w:val="subscript"/>
        </w:rPr>
        <w:t>MSY</w:t>
      </w:r>
      <w:r>
        <w:t xml:space="preserve"> = K/2 and F</w:t>
      </w:r>
      <w:r>
        <w:rPr>
          <w:vertAlign w:val="subscript"/>
        </w:rPr>
        <w:t>MSY</w:t>
      </w:r>
      <w:r>
        <w:t xml:space="preserve"> = </w:t>
      </w:r>
      <w:r>
        <w:rPr>
          <w:i/>
          <w:iCs/>
        </w:rPr>
        <w:t>r</w:t>
      </w:r>
      <w:r>
        <w:t xml:space="preserve">/2. Whereas the original CMSY retained </w:t>
      </w:r>
      <w:r>
        <w:rPr>
          <w:i/>
          <w:iCs/>
        </w:rPr>
        <w:t>r</w:t>
      </w:r>
      <w:r>
        <w:t xml:space="preserve">–K pairs drawn from uniform priors through a Monte Carlo filter (Froese et al., 2017), CMSY++ uses a Bayesian state-space implementation of the Schaefer model (BSM) fitted by Markov chain Monte Carlo (MCMC) in JAGS (Plummer, 2003). Without an index, the priors on B/K at the start, in an intermediate year and at the end of the series act as the only biomass observations, and penalties remove infeasible trajectories, so that the posterior concentrates on </w:t>
      </w:r>
      <w:r>
        <w:rPr>
          <w:i/>
          <w:iCs/>
        </w:rPr>
        <w:t>r</w:t>
      </w:r>
      <w:r>
        <w:t>–K pairs consistent with catches, priors and plausible dynamics.</w:t>
      </w:r>
    </w:p>
    <w:p w14:paraId="673ADAC2" w14:textId="77777777" w:rsidR="00A0482C" w:rsidRDefault="00000000">
      <w:pPr>
        <w:spacing w:after="80" w:line="252" w:lineRule="auto"/>
        <w:ind w:firstLine="340"/>
        <w:jc w:val="both"/>
      </w:pPr>
      <w:r>
        <w:t xml:space="preserve">CMSY++ was run with the code of Froese et al. (2023), adapted to the 16 scenarios that combine the four depletion hypotheses with the four </w:t>
      </w:r>
      <w:r>
        <w:rPr>
          <w:i/>
          <w:iCs/>
        </w:rPr>
        <w:t>r</w:t>
      </w:r>
      <w:r>
        <w:t xml:space="preserve"> priors (Table 5). The </w:t>
      </w:r>
      <w:r>
        <w:rPr>
          <w:i/>
          <w:iCs/>
        </w:rPr>
        <w:t>r</w:t>
      </w:r>
      <w:r>
        <w:t xml:space="preserve"> prior is lognormal and built only from the interval bounds, so its effective median is the geometric mean of the bounds (0.40 yr</w:t>
      </w:r>
      <w:r>
        <w:rPr>
          <w:vertAlign w:val="superscript"/>
        </w:rPr>
        <w:t>−1</w:t>
      </w:r>
      <w:r>
        <w:t xml:space="preserve"> in the base scenario) rather than the central value of Table 3. K is not drawn independently: MSY is derived from the catch series and </w:t>
      </w:r>
      <m:oMath>
        <m:r>
          <w:rPr>
            <w:rFonts w:ascii="Cambria Math" w:hAnsi="Cambria Math"/>
            <w:lang w:val="pt-BR"/>
          </w:rPr>
          <m:t>K</m:t>
        </m:r>
        <m:r>
          <w:rPr>
            <w:rFonts w:ascii="Cambria Math" w:hAnsi="Cambria Math"/>
          </w:rPr>
          <m:t>=4·</m:t>
        </m:r>
        <m:r>
          <m:rPr>
            <m:sty m:val="p"/>
          </m:rPr>
          <w:rPr>
            <w:rFonts w:ascii="Cambria Math" w:hAnsi="Cambria Math"/>
          </w:rPr>
          <m:t>MSY</m:t>
        </m:r>
        <m:r>
          <w:rPr>
            <w:rFonts w:ascii="Cambria Math" w:hAnsi="Cambria Math"/>
          </w:rPr>
          <m:t>/</m:t>
        </m:r>
        <m:r>
          <w:rPr>
            <w:rFonts w:ascii="Cambria Math" w:hAnsi="Cambria Math"/>
            <w:lang w:val="pt-BR"/>
          </w:rPr>
          <m:t>r</m:t>
        </m:r>
      </m:oMath>
      <w:r>
        <w:t xml:space="preserve">, which yields a multivariate lognormal prior with a negative </w:t>
      </w:r>
      <w:r>
        <w:rPr>
          <w:i/>
          <w:iCs/>
        </w:rPr>
        <w:t>r</w:t>
      </w:r>
      <w:r>
        <w:t>–K correlation that keeps MSY within a plausible range.</w:t>
      </w:r>
    </w:p>
    <w:p w14:paraId="57E72BF4" w14:textId="77777777" w:rsidR="00A0482C" w:rsidRDefault="00000000">
      <w:pPr>
        <w:keepNext/>
        <w:spacing w:before="120" w:after="60"/>
        <w:jc w:val="both"/>
      </w:pPr>
      <w:r>
        <w:rPr>
          <w:b/>
          <w:bCs/>
          <w:sz w:val="19"/>
          <w:szCs w:val="19"/>
        </w:rPr>
        <w:t xml:space="preserve">Table 5. </w:t>
      </w:r>
      <w:r>
        <w:rPr>
          <w:sz w:val="19"/>
          <w:szCs w:val="19"/>
        </w:rPr>
        <w:t>Specification of CMSY++ for mackerel scad.</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3"/>
        <w:gridCol w:w="1735"/>
        <w:gridCol w:w="3266"/>
        <w:gridCol w:w="3572"/>
      </w:tblGrid>
      <w:tr w:rsidR="00A0482C" w14:paraId="1D5812F8" w14:textId="77777777">
        <w:tblPrEx>
          <w:tblCellMar>
            <w:top w:w="0" w:type="dxa"/>
            <w:bottom w:w="0" w:type="dxa"/>
          </w:tblCellMar>
        </w:tblPrEx>
        <w:trPr>
          <w:tblHeader/>
        </w:trPr>
        <w:tc>
          <w:tcPr>
            <w:tcW w:w="1633"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14:paraId="5A8E038F" w14:textId="77777777" w:rsidR="00A0482C" w:rsidRDefault="00000000">
            <w:pPr>
              <w:spacing w:line="228" w:lineRule="auto"/>
            </w:pPr>
            <w:r>
              <w:rPr>
                <w:b/>
                <w:bCs/>
                <w:sz w:val="18"/>
                <w:szCs w:val="18"/>
              </w:rPr>
              <w:t>Component</w:t>
            </w:r>
          </w:p>
        </w:tc>
        <w:tc>
          <w:tcPr>
            <w:tcW w:w="1735"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14:paraId="152B6F93" w14:textId="77777777" w:rsidR="00A0482C" w:rsidRDefault="00000000">
            <w:pPr>
              <w:spacing w:line="228" w:lineRule="auto"/>
            </w:pPr>
            <w:r>
              <w:rPr>
                <w:b/>
                <w:bCs/>
                <w:sz w:val="18"/>
                <w:szCs w:val="18"/>
              </w:rPr>
              <w:t>Distribution</w:t>
            </w:r>
          </w:p>
        </w:tc>
        <w:tc>
          <w:tcPr>
            <w:tcW w:w="3266"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14:paraId="3E642016" w14:textId="77777777" w:rsidR="00A0482C" w:rsidRDefault="00000000">
            <w:pPr>
              <w:spacing w:line="228" w:lineRule="auto"/>
            </w:pPr>
            <w:r>
              <w:rPr>
                <w:b/>
                <w:bCs/>
                <w:sz w:val="18"/>
                <w:szCs w:val="18"/>
              </w:rPr>
              <w:t>Values</w:t>
            </w:r>
          </w:p>
        </w:tc>
        <w:tc>
          <w:tcPr>
            <w:tcW w:w="3572"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14:paraId="222FC2FC" w14:textId="77777777" w:rsidR="00A0482C" w:rsidRDefault="00000000">
            <w:pPr>
              <w:spacing w:line="228" w:lineRule="auto"/>
            </w:pPr>
            <w:r>
              <w:rPr>
                <w:b/>
                <w:bCs/>
                <w:sz w:val="18"/>
                <w:szCs w:val="18"/>
              </w:rPr>
              <w:t>Source and rationale</w:t>
            </w:r>
          </w:p>
        </w:tc>
      </w:tr>
      <w:tr w:rsidR="00A0482C" w14:paraId="11CEE42E" w14:textId="77777777">
        <w:tblPrEx>
          <w:tblCellMar>
            <w:top w:w="0" w:type="dxa"/>
            <w:bottom w:w="0" w:type="dxa"/>
          </w:tblCellMar>
        </w:tblPrEx>
        <w:trPr>
          <w:cantSplit/>
        </w:trPr>
        <w:tc>
          <w:tcPr>
            <w:tcW w:w="16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6DC6A44" w14:textId="77777777" w:rsidR="00A0482C" w:rsidRDefault="00000000">
            <w:pPr>
              <w:spacing w:line="228" w:lineRule="auto"/>
            </w:pPr>
            <w:r>
              <w:rPr>
                <w:sz w:val="18"/>
                <w:szCs w:val="18"/>
              </w:rPr>
              <w:t>Catches</w:t>
            </w:r>
          </w:p>
        </w:tc>
        <w:tc>
          <w:tcPr>
            <w:tcW w:w="173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0E5990E" w14:textId="77777777" w:rsidR="00A0482C" w:rsidRDefault="00000000">
            <w:pPr>
              <w:spacing w:line="228" w:lineRule="auto"/>
            </w:pPr>
            <w:r>
              <w:rPr>
                <w:sz w:val="18"/>
                <w:szCs w:val="18"/>
              </w:rPr>
              <w:t>Lognormal (CV = 0.15)</w:t>
            </w:r>
          </w:p>
        </w:tc>
        <w:tc>
          <w:tcPr>
            <w:tcW w:w="326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32D8C92" w14:textId="77777777" w:rsidR="00A0482C" w:rsidRDefault="00000000">
            <w:pPr>
              <w:spacing w:line="228" w:lineRule="auto"/>
            </w:pPr>
            <w:r>
              <w:rPr>
                <w:sz w:val="18"/>
                <w:szCs w:val="18"/>
              </w:rPr>
              <w:t>1989–2023, smoothed with a Gaussian kernel (3-year bandwidth)</w:t>
            </w:r>
          </w:p>
        </w:tc>
        <w:tc>
          <w:tcPr>
            <w:tcW w:w="357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57698C0" w14:textId="77777777" w:rsidR="00A0482C" w:rsidRDefault="00000000">
            <w:pPr>
              <w:spacing w:line="228" w:lineRule="auto"/>
            </w:pPr>
            <w:r>
              <w:rPr>
                <w:sz w:val="18"/>
                <w:szCs w:val="18"/>
              </w:rPr>
              <w:t>Same series as DB-SRA; CMSY++ default smoothing</w:t>
            </w:r>
          </w:p>
        </w:tc>
      </w:tr>
      <w:tr w:rsidR="00A0482C" w14:paraId="22EA5815" w14:textId="77777777">
        <w:tblPrEx>
          <w:tblCellMar>
            <w:top w:w="0" w:type="dxa"/>
            <w:bottom w:w="0" w:type="dxa"/>
          </w:tblCellMar>
        </w:tblPrEx>
        <w:trPr>
          <w:cantSplit/>
        </w:trPr>
        <w:tc>
          <w:tcPr>
            <w:tcW w:w="16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91477CD" w14:textId="77777777" w:rsidR="00A0482C" w:rsidRDefault="00000000">
            <w:pPr>
              <w:spacing w:line="228" w:lineRule="auto"/>
            </w:pPr>
            <w:r>
              <w:rPr>
                <w:i/>
                <w:iCs/>
                <w:sz w:val="18"/>
                <w:szCs w:val="18"/>
              </w:rPr>
              <w:t>r</w:t>
            </w:r>
            <w:r>
              <w:rPr>
                <w:sz w:val="18"/>
                <w:szCs w:val="18"/>
              </w:rPr>
              <w:t xml:space="preserve"> (yr</w:t>
            </w:r>
            <w:r>
              <w:rPr>
                <w:sz w:val="18"/>
                <w:szCs w:val="18"/>
                <w:vertAlign w:val="superscript"/>
              </w:rPr>
              <w:t>−1</w:t>
            </w:r>
            <w:r>
              <w:rPr>
                <w:sz w:val="18"/>
                <w:szCs w:val="18"/>
              </w:rPr>
              <w:t>)</w:t>
            </w:r>
          </w:p>
        </w:tc>
        <w:tc>
          <w:tcPr>
            <w:tcW w:w="173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144CB11" w14:textId="77777777" w:rsidR="00A0482C" w:rsidRDefault="00000000">
            <w:pPr>
              <w:spacing w:line="228" w:lineRule="auto"/>
            </w:pPr>
            <w:r>
              <w:rPr>
                <w:sz w:val="18"/>
                <w:szCs w:val="18"/>
              </w:rPr>
              <w:t>Lognormal</w:t>
            </w:r>
          </w:p>
        </w:tc>
        <w:tc>
          <w:tcPr>
            <w:tcW w:w="326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72F0B9D" w14:textId="77777777" w:rsidR="00A0482C" w:rsidRDefault="00000000">
            <w:pPr>
              <w:spacing w:line="228" w:lineRule="auto"/>
            </w:pPr>
            <w:r>
              <w:rPr>
                <w:sz w:val="18"/>
                <w:szCs w:val="18"/>
              </w:rPr>
              <w:t>Intervals of Table 3 as 95% intervals; effective median 0.40 in the base scenario</w:t>
            </w:r>
          </w:p>
        </w:tc>
        <w:tc>
          <w:tcPr>
            <w:tcW w:w="357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2DD67F8" w14:textId="77777777" w:rsidR="00A0482C" w:rsidRDefault="00000000">
            <w:pPr>
              <w:spacing w:line="228" w:lineRule="auto"/>
            </w:pPr>
            <w:r>
              <w:rPr>
                <w:sz w:val="18"/>
                <w:szCs w:val="18"/>
              </w:rPr>
              <w:t>Demographic methods and three sensitivity scenarios (Section 2.4.2)</w:t>
            </w:r>
          </w:p>
        </w:tc>
      </w:tr>
      <w:tr w:rsidR="00A0482C" w14:paraId="2D7875CE" w14:textId="77777777">
        <w:tblPrEx>
          <w:tblCellMar>
            <w:top w:w="0" w:type="dxa"/>
            <w:bottom w:w="0" w:type="dxa"/>
          </w:tblCellMar>
        </w:tblPrEx>
        <w:trPr>
          <w:cantSplit/>
        </w:trPr>
        <w:tc>
          <w:tcPr>
            <w:tcW w:w="16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341DFF2" w14:textId="77777777" w:rsidR="00A0482C" w:rsidRDefault="00000000">
            <w:pPr>
              <w:spacing w:line="228" w:lineRule="auto"/>
            </w:pPr>
            <w:r>
              <w:rPr>
                <w:sz w:val="18"/>
                <w:szCs w:val="18"/>
              </w:rPr>
              <w:t>MSY (t)</w:t>
            </w:r>
          </w:p>
        </w:tc>
        <w:tc>
          <w:tcPr>
            <w:tcW w:w="173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138F0DF" w14:textId="77777777" w:rsidR="00A0482C" w:rsidRDefault="00000000">
            <w:pPr>
              <w:spacing w:line="228" w:lineRule="auto"/>
            </w:pPr>
            <w:r>
              <w:rPr>
                <w:sz w:val="18"/>
                <w:szCs w:val="18"/>
              </w:rPr>
              <w:t>Lognormal</w:t>
            </w:r>
          </w:p>
        </w:tc>
        <w:tc>
          <w:tcPr>
            <w:tcW w:w="326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07D906C" w14:textId="77777777" w:rsidR="00A0482C" w:rsidRDefault="00000000">
            <w:pPr>
              <w:spacing w:line="228" w:lineRule="auto"/>
            </w:pPr>
            <w:r>
              <w:rPr>
                <w:sz w:val="18"/>
                <w:szCs w:val="18"/>
              </w:rPr>
              <w:t xml:space="preserve">Centre 2,131; </w:t>
            </w:r>
            <w:proofErr w:type="gramStart"/>
            <w:r>
              <w:rPr>
                <w:sz w:val="18"/>
                <w:szCs w:val="18"/>
              </w:rPr>
              <w:t>SD(</w:t>
            </w:r>
            <w:proofErr w:type="gramEnd"/>
            <w:r>
              <w:rPr>
                <w:sz w:val="18"/>
                <w:szCs w:val="18"/>
              </w:rPr>
              <w:t>log) 0.3; 95% interval 1,183–3,836</w:t>
            </w:r>
          </w:p>
        </w:tc>
        <w:tc>
          <w:tcPr>
            <w:tcW w:w="357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C1A7146" w14:textId="77777777" w:rsidR="00A0482C" w:rsidRDefault="00000000">
            <w:pPr>
              <w:spacing w:line="228" w:lineRule="auto"/>
            </w:pPr>
            <w:r>
              <w:rPr>
                <w:sz w:val="18"/>
                <w:szCs w:val="18"/>
              </w:rPr>
              <w:t>75% of the mean of the five largest catches (CMSY++ rule when the maximum is not in the last five years)</w:t>
            </w:r>
          </w:p>
        </w:tc>
      </w:tr>
      <w:tr w:rsidR="00A0482C" w14:paraId="3A8A6934" w14:textId="77777777">
        <w:tblPrEx>
          <w:tblCellMar>
            <w:top w:w="0" w:type="dxa"/>
            <w:bottom w:w="0" w:type="dxa"/>
          </w:tblCellMar>
        </w:tblPrEx>
        <w:trPr>
          <w:cantSplit/>
        </w:trPr>
        <w:tc>
          <w:tcPr>
            <w:tcW w:w="16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14C1E7B" w14:textId="77777777" w:rsidR="00A0482C" w:rsidRDefault="00000000">
            <w:pPr>
              <w:spacing w:line="228" w:lineRule="auto"/>
            </w:pPr>
            <w:r>
              <w:rPr>
                <w:sz w:val="18"/>
                <w:szCs w:val="18"/>
              </w:rPr>
              <w:t>K (t)</w:t>
            </w:r>
          </w:p>
        </w:tc>
        <w:tc>
          <w:tcPr>
            <w:tcW w:w="173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03A0277" w14:textId="77777777" w:rsidR="00A0482C" w:rsidRDefault="00000000">
            <w:pPr>
              <w:spacing w:line="228" w:lineRule="auto"/>
            </w:pPr>
            <w:r>
              <w:rPr>
                <w:sz w:val="18"/>
                <w:szCs w:val="18"/>
              </w:rPr>
              <w:t xml:space="preserve">Multivariate lognormal with </w:t>
            </w:r>
            <w:r>
              <w:rPr>
                <w:i/>
                <w:iCs/>
                <w:sz w:val="18"/>
                <w:szCs w:val="18"/>
              </w:rPr>
              <w:t>r</w:t>
            </w:r>
          </w:p>
        </w:tc>
        <w:tc>
          <w:tcPr>
            <w:tcW w:w="326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C7D6866" w14:textId="77777777" w:rsidR="00A0482C" w:rsidRDefault="00000000">
            <w:pPr>
              <w:spacing w:line="228" w:lineRule="auto"/>
            </w:pPr>
            <w:r>
              <w:rPr>
                <w:sz w:val="18"/>
                <w:szCs w:val="18"/>
              </w:rPr>
              <w:t>K = 4·MSY/</w:t>
            </w:r>
            <w:r>
              <w:rPr>
                <w:i/>
                <w:iCs/>
                <w:sz w:val="18"/>
                <w:szCs w:val="18"/>
              </w:rPr>
              <w:t>r</w:t>
            </w:r>
            <w:r>
              <w:rPr>
                <w:sz w:val="18"/>
                <w:szCs w:val="18"/>
              </w:rPr>
              <w:t>; about 8,500–53,000 (95%) in the base scenario</w:t>
            </w:r>
          </w:p>
        </w:tc>
        <w:tc>
          <w:tcPr>
            <w:tcW w:w="357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21AD5D6" w14:textId="77777777" w:rsidR="00A0482C" w:rsidRDefault="00000000">
            <w:pPr>
              <w:spacing w:line="228" w:lineRule="auto"/>
            </w:pPr>
            <w:r>
              <w:rPr>
                <w:sz w:val="18"/>
                <w:szCs w:val="18"/>
              </w:rPr>
              <w:t xml:space="preserve">Negative </w:t>
            </w:r>
            <w:r>
              <w:rPr>
                <w:i/>
                <w:iCs/>
                <w:sz w:val="18"/>
                <w:szCs w:val="18"/>
              </w:rPr>
              <w:t>r</w:t>
            </w:r>
            <w:r>
              <w:rPr>
                <w:sz w:val="18"/>
                <w:szCs w:val="18"/>
              </w:rPr>
              <w:t>–K correlation (Froese et al., 2023)</w:t>
            </w:r>
          </w:p>
        </w:tc>
      </w:tr>
      <w:tr w:rsidR="00A0482C" w14:paraId="78C69576" w14:textId="77777777">
        <w:tblPrEx>
          <w:tblCellMar>
            <w:top w:w="0" w:type="dxa"/>
            <w:bottom w:w="0" w:type="dxa"/>
          </w:tblCellMar>
        </w:tblPrEx>
        <w:trPr>
          <w:cantSplit/>
        </w:trPr>
        <w:tc>
          <w:tcPr>
            <w:tcW w:w="16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AF2D065" w14:textId="77777777" w:rsidR="00A0482C" w:rsidRDefault="00000000">
            <w:pPr>
              <w:spacing w:line="228" w:lineRule="auto"/>
            </w:pPr>
            <w:r>
              <w:rPr>
                <w:sz w:val="18"/>
                <w:szCs w:val="18"/>
              </w:rPr>
              <w:lastRenderedPageBreak/>
              <w:t>B/K in 1989</w:t>
            </w:r>
          </w:p>
        </w:tc>
        <w:tc>
          <w:tcPr>
            <w:tcW w:w="173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031B11A" w14:textId="77777777" w:rsidR="00A0482C" w:rsidRDefault="00000000">
            <w:pPr>
              <w:spacing w:line="228" w:lineRule="auto"/>
            </w:pPr>
            <w:r>
              <w:rPr>
                <w:sz w:val="18"/>
                <w:szCs w:val="18"/>
              </w:rPr>
              <w:t>Beta</w:t>
            </w:r>
          </w:p>
        </w:tc>
        <w:tc>
          <w:tcPr>
            <w:tcW w:w="326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D63D00C" w14:textId="77777777" w:rsidR="00A0482C" w:rsidRDefault="00000000">
            <w:pPr>
              <w:spacing w:line="228" w:lineRule="auto"/>
            </w:pPr>
            <w:r>
              <w:rPr>
                <w:sz w:val="18"/>
                <w:szCs w:val="18"/>
              </w:rPr>
              <w:t>0.50–0.80</w:t>
            </w:r>
          </w:p>
        </w:tc>
        <w:tc>
          <w:tcPr>
            <w:tcW w:w="357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931062C" w14:textId="77777777" w:rsidR="00A0482C" w:rsidRDefault="00000000">
            <w:pPr>
              <w:spacing w:line="228" w:lineRule="auto"/>
            </w:pPr>
            <w:r>
              <w:rPr>
                <w:sz w:val="18"/>
                <w:szCs w:val="18"/>
              </w:rPr>
              <w:t>Section 2.4.1</w:t>
            </w:r>
          </w:p>
        </w:tc>
      </w:tr>
      <w:tr w:rsidR="00A0482C" w14:paraId="19082D78" w14:textId="77777777">
        <w:tblPrEx>
          <w:tblCellMar>
            <w:top w:w="0" w:type="dxa"/>
            <w:bottom w:w="0" w:type="dxa"/>
          </w:tblCellMar>
        </w:tblPrEx>
        <w:trPr>
          <w:cantSplit/>
        </w:trPr>
        <w:tc>
          <w:tcPr>
            <w:tcW w:w="16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560CD38" w14:textId="77777777" w:rsidR="00A0482C" w:rsidRDefault="00000000">
            <w:pPr>
              <w:spacing w:line="228" w:lineRule="auto"/>
            </w:pPr>
            <w:r>
              <w:rPr>
                <w:sz w:val="18"/>
                <w:szCs w:val="18"/>
              </w:rPr>
              <w:t>Intermediate B/K</w:t>
            </w:r>
          </w:p>
        </w:tc>
        <w:tc>
          <w:tcPr>
            <w:tcW w:w="173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DADD934" w14:textId="77777777" w:rsidR="00A0482C" w:rsidRDefault="00000000">
            <w:pPr>
              <w:spacing w:line="228" w:lineRule="auto"/>
            </w:pPr>
            <w:r>
              <w:rPr>
                <w:sz w:val="18"/>
                <w:szCs w:val="18"/>
              </w:rPr>
              <w:t>Beta</w:t>
            </w:r>
          </w:p>
        </w:tc>
        <w:tc>
          <w:tcPr>
            <w:tcW w:w="326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1725D1C" w14:textId="77777777" w:rsidR="00A0482C" w:rsidRDefault="00000000">
            <w:pPr>
              <w:spacing w:line="228" w:lineRule="auto"/>
            </w:pPr>
            <w:r>
              <w:rPr>
                <w:sz w:val="18"/>
                <w:szCs w:val="18"/>
              </w:rPr>
              <w:t>Year (2018) and interval set by the CMSY++ neural network</w:t>
            </w:r>
          </w:p>
        </w:tc>
        <w:tc>
          <w:tcPr>
            <w:tcW w:w="357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B6ABE03" w14:textId="77777777" w:rsidR="00A0482C" w:rsidRDefault="00000000">
            <w:pPr>
              <w:spacing w:line="228" w:lineRule="auto"/>
            </w:pPr>
            <w:r>
              <w:rPr>
                <w:sz w:val="18"/>
                <w:szCs w:val="18"/>
              </w:rPr>
              <w:t>Default configuration of the method</w:t>
            </w:r>
          </w:p>
        </w:tc>
      </w:tr>
      <w:tr w:rsidR="00A0482C" w14:paraId="0B00D620" w14:textId="77777777">
        <w:tblPrEx>
          <w:tblCellMar>
            <w:top w:w="0" w:type="dxa"/>
            <w:bottom w:w="0" w:type="dxa"/>
          </w:tblCellMar>
        </w:tblPrEx>
        <w:trPr>
          <w:cantSplit/>
        </w:trPr>
        <w:tc>
          <w:tcPr>
            <w:tcW w:w="16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9C506CB" w14:textId="77777777" w:rsidR="00A0482C" w:rsidRDefault="00000000">
            <w:pPr>
              <w:spacing w:line="228" w:lineRule="auto"/>
            </w:pPr>
            <w:r>
              <w:rPr>
                <w:sz w:val="18"/>
                <w:szCs w:val="18"/>
              </w:rPr>
              <w:t>B/K in 2023</w:t>
            </w:r>
          </w:p>
        </w:tc>
        <w:tc>
          <w:tcPr>
            <w:tcW w:w="173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6A28E69" w14:textId="77777777" w:rsidR="00A0482C" w:rsidRDefault="00000000">
            <w:pPr>
              <w:spacing w:line="228" w:lineRule="auto"/>
            </w:pPr>
            <w:r>
              <w:rPr>
                <w:sz w:val="18"/>
                <w:szCs w:val="18"/>
              </w:rPr>
              <w:t>Beta</w:t>
            </w:r>
          </w:p>
        </w:tc>
        <w:tc>
          <w:tcPr>
            <w:tcW w:w="326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53E24DD" w14:textId="77777777" w:rsidR="00A0482C" w:rsidRDefault="00000000">
            <w:pPr>
              <w:spacing w:line="228" w:lineRule="auto"/>
            </w:pPr>
            <w:r>
              <w:rPr>
                <w:sz w:val="18"/>
                <w:szCs w:val="18"/>
              </w:rPr>
              <w:t>Bounds of each hypothesis (Table 2)</w:t>
            </w:r>
          </w:p>
        </w:tc>
        <w:tc>
          <w:tcPr>
            <w:tcW w:w="357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C192082" w14:textId="77777777" w:rsidR="00A0482C" w:rsidRDefault="00000000">
            <w:pPr>
              <w:spacing w:line="228" w:lineRule="auto"/>
            </w:pPr>
            <w:r>
              <w:rPr>
                <w:sz w:val="18"/>
                <w:szCs w:val="18"/>
              </w:rPr>
              <w:t>Four final-depletion hypotheses (Section 2.4.1)</w:t>
            </w:r>
          </w:p>
        </w:tc>
      </w:tr>
      <w:tr w:rsidR="00A0482C" w14:paraId="56CE4141" w14:textId="77777777">
        <w:tblPrEx>
          <w:tblCellMar>
            <w:top w:w="0" w:type="dxa"/>
            <w:bottom w:w="0" w:type="dxa"/>
          </w:tblCellMar>
        </w:tblPrEx>
        <w:trPr>
          <w:cantSplit/>
        </w:trPr>
        <w:tc>
          <w:tcPr>
            <w:tcW w:w="16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A233443" w14:textId="77777777" w:rsidR="00A0482C" w:rsidRDefault="00000000">
            <w:pPr>
              <w:spacing w:line="228" w:lineRule="auto"/>
            </w:pPr>
            <w:r>
              <w:rPr>
                <w:sz w:val="18"/>
                <w:szCs w:val="18"/>
              </w:rPr>
              <w:t>Process error</w:t>
            </w:r>
          </w:p>
        </w:tc>
        <w:tc>
          <w:tcPr>
            <w:tcW w:w="173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398AF60" w14:textId="77777777" w:rsidR="00A0482C" w:rsidRDefault="00000000">
            <w:pPr>
              <w:spacing w:line="228" w:lineRule="auto"/>
            </w:pPr>
            <w:r>
              <w:rPr>
                <w:sz w:val="18"/>
                <w:szCs w:val="18"/>
              </w:rPr>
              <w:t>Lognormal</w:t>
            </w:r>
          </w:p>
        </w:tc>
        <w:tc>
          <w:tcPr>
            <w:tcW w:w="326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38CE931" w14:textId="77777777" w:rsidR="00A0482C" w:rsidRDefault="00000000">
            <w:pPr>
              <w:spacing w:line="228" w:lineRule="auto"/>
            </w:pPr>
            <w:r>
              <w:rPr>
                <w:sz w:val="18"/>
                <w:szCs w:val="18"/>
              </w:rPr>
              <w:t>Variance with inverse-gamma prior (4; 0.01)</w:t>
            </w:r>
          </w:p>
        </w:tc>
        <w:tc>
          <w:tcPr>
            <w:tcW w:w="357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FDAC542" w14:textId="77777777" w:rsidR="00A0482C" w:rsidRDefault="00000000">
            <w:pPr>
              <w:spacing w:line="228" w:lineRule="auto"/>
            </w:pPr>
            <w:r>
              <w:rPr>
                <w:sz w:val="18"/>
                <w:szCs w:val="18"/>
              </w:rPr>
              <w:t>CMSY++ default</w:t>
            </w:r>
          </w:p>
        </w:tc>
      </w:tr>
      <w:tr w:rsidR="00A0482C" w14:paraId="2EFD1A6E" w14:textId="77777777">
        <w:tblPrEx>
          <w:tblCellMar>
            <w:top w:w="0" w:type="dxa"/>
            <w:bottom w:w="0" w:type="dxa"/>
          </w:tblCellMar>
        </w:tblPrEx>
        <w:trPr>
          <w:cantSplit/>
        </w:trPr>
        <w:tc>
          <w:tcPr>
            <w:tcW w:w="16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1AA3101" w14:textId="77777777" w:rsidR="00A0482C" w:rsidRDefault="00000000">
            <w:pPr>
              <w:spacing w:line="228" w:lineRule="auto"/>
            </w:pPr>
            <w:r>
              <w:rPr>
                <w:sz w:val="18"/>
                <w:szCs w:val="18"/>
              </w:rPr>
              <w:t>Penalties</w:t>
            </w:r>
          </w:p>
        </w:tc>
        <w:tc>
          <w:tcPr>
            <w:tcW w:w="173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926DDC3" w14:textId="77777777" w:rsidR="00A0482C" w:rsidRDefault="00000000">
            <w:pPr>
              <w:spacing w:line="228" w:lineRule="auto"/>
            </w:pPr>
            <w:r>
              <w:rPr>
                <w:sz w:val="18"/>
                <w:szCs w:val="18"/>
              </w:rPr>
              <w:t>–</w:t>
            </w:r>
          </w:p>
        </w:tc>
        <w:tc>
          <w:tcPr>
            <w:tcW w:w="326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31658FC" w14:textId="77777777" w:rsidR="00A0482C" w:rsidRDefault="00000000">
            <w:pPr>
              <w:spacing w:line="228" w:lineRule="auto"/>
            </w:pPr>
            <w:r>
              <w:rPr>
                <w:sz w:val="18"/>
                <w:szCs w:val="18"/>
              </w:rPr>
              <w:t>B &lt; 0.01K; B &gt; 1.1K; catch &gt; 90% of biomass</w:t>
            </w:r>
          </w:p>
        </w:tc>
        <w:tc>
          <w:tcPr>
            <w:tcW w:w="357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B60788A" w14:textId="77777777" w:rsidR="00A0482C" w:rsidRDefault="00000000">
            <w:pPr>
              <w:spacing w:line="228" w:lineRule="auto"/>
            </w:pPr>
            <w:r>
              <w:rPr>
                <w:sz w:val="18"/>
                <w:szCs w:val="18"/>
              </w:rPr>
              <w:t>Remove infeasible trajectories</w:t>
            </w:r>
          </w:p>
        </w:tc>
      </w:tr>
      <w:tr w:rsidR="00A0482C" w14:paraId="47E1D330" w14:textId="77777777">
        <w:tblPrEx>
          <w:tblCellMar>
            <w:top w:w="0" w:type="dxa"/>
            <w:bottom w:w="0" w:type="dxa"/>
          </w:tblCellMar>
        </w:tblPrEx>
        <w:trPr>
          <w:cantSplit/>
        </w:trPr>
        <w:tc>
          <w:tcPr>
            <w:tcW w:w="1633"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14:paraId="3EEBAEB3" w14:textId="77777777" w:rsidR="00A0482C" w:rsidRDefault="00000000">
            <w:pPr>
              <w:spacing w:line="228" w:lineRule="auto"/>
            </w:pPr>
            <w:r>
              <w:rPr>
                <w:sz w:val="18"/>
                <w:szCs w:val="18"/>
              </w:rPr>
              <w:t>MCMC (JAGS)</w:t>
            </w:r>
          </w:p>
        </w:tc>
        <w:tc>
          <w:tcPr>
            <w:tcW w:w="1735"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14:paraId="7299E077" w14:textId="77777777" w:rsidR="00A0482C" w:rsidRDefault="00000000">
            <w:pPr>
              <w:spacing w:line="228" w:lineRule="auto"/>
            </w:pPr>
            <w:r>
              <w:rPr>
                <w:sz w:val="18"/>
                <w:szCs w:val="18"/>
              </w:rPr>
              <w:t>–</w:t>
            </w:r>
          </w:p>
        </w:tc>
        <w:tc>
          <w:tcPr>
            <w:tcW w:w="3266"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14:paraId="14453476" w14:textId="77777777" w:rsidR="00A0482C" w:rsidRDefault="00000000">
            <w:pPr>
              <w:spacing w:line="228" w:lineRule="auto"/>
            </w:pPr>
            <w:r>
              <w:rPr>
                <w:sz w:val="18"/>
                <w:szCs w:val="18"/>
              </w:rPr>
              <w:t>2 chains × 60,000 iterations; burn-in 30,000; thinning 10; 6,000 samples</w:t>
            </w:r>
          </w:p>
        </w:tc>
        <w:tc>
          <w:tcPr>
            <w:tcW w:w="3572"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14:paraId="3DFA56D4" w14:textId="77777777" w:rsidR="00A0482C" w:rsidRDefault="00000000">
            <w:pPr>
              <w:spacing w:line="228" w:lineRule="auto"/>
            </w:pPr>
            <w:r>
              <w:rPr>
                <w:sz w:val="18"/>
                <w:szCs w:val="18"/>
              </w:rPr>
              <w:t xml:space="preserve">16 scenarios (4 hypotheses × 4 </w:t>
            </w:r>
            <w:r>
              <w:rPr>
                <w:i/>
                <w:iCs/>
                <w:sz w:val="18"/>
                <w:szCs w:val="18"/>
              </w:rPr>
              <w:t>r</w:t>
            </w:r>
            <w:r>
              <w:rPr>
                <w:sz w:val="18"/>
                <w:szCs w:val="18"/>
              </w:rPr>
              <w:t xml:space="preserve"> priors)</w:t>
            </w:r>
          </w:p>
        </w:tc>
      </w:tr>
    </w:tbl>
    <w:p w14:paraId="3D6FBFEA" w14:textId="77777777" w:rsidR="00A0482C" w:rsidRDefault="00A0482C">
      <w:pPr>
        <w:spacing w:after="60"/>
      </w:pPr>
    </w:p>
    <w:p w14:paraId="032247EE" w14:textId="77777777" w:rsidR="00A0482C" w:rsidRDefault="00000000">
      <w:pPr>
        <w:spacing w:after="80" w:line="252" w:lineRule="auto"/>
        <w:ind w:firstLine="340"/>
        <w:jc w:val="both"/>
      </w:pPr>
      <w:r>
        <w:t xml:space="preserve">Two diagnostics measured how much of each result comes from the data rather than from the priors. The viability rate (VR) is the proportion of 6,000 trajectories, projected from the priors of </w:t>
      </w:r>
      <w:r>
        <w:rPr>
          <w:i/>
          <w:iCs/>
        </w:rPr>
        <w:t>r</w:t>
      </w:r>
      <w:r>
        <w:t xml:space="preserve">, K and initial B/K with process error (standard deviation of 0.15 on the log scale), that end within the final B/K interval of the hypothesis; a low VR means that the hypothesis requires a very specific combination of parameters. The uncertainty reduction, </w:t>
      </w:r>
      <m:oMath>
        <m:r>
          <m:rPr>
            <m:sty m:val="p"/>
          </m:rPr>
          <w:rPr>
            <w:rFonts w:ascii="Cambria Math" w:hAnsi="Cambria Math"/>
          </w:rPr>
          <m:t>RU</m:t>
        </m:r>
        <m:r>
          <w:rPr>
            <w:rFonts w:ascii="Cambria Math" w:hAnsi="Cambria Math"/>
          </w:rPr>
          <m:t>=1-</m:t>
        </m:r>
        <m:sSub>
          <m:sSubPr>
            <m:ctrlPr>
              <w:rPr>
                <w:rFonts w:ascii="Cambria Math" w:hAnsi="Cambria Math"/>
              </w:rPr>
            </m:ctrlPr>
          </m:sSubPr>
          <m:e>
            <m:r>
              <m:rPr>
                <m:sty m:val="p"/>
              </m:rPr>
              <w:rPr>
                <w:rFonts w:ascii="Cambria Math" w:hAnsi="Cambria Math"/>
              </w:rPr>
              <m:t>SD</m:t>
            </m:r>
          </m:e>
          <m:sub>
            <m:r>
              <m:rPr>
                <m:sty m:val="p"/>
              </m:rPr>
              <w:rPr>
                <w:rFonts w:ascii="Cambria Math" w:hAnsi="Cambria Math"/>
              </w:rPr>
              <m:t>post</m:t>
            </m:r>
          </m:sub>
        </m:sSub>
        <m:r>
          <w:rPr>
            <w:rFonts w:ascii="Cambria Math" w:hAnsi="Cambria Math"/>
          </w:rPr>
          <m:t>/</m:t>
        </m:r>
        <m:sSub>
          <m:sSubPr>
            <m:ctrlPr>
              <w:rPr>
                <w:rFonts w:ascii="Cambria Math" w:hAnsi="Cambria Math"/>
              </w:rPr>
            </m:ctrlPr>
          </m:sSubPr>
          <m:e>
            <m:r>
              <m:rPr>
                <m:sty m:val="p"/>
              </m:rPr>
              <w:rPr>
                <w:rFonts w:ascii="Cambria Math" w:hAnsi="Cambria Math"/>
              </w:rPr>
              <m:t>SD</m:t>
            </m:r>
          </m:e>
          <m:sub>
            <m:r>
              <m:rPr>
                <m:sty m:val="p"/>
              </m:rPr>
              <w:rPr>
                <w:rFonts w:ascii="Cambria Math" w:hAnsi="Cambria Math"/>
              </w:rPr>
              <m:t>prior</m:t>
            </m:r>
          </m:sub>
        </m:sSub>
      </m:oMath>
      <w:r>
        <w:t xml:space="preserve">, where SD is the standard deviation of each distribution, was computed for log </w:t>
      </w:r>
      <w:r>
        <w:rPr>
          <w:i/>
          <w:iCs/>
        </w:rPr>
        <w:t>r</w:t>
      </w:r>
      <w:r>
        <w:t xml:space="preserve"> and final B/K; values close to zero indicate that the data added no information. The model provides posteriors of </w:t>
      </w:r>
      <w:r>
        <w:rPr>
          <w:i/>
          <w:iCs/>
        </w:rPr>
        <w:t>r</w:t>
      </w:r>
      <w:r>
        <w:t>, K, MSY, B</w:t>
      </w:r>
      <w:r>
        <w:rPr>
          <w:vertAlign w:val="subscript"/>
        </w:rPr>
        <w:t>MSY</w:t>
      </w:r>
      <w:r>
        <w:t xml:space="preserve"> and F</w:t>
      </w:r>
      <w:r>
        <w:rPr>
          <w:vertAlign w:val="subscript"/>
        </w:rPr>
        <w:t>MSY</w:t>
      </w:r>
      <w:r>
        <w:t xml:space="preserve"> and annual B/B</w:t>
      </w:r>
      <w:r>
        <w:rPr>
          <w:vertAlign w:val="subscript"/>
        </w:rPr>
        <w:t>MSY</w:t>
      </w:r>
      <w:r>
        <w:t xml:space="preserve"> and F/F</w:t>
      </w:r>
      <w:r>
        <w:rPr>
          <w:vertAlign w:val="subscript"/>
        </w:rPr>
        <w:t>MSY</w:t>
      </w:r>
      <w:r>
        <w:t xml:space="preserve"> (with the reference F</w:t>
      </w:r>
      <w:r>
        <w:rPr>
          <w:vertAlign w:val="subscript"/>
        </w:rPr>
        <w:t>MSY</w:t>
      </w:r>
      <w:r>
        <w:t xml:space="preserve"> reduced linearly below 0.5B</w:t>
      </w:r>
      <w:r>
        <w:rPr>
          <w:vertAlign w:val="subscript"/>
        </w:rPr>
        <w:t>MSY</w:t>
      </w:r>
      <w:r>
        <w:t xml:space="preserve">, a rule of the method). As for DB-SRA, scenarios were pooled into joint distributions, and the sensitivity of MSY was measured relative to the target-switch scenario with the demographic </w:t>
      </w:r>
      <w:r>
        <w:rPr>
          <w:i/>
          <w:iCs/>
        </w:rPr>
        <w:t>r</w:t>
      </w:r>
      <w:r>
        <w:t xml:space="preserve"> prior.</w:t>
      </w:r>
    </w:p>
    <w:p w14:paraId="552E39B8" w14:textId="77777777" w:rsidR="00A0482C" w:rsidRDefault="00000000">
      <w:pPr>
        <w:pStyle w:val="Ttulo2"/>
        <w:keepNext/>
        <w:spacing w:before="160" w:after="80"/>
      </w:pPr>
      <w:r>
        <w:t>2.5 CPUE standardization</w:t>
      </w:r>
    </w:p>
    <w:p w14:paraId="696933E4" w14:textId="77777777" w:rsidR="00A0482C" w:rsidRDefault="00000000">
      <w:pPr>
        <w:spacing w:after="80" w:line="252" w:lineRule="auto"/>
        <w:ind w:firstLine="340"/>
        <w:jc w:val="both"/>
      </w:pPr>
      <w:r>
        <w:t xml:space="preserve">Nominal purse-seine CPUE cannot be taken directly as an index of mackerel scad abundance. The recorded effort is that of a multispecies fleet that directs many trips to other species (mainly </w:t>
      </w:r>
      <w:proofErr w:type="spellStart"/>
      <w:r>
        <w:rPr>
          <w:i/>
          <w:iCs/>
        </w:rPr>
        <w:t>Auxis</w:t>
      </w:r>
      <w:proofErr w:type="spellEnd"/>
      <w:r>
        <w:t xml:space="preserve"> spp. and </w:t>
      </w:r>
      <w:r>
        <w:rPr>
          <w:i/>
          <w:iCs/>
        </w:rPr>
        <w:t>K. pelamis</w:t>
      </w:r>
      <w:r>
        <w:t>); most trips do not land mackerel scad; and the mix of fishing tactics, the number of active vessels and the distribution of trips among islands and quarters change between years. Each of these factors alters CPUE without any change in abundance (Maunder and Punt, 2004). Standardization fits a statistical model to the catch of each trip, including as covariates the factors that affect catch without being related to abundance (where, when, by which vessel and with what intention fishing took place), and uses the year effect as the index (Maunder and Punt, 2004; Hoyle et al., 2024). Because these covariates exist only in trip records, standardization was restricted to 2015–2025.</w:t>
      </w:r>
    </w:p>
    <w:p w14:paraId="03F89FD4" w14:textId="77777777" w:rsidR="00A0482C" w:rsidRDefault="00000000">
      <w:pPr>
        <w:spacing w:after="80" w:line="252" w:lineRule="auto"/>
        <w:ind w:firstLine="340"/>
        <w:jc w:val="both"/>
      </w:pPr>
      <w:r>
        <w:rPr>
          <w:i/>
          <w:iCs/>
        </w:rPr>
        <w:t>Data processing.</w:t>
      </w:r>
      <w:r>
        <w:t xml:space="preserve"> The three files of trip records (Section 2.3.2) were harmonized into a common format, and vessels were identified by registration code rather than by name, because the same name was used by different vessels. The year 2018 was excluded, because its file lacks crew size and vessel codes and its CPUE and catch composition depart strongly from </w:t>
      </w:r>
      <w:proofErr w:type="spellStart"/>
      <w:r>
        <w:t>neighbouring</w:t>
      </w:r>
      <w:proofErr w:type="spellEnd"/>
      <w:r>
        <w:t xml:space="preserve"> years. Only purse-seine trips were retained, excluding trips that reported more than one gear, and records (one per species) were reshaped to one row per trip. Four filters were applied: (</w:t>
      </w:r>
      <w:proofErr w:type="spellStart"/>
      <w:r>
        <w:t>i</w:t>
      </w:r>
      <w:proofErr w:type="spellEnd"/>
      <w:r>
        <w:t>) valid, positive effort; (ii) some catch recorded, so that composition is known; (iii) vessels with at least 10 trips; and (iv) year–island combinations with at least 3 trips. Trips without mackerel scad were kept, because they inform on the presence of the species and on fleet targeting. Effort was measured as days at sea, a complete field consistent with departure and arrival dates; fishing hours, inconsistent in part of the trips, were tested only as an alternative. Fishing depth (missing non-randomly in 28% of trips), vessel category (an administrative code used almost only in 2019) and landing island (whose coverage changes over time and is confounded with year) were discarded.</w:t>
      </w:r>
    </w:p>
    <w:p w14:paraId="74182E00" w14:textId="77777777" w:rsidR="00A0482C" w:rsidRDefault="00000000">
      <w:pPr>
        <w:spacing w:after="80" w:line="252" w:lineRule="auto"/>
        <w:ind w:firstLine="340"/>
        <w:jc w:val="both"/>
      </w:pPr>
      <w:r>
        <w:rPr>
          <w:i/>
          <w:iCs/>
        </w:rPr>
        <w:t>Explanatory variables.</w:t>
      </w:r>
      <w:r>
        <w:t xml:space="preserve"> The covariates and what each </w:t>
      </w:r>
      <w:proofErr w:type="gramStart"/>
      <w:r>
        <w:t>accounts</w:t>
      </w:r>
      <w:proofErr w:type="gramEnd"/>
      <w:r>
        <w:t xml:space="preserve"> for are listed in Table 6. The spatial variable was the island of the fishing ground: each ground was assigned, once for the whole series, to the landing island most frequent among the trips that fished there, so that the label is a fixed property of the ground and does not depend on the port chosen on each trip. Factors with few levels, well represented in all years, entered as fixed effects. Vessel and fishing ground entered as random effects, which describe the variation among levels with a single variance parameter and shrink poorly sampled levels towards the mean; grounds with fewer than 10 trips were pooled.</w:t>
      </w:r>
    </w:p>
    <w:p w14:paraId="5EA9B9B9" w14:textId="77777777" w:rsidR="00A0482C" w:rsidRDefault="00000000">
      <w:pPr>
        <w:keepNext/>
        <w:spacing w:before="120" w:after="60"/>
        <w:jc w:val="both"/>
      </w:pPr>
      <w:r>
        <w:rPr>
          <w:b/>
          <w:bCs/>
          <w:sz w:val="19"/>
          <w:szCs w:val="19"/>
        </w:rPr>
        <w:t xml:space="preserve">Table 6. </w:t>
      </w:r>
      <w:r>
        <w:rPr>
          <w:sz w:val="19"/>
          <w:szCs w:val="19"/>
        </w:rPr>
        <w:t>Variables of the CPUE standardization model (purse-seine fleet, 2015–2025).</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5"/>
        <w:gridCol w:w="1123"/>
        <w:gridCol w:w="2756"/>
        <w:gridCol w:w="4082"/>
      </w:tblGrid>
      <w:tr w:rsidR="00A0482C" w14:paraId="05A7CA7D" w14:textId="77777777">
        <w:tblPrEx>
          <w:tblCellMar>
            <w:top w:w="0" w:type="dxa"/>
            <w:bottom w:w="0" w:type="dxa"/>
          </w:tblCellMar>
        </w:tblPrEx>
        <w:trPr>
          <w:tblHeader/>
        </w:trPr>
        <w:tc>
          <w:tcPr>
            <w:tcW w:w="2245"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14:paraId="3046D4A3" w14:textId="77777777" w:rsidR="00A0482C" w:rsidRDefault="00000000">
            <w:pPr>
              <w:spacing w:line="228" w:lineRule="auto"/>
            </w:pPr>
            <w:r>
              <w:rPr>
                <w:b/>
                <w:bCs/>
                <w:sz w:val="18"/>
                <w:szCs w:val="18"/>
              </w:rPr>
              <w:t>Variable</w:t>
            </w:r>
          </w:p>
        </w:tc>
        <w:tc>
          <w:tcPr>
            <w:tcW w:w="1123"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14:paraId="2858304E" w14:textId="77777777" w:rsidR="00A0482C" w:rsidRDefault="00000000">
            <w:pPr>
              <w:spacing w:line="228" w:lineRule="auto"/>
            </w:pPr>
            <w:r>
              <w:rPr>
                <w:b/>
                <w:bCs/>
                <w:sz w:val="18"/>
                <w:szCs w:val="18"/>
              </w:rPr>
              <w:t>Type</w:t>
            </w:r>
          </w:p>
        </w:tc>
        <w:tc>
          <w:tcPr>
            <w:tcW w:w="2756"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14:paraId="5A41F7ED" w14:textId="77777777" w:rsidR="00A0482C" w:rsidRDefault="00000000">
            <w:pPr>
              <w:spacing w:line="228" w:lineRule="auto"/>
            </w:pPr>
            <w:r>
              <w:rPr>
                <w:b/>
                <w:bCs/>
                <w:sz w:val="18"/>
                <w:szCs w:val="18"/>
              </w:rPr>
              <w:t>Levels</w:t>
            </w:r>
          </w:p>
        </w:tc>
        <w:tc>
          <w:tcPr>
            <w:tcW w:w="4082"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14:paraId="2FD125E7" w14:textId="77777777" w:rsidR="00A0482C" w:rsidRDefault="00000000">
            <w:pPr>
              <w:spacing w:line="228" w:lineRule="auto"/>
            </w:pPr>
            <w:r>
              <w:rPr>
                <w:b/>
                <w:bCs/>
                <w:sz w:val="18"/>
                <w:szCs w:val="18"/>
              </w:rPr>
              <w:t>What it accounts for</w:t>
            </w:r>
          </w:p>
        </w:tc>
      </w:tr>
      <w:tr w:rsidR="00A0482C" w14:paraId="1D375268" w14:textId="77777777">
        <w:tblPrEx>
          <w:tblCellMar>
            <w:top w:w="0" w:type="dxa"/>
            <w:bottom w:w="0" w:type="dxa"/>
          </w:tblCellMar>
        </w:tblPrEx>
        <w:trPr>
          <w:cantSplit/>
        </w:trPr>
        <w:tc>
          <w:tcPr>
            <w:tcW w:w="224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10FE066" w14:textId="77777777" w:rsidR="00A0482C" w:rsidRDefault="00000000">
            <w:pPr>
              <w:spacing w:line="228" w:lineRule="auto"/>
            </w:pPr>
            <w:r>
              <w:rPr>
                <w:sz w:val="18"/>
                <w:szCs w:val="18"/>
              </w:rPr>
              <w:t>Year</w:t>
            </w:r>
          </w:p>
        </w:tc>
        <w:tc>
          <w:tcPr>
            <w:tcW w:w="112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9206B5E" w14:textId="77777777" w:rsidR="00A0482C" w:rsidRDefault="00000000">
            <w:pPr>
              <w:spacing w:line="228" w:lineRule="auto"/>
            </w:pPr>
            <w:r>
              <w:rPr>
                <w:sz w:val="18"/>
                <w:szCs w:val="18"/>
              </w:rPr>
              <w:t>Fixed</w:t>
            </w:r>
          </w:p>
        </w:tc>
        <w:tc>
          <w:tcPr>
            <w:tcW w:w="275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BC3C578" w14:textId="77777777" w:rsidR="00A0482C" w:rsidRDefault="00000000">
            <w:pPr>
              <w:spacing w:line="228" w:lineRule="auto"/>
            </w:pPr>
            <w:r>
              <w:rPr>
                <w:sz w:val="18"/>
                <w:szCs w:val="18"/>
              </w:rPr>
              <w:t>10 (2015–2017, 2019–2025)</w:t>
            </w:r>
          </w:p>
        </w:tc>
        <w:tc>
          <w:tcPr>
            <w:tcW w:w="40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07B8203" w14:textId="77777777" w:rsidR="00A0482C" w:rsidRDefault="00000000">
            <w:pPr>
              <w:spacing w:line="228" w:lineRule="auto"/>
            </w:pPr>
            <w:r>
              <w:rPr>
                <w:sz w:val="18"/>
                <w:szCs w:val="18"/>
              </w:rPr>
              <w:t>Variation in abundance over time: the index</w:t>
            </w:r>
          </w:p>
        </w:tc>
      </w:tr>
      <w:tr w:rsidR="00A0482C" w14:paraId="05FEBE00" w14:textId="77777777">
        <w:tblPrEx>
          <w:tblCellMar>
            <w:top w:w="0" w:type="dxa"/>
            <w:bottom w:w="0" w:type="dxa"/>
          </w:tblCellMar>
        </w:tblPrEx>
        <w:trPr>
          <w:cantSplit/>
        </w:trPr>
        <w:tc>
          <w:tcPr>
            <w:tcW w:w="224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E6124CA" w14:textId="77777777" w:rsidR="00A0482C" w:rsidRDefault="00000000">
            <w:pPr>
              <w:spacing w:line="228" w:lineRule="auto"/>
            </w:pPr>
            <w:r>
              <w:rPr>
                <w:sz w:val="18"/>
                <w:szCs w:val="18"/>
              </w:rPr>
              <w:t>Island of the fishing ground</w:t>
            </w:r>
          </w:p>
        </w:tc>
        <w:tc>
          <w:tcPr>
            <w:tcW w:w="112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FCD49E4" w14:textId="77777777" w:rsidR="00A0482C" w:rsidRDefault="00000000">
            <w:pPr>
              <w:spacing w:line="228" w:lineRule="auto"/>
            </w:pPr>
            <w:r>
              <w:rPr>
                <w:sz w:val="18"/>
                <w:szCs w:val="18"/>
              </w:rPr>
              <w:t>Fixed</w:t>
            </w:r>
          </w:p>
        </w:tc>
        <w:tc>
          <w:tcPr>
            <w:tcW w:w="275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1986C4C" w14:textId="77777777" w:rsidR="00A0482C" w:rsidRDefault="00000000">
            <w:pPr>
              <w:spacing w:line="228" w:lineRule="auto"/>
            </w:pPr>
            <w:r>
              <w:rPr>
                <w:sz w:val="18"/>
                <w:szCs w:val="18"/>
              </w:rPr>
              <w:t>5 islands</w:t>
            </w:r>
          </w:p>
        </w:tc>
        <w:tc>
          <w:tcPr>
            <w:tcW w:w="40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F7F697C" w14:textId="77777777" w:rsidR="00A0482C" w:rsidRDefault="00000000">
            <w:pPr>
              <w:spacing w:line="228" w:lineRule="auto"/>
            </w:pPr>
            <w:r>
              <w:rPr>
                <w:sz w:val="18"/>
                <w:szCs w:val="18"/>
              </w:rPr>
              <w:t>Differences in density among areas of the archipelago</w:t>
            </w:r>
          </w:p>
        </w:tc>
      </w:tr>
      <w:tr w:rsidR="00A0482C" w14:paraId="7D0F4AF1" w14:textId="77777777">
        <w:tblPrEx>
          <w:tblCellMar>
            <w:top w:w="0" w:type="dxa"/>
            <w:bottom w:w="0" w:type="dxa"/>
          </w:tblCellMar>
        </w:tblPrEx>
        <w:trPr>
          <w:cantSplit/>
        </w:trPr>
        <w:tc>
          <w:tcPr>
            <w:tcW w:w="224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8CBB488" w14:textId="77777777" w:rsidR="00A0482C" w:rsidRDefault="00000000">
            <w:pPr>
              <w:spacing w:line="228" w:lineRule="auto"/>
            </w:pPr>
            <w:r>
              <w:rPr>
                <w:sz w:val="18"/>
                <w:szCs w:val="18"/>
              </w:rPr>
              <w:t>Quarter</w:t>
            </w:r>
          </w:p>
        </w:tc>
        <w:tc>
          <w:tcPr>
            <w:tcW w:w="112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9D99787" w14:textId="77777777" w:rsidR="00A0482C" w:rsidRDefault="00000000">
            <w:pPr>
              <w:spacing w:line="228" w:lineRule="auto"/>
            </w:pPr>
            <w:r>
              <w:rPr>
                <w:sz w:val="18"/>
                <w:szCs w:val="18"/>
              </w:rPr>
              <w:t>Fixed</w:t>
            </w:r>
          </w:p>
        </w:tc>
        <w:tc>
          <w:tcPr>
            <w:tcW w:w="275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B96F2E2" w14:textId="77777777" w:rsidR="00A0482C" w:rsidRDefault="00000000">
            <w:pPr>
              <w:spacing w:line="228" w:lineRule="auto"/>
            </w:pPr>
            <w:r>
              <w:rPr>
                <w:sz w:val="18"/>
                <w:szCs w:val="18"/>
              </w:rPr>
              <w:t>4</w:t>
            </w:r>
          </w:p>
        </w:tc>
        <w:tc>
          <w:tcPr>
            <w:tcW w:w="40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8F07D9A" w14:textId="77777777" w:rsidR="00A0482C" w:rsidRDefault="00000000">
            <w:pPr>
              <w:spacing w:line="228" w:lineRule="auto"/>
            </w:pPr>
            <w:r>
              <w:rPr>
                <w:sz w:val="18"/>
                <w:szCs w:val="18"/>
              </w:rPr>
              <w:t>Seasonal availability of the species</w:t>
            </w:r>
          </w:p>
        </w:tc>
      </w:tr>
      <w:tr w:rsidR="00A0482C" w14:paraId="3ED15D9C" w14:textId="77777777">
        <w:tblPrEx>
          <w:tblCellMar>
            <w:top w:w="0" w:type="dxa"/>
            <w:bottom w:w="0" w:type="dxa"/>
          </w:tblCellMar>
        </w:tblPrEx>
        <w:trPr>
          <w:cantSplit/>
        </w:trPr>
        <w:tc>
          <w:tcPr>
            <w:tcW w:w="224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EBB0320" w14:textId="77777777" w:rsidR="00A0482C" w:rsidRDefault="00000000">
            <w:pPr>
              <w:spacing w:line="228" w:lineRule="auto"/>
            </w:pPr>
            <w:r>
              <w:rPr>
                <w:sz w:val="18"/>
                <w:szCs w:val="18"/>
              </w:rPr>
              <w:t>Crew size class</w:t>
            </w:r>
          </w:p>
        </w:tc>
        <w:tc>
          <w:tcPr>
            <w:tcW w:w="112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773BAF6" w14:textId="77777777" w:rsidR="00A0482C" w:rsidRDefault="00000000">
            <w:pPr>
              <w:spacing w:line="228" w:lineRule="auto"/>
            </w:pPr>
            <w:r>
              <w:rPr>
                <w:sz w:val="18"/>
                <w:szCs w:val="18"/>
              </w:rPr>
              <w:t>Fixed</w:t>
            </w:r>
          </w:p>
        </w:tc>
        <w:tc>
          <w:tcPr>
            <w:tcW w:w="275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DD8757E" w14:textId="77777777" w:rsidR="00A0482C" w:rsidRDefault="00000000">
            <w:pPr>
              <w:spacing w:line="228" w:lineRule="auto"/>
            </w:pPr>
            <w:r>
              <w:rPr>
                <w:sz w:val="18"/>
                <w:szCs w:val="18"/>
              </w:rPr>
              <w:t>≤12, 13–15, 16–17, ≥18 fishers</w:t>
            </w:r>
          </w:p>
        </w:tc>
        <w:tc>
          <w:tcPr>
            <w:tcW w:w="40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4201BA4" w14:textId="77777777" w:rsidR="00A0482C" w:rsidRDefault="00000000">
            <w:pPr>
              <w:spacing w:line="228" w:lineRule="auto"/>
            </w:pPr>
            <w:r>
              <w:rPr>
                <w:sz w:val="18"/>
                <w:szCs w:val="18"/>
              </w:rPr>
              <w:t>Fishing power related to vessel size, without assuming a linear relationship</w:t>
            </w:r>
          </w:p>
        </w:tc>
      </w:tr>
      <w:tr w:rsidR="00A0482C" w14:paraId="33D87BC4" w14:textId="77777777">
        <w:tblPrEx>
          <w:tblCellMar>
            <w:top w:w="0" w:type="dxa"/>
            <w:bottom w:w="0" w:type="dxa"/>
          </w:tblCellMar>
        </w:tblPrEx>
        <w:trPr>
          <w:cantSplit/>
        </w:trPr>
        <w:tc>
          <w:tcPr>
            <w:tcW w:w="224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1010D41" w14:textId="77777777" w:rsidR="00A0482C" w:rsidRDefault="00000000">
            <w:pPr>
              <w:spacing w:line="228" w:lineRule="auto"/>
            </w:pPr>
            <w:r>
              <w:rPr>
                <w:sz w:val="18"/>
                <w:szCs w:val="18"/>
              </w:rPr>
              <w:lastRenderedPageBreak/>
              <w:t>Fishing tactic</w:t>
            </w:r>
          </w:p>
        </w:tc>
        <w:tc>
          <w:tcPr>
            <w:tcW w:w="112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0663974" w14:textId="77777777" w:rsidR="00A0482C" w:rsidRDefault="00000000">
            <w:pPr>
              <w:spacing w:line="228" w:lineRule="auto"/>
            </w:pPr>
            <w:r>
              <w:rPr>
                <w:sz w:val="18"/>
                <w:szCs w:val="18"/>
              </w:rPr>
              <w:t>Fixed</w:t>
            </w:r>
          </w:p>
        </w:tc>
        <w:tc>
          <w:tcPr>
            <w:tcW w:w="275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CB6CB85" w14:textId="77777777" w:rsidR="00A0482C" w:rsidRDefault="00000000">
            <w:pPr>
              <w:spacing w:line="228" w:lineRule="auto"/>
            </w:pPr>
            <w:r>
              <w:rPr>
                <w:i/>
                <w:iCs/>
                <w:sz w:val="18"/>
                <w:szCs w:val="18"/>
              </w:rPr>
              <w:t>k</w:t>
            </w:r>
            <w:r>
              <w:rPr>
                <w:sz w:val="18"/>
                <w:szCs w:val="18"/>
              </w:rPr>
              <w:t>-means clusters</w:t>
            </w:r>
          </w:p>
        </w:tc>
        <w:tc>
          <w:tcPr>
            <w:tcW w:w="40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BAA6B05" w14:textId="77777777" w:rsidR="00A0482C" w:rsidRDefault="00000000">
            <w:pPr>
              <w:spacing w:line="228" w:lineRule="auto"/>
            </w:pPr>
            <w:r>
              <w:rPr>
                <w:sz w:val="18"/>
                <w:szCs w:val="18"/>
              </w:rPr>
              <w:t>Trip targeting: separates trips searching for mackerel scad from those directed at other species</w:t>
            </w:r>
          </w:p>
        </w:tc>
      </w:tr>
      <w:tr w:rsidR="00A0482C" w14:paraId="3F734CD7" w14:textId="77777777">
        <w:tblPrEx>
          <w:tblCellMar>
            <w:top w:w="0" w:type="dxa"/>
            <w:bottom w:w="0" w:type="dxa"/>
          </w:tblCellMar>
        </w:tblPrEx>
        <w:trPr>
          <w:cantSplit/>
        </w:trPr>
        <w:tc>
          <w:tcPr>
            <w:tcW w:w="224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310E160" w14:textId="77777777" w:rsidR="00A0482C" w:rsidRDefault="00000000">
            <w:pPr>
              <w:spacing w:line="228" w:lineRule="auto"/>
            </w:pPr>
            <w:r>
              <w:rPr>
                <w:sz w:val="18"/>
                <w:szCs w:val="18"/>
              </w:rPr>
              <w:t>Vessel</w:t>
            </w:r>
          </w:p>
        </w:tc>
        <w:tc>
          <w:tcPr>
            <w:tcW w:w="112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9A2EB2E" w14:textId="77777777" w:rsidR="00A0482C" w:rsidRDefault="00000000">
            <w:pPr>
              <w:spacing w:line="228" w:lineRule="auto"/>
            </w:pPr>
            <w:r>
              <w:rPr>
                <w:sz w:val="18"/>
                <w:szCs w:val="18"/>
              </w:rPr>
              <w:t>Random</w:t>
            </w:r>
          </w:p>
        </w:tc>
        <w:tc>
          <w:tcPr>
            <w:tcW w:w="275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A250C3E" w14:textId="77777777" w:rsidR="00A0482C" w:rsidRDefault="00000000">
            <w:pPr>
              <w:spacing w:line="228" w:lineRule="auto"/>
            </w:pPr>
            <w:r>
              <w:rPr>
                <w:sz w:val="18"/>
                <w:szCs w:val="18"/>
              </w:rPr>
              <w:t>Registration code</w:t>
            </w:r>
          </w:p>
        </w:tc>
        <w:tc>
          <w:tcPr>
            <w:tcW w:w="40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A5379C6" w14:textId="77777777" w:rsidR="00A0482C" w:rsidRDefault="00000000">
            <w:pPr>
              <w:spacing w:line="228" w:lineRule="auto"/>
            </w:pPr>
            <w:r>
              <w:rPr>
                <w:sz w:val="18"/>
                <w:szCs w:val="18"/>
              </w:rPr>
              <w:t>Differences in efficiency among vessels and changes in fleet composition</w:t>
            </w:r>
          </w:p>
        </w:tc>
      </w:tr>
      <w:tr w:rsidR="00A0482C" w14:paraId="037513BD" w14:textId="77777777">
        <w:tblPrEx>
          <w:tblCellMar>
            <w:top w:w="0" w:type="dxa"/>
            <w:bottom w:w="0" w:type="dxa"/>
          </w:tblCellMar>
        </w:tblPrEx>
        <w:trPr>
          <w:cantSplit/>
        </w:trPr>
        <w:tc>
          <w:tcPr>
            <w:tcW w:w="224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5579884" w14:textId="77777777" w:rsidR="00A0482C" w:rsidRDefault="00000000">
            <w:pPr>
              <w:spacing w:line="228" w:lineRule="auto"/>
            </w:pPr>
            <w:r>
              <w:rPr>
                <w:sz w:val="18"/>
                <w:szCs w:val="18"/>
              </w:rPr>
              <w:t>Fishing ground</w:t>
            </w:r>
          </w:p>
        </w:tc>
        <w:tc>
          <w:tcPr>
            <w:tcW w:w="112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C82D393" w14:textId="77777777" w:rsidR="00A0482C" w:rsidRDefault="00000000">
            <w:pPr>
              <w:spacing w:line="228" w:lineRule="auto"/>
            </w:pPr>
            <w:r>
              <w:rPr>
                <w:sz w:val="18"/>
                <w:szCs w:val="18"/>
              </w:rPr>
              <w:t>Random</w:t>
            </w:r>
          </w:p>
        </w:tc>
        <w:tc>
          <w:tcPr>
            <w:tcW w:w="275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1FB7D27" w14:textId="77777777" w:rsidR="00A0482C" w:rsidRDefault="00000000">
            <w:pPr>
              <w:spacing w:line="228" w:lineRule="auto"/>
            </w:pPr>
            <w:r>
              <w:rPr>
                <w:sz w:val="18"/>
                <w:szCs w:val="18"/>
              </w:rPr>
              <w:t>Grounds with ≥10 trips; others pooled</w:t>
            </w:r>
          </w:p>
        </w:tc>
        <w:tc>
          <w:tcPr>
            <w:tcW w:w="40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7FD1756" w14:textId="77777777" w:rsidR="00A0482C" w:rsidRDefault="00000000">
            <w:pPr>
              <w:spacing w:line="228" w:lineRule="auto"/>
            </w:pPr>
            <w:r>
              <w:rPr>
                <w:sz w:val="18"/>
                <w:szCs w:val="18"/>
              </w:rPr>
              <w:t>Fine-scale spatial variation within islands</w:t>
            </w:r>
          </w:p>
        </w:tc>
      </w:tr>
      <w:tr w:rsidR="00A0482C" w14:paraId="5A8D83F2" w14:textId="77777777">
        <w:tblPrEx>
          <w:tblCellMar>
            <w:top w:w="0" w:type="dxa"/>
            <w:bottom w:w="0" w:type="dxa"/>
          </w:tblCellMar>
        </w:tblPrEx>
        <w:trPr>
          <w:cantSplit/>
        </w:trPr>
        <w:tc>
          <w:tcPr>
            <w:tcW w:w="2245"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14:paraId="3D82F6CD" w14:textId="77777777" w:rsidR="00A0482C" w:rsidRDefault="00000000">
            <w:pPr>
              <w:spacing w:line="228" w:lineRule="auto"/>
            </w:pPr>
            <w:r>
              <w:rPr>
                <w:sz w:val="18"/>
                <w:szCs w:val="18"/>
              </w:rPr>
              <w:t>Days at sea</w:t>
            </w:r>
          </w:p>
        </w:tc>
        <w:tc>
          <w:tcPr>
            <w:tcW w:w="1123"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14:paraId="6442F8B4" w14:textId="77777777" w:rsidR="00A0482C" w:rsidRDefault="00000000">
            <w:pPr>
              <w:spacing w:line="228" w:lineRule="auto"/>
            </w:pPr>
            <w:r>
              <w:rPr>
                <w:sz w:val="18"/>
                <w:szCs w:val="18"/>
              </w:rPr>
              <w:t>Offset</w:t>
            </w:r>
          </w:p>
        </w:tc>
        <w:tc>
          <w:tcPr>
            <w:tcW w:w="2756"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14:paraId="784BF03F" w14:textId="77777777" w:rsidR="00A0482C" w:rsidRDefault="00000000">
            <w:pPr>
              <w:spacing w:line="228" w:lineRule="auto"/>
            </w:pPr>
            <w:r>
              <w:rPr>
                <w:sz w:val="18"/>
                <w:szCs w:val="18"/>
              </w:rPr>
              <w:t>log(days)</w:t>
            </w:r>
          </w:p>
        </w:tc>
        <w:tc>
          <w:tcPr>
            <w:tcW w:w="4082"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14:paraId="144C9F72" w14:textId="77777777" w:rsidR="00A0482C" w:rsidRDefault="00000000">
            <w:pPr>
              <w:spacing w:line="228" w:lineRule="auto"/>
            </w:pPr>
            <w:r>
              <w:rPr>
                <w:sz w:val="18"/>
                <w:szCs w:val="18"/>
              </w:rPr>
              <w:t>Trip effort; the model describes catch per day</w:t>
            </w:r>
          </w:p>
        </w:tc>
      </w:tr>
    </w:tbl>
    <w:p w14:paraId="020BC936" w14:textId="77777777" w:rsidR="00A0482C" w:rsidRDefault="00A0482C">
      <w:pPr>
        <w:spacing w:after="60"/>
      </w:pPr>
    </w:p>
    <w:p w14:paraId="1932DE7B" w14:textId="77777777" w:rsidR="00A0482C" w:rsidRDefault="00000000">
      <w:pPr>
        <w:spacing w:after="80" w:line="252" w:lineRule="auto"/>
        <w:ind w:firstLine="340"/>
        <w:jc w:val="both"/>
      </w:pPr>
      <w:r>
        <w:rPr>
          <w:i/>
          <w:iCs/>
        </w:rPr>
        <w:t>Fishing tactics.</w:t>
      </w:r>
      <w:r>
        <w:t xml:space="preserve"> The target species is not recorded, so catch composition was used as a proxy for targeting. Because many purse-seine trips land a single species, the composition of an isolated trip hardly distinguishes a directed tactic from an occasional encounter with a school; composition was therefore aggregated by vessel and month, expressed as proportions by weight and square-</w:t>
      </w:r>
      <w:proofErr w:type="spellStart"/>
      <w:r>
        <w:t>root</w:t>
      </w:r>
      <w:proofErr w:type="spellEnd"/>
      <w:r>
        <w:t xml:space="preserve"> transformed, so that less abundant species also contribute to similarity. A principal component analysis (PCA) of this matrix was used to build two alternative representations of tactic. In the discrete representation, vessel-months were clustered by </w:t>
      </w:r>
      <w:r>
        <w:rPr>
          <w:i/>
          <w:iCs/>
        </w:rPr>
        <w:t>k</w:t>
      </w:r>
      <w:r>
        <w:t>-means on the scores of the first three components, with the number of clusters (2–6) chosen by the average silhouette width (</w:t>
      </w:r>
      <w:proofErr w:type="spellStart"/>
      <w:r>
        <w:t>Rousseeuw</w:t>
      </w:r>
      <w:proofErr w:type="spellEnd"/>
      <w:r>
        <w:t>, 1987) and its stability checked with Ward's hierarchical clustering (Ward, 1963); each cluster was named after the dominant species in its centroid (He et al., 1997; Winker et al., 2013). In the continuous representation, the scores of the first components (up to about 70% of the variance) entered directly as covariates (Winker et al., 2014). Because the composition includes mackerel scad itself, both representations may carry part of the response, artificially improving fit and flattening the year effect. To test for this circularity, the PCA was repeated without mackerel scad and the models were compared on the same trips; the continuous representation would be preferred only if it kept its advantage after mackerel scad was removed.</w:t>
      </w:r>
    </w:p>
    <w:p w14:paraId="4F8DE190" w14:textId="77777777" w:rsidR="00A0482C" w:rsidRDefault="00000000">
      <w:pPr>
        <w:spacing w:after="80" w:line="252" w:lineRule="auto"/>
        <w:ind w:firstLine="340"/>
        <w:jc w:val="both"/>
      </w:pPr>
      <w:r>
        <w:rPr>
          <w:i/>
          <w:iCs/>
        </w:rPr>
        <w:t>Model structure and selection.</w:t>
      </w:r>
      <w:r>
        <w:t xml:space="preserve"> The response was the mackerel scad catch per trip (t), with </w:t>
      </w:r>
      <w:proofErr w:type="gramStart"/>
      <w:r>
        <w:t>log(</w:t>
      </w:r>
      <w:proofErr w:type="gramEnd"/>
      <w:r>
        <w:t xml:space="preserve">days at sea) as an offset, which retains zero catches and makes the model describe the catch rate per day. Models were fitted by maximum likelihood with </w:t>
      </w:r>
      <w:proofErr w:type="spellStart"/>
      <w:r>
        <w:t>glmmTMB</w:t>
      </w:r>
      <w:proofErr w:type="spellEnd"/>
      <w:r>
        <w:t xml:space="preserve"> (Brooks et al., 2017). Structures were built sequentially, each adding an alternative explanation to abundance: year only; </w:t>
      </w:r>
      <w:proofErr w:type="gramStart"/>
      <w:r>
        <w:t>plus</w:t>
      </w:r>
      <w:proofErr w:type="gramEnd"/>
      <w:r>
        <w:t xml:space="preserve"> island of the ground; </w:t>
      </w:r>
      <w:proofErr w:type="gramStart"/>
      <w:r>
        <w:t>plus</w:t>
      </w:r>
      <w:proofErr w:type="gramEnd"/>
      <w:r>
        <w:t xml:space="preserve"> quarter and crew size; </w:t>
      </w:r>
      <w:proofErr w:type="gramStart"/>
      <w:r>
        <w:t>plus</w:t>
      </w:r>
      <w:proofErr w:type="gramEnd"/>
      <w:r>
        <w:t xml:space="preserve"> tactic; </w:t>
      </w:r>
      <w:proofErr w:type="gramStart"/>
      <w:r>
        <w:t>plus</w:t>
      </w:r>
      <w:proofErr w:type="gramEnd"/>
      <w:r>
        <w:t xml:space="preserve"> a vessel random effect; </w:t>
      </w:r>
      <w:proofErr w:type="gramStart"/>
      <w:r>
        <w:t>plus</w:t>
      </w:r>
      <w:proofErr w:type="gramEnd"/>
      <w:r>
        <w:t xml:space="preserve"> a ground random effect. At this stage the Tweedie distribution was used and all structures were fitted to the same trips, so that AIC values were directly comparable; the effort measure of the offset (days or hours) was also chosen by AIC, and a final backward step would remove a term only if this reduced AIC by more than 2 units (Burnham and Anderson, 2002). Year was never subject to selection. Likelihood-ratio tests were avoided because, with thousands of trips, irrelevant effects become significant and adding covariates by this criterion tends to absorb part of the abundance signal (Hinton and Maunder, 2004).</w:t>
      </w:r>
    </w:p>
    <w:p w14:paraId="111329BB" w14:textId="77777777" w:rsidR="00A0482C" w:rsidRDefault="00000000">
      <w:pPr>
        <w:spacing w:after="80" w:line="252" w:lineRule="auto"/>
        <w:ind w:firstLine="340"/>
        <w:jc w:val="both"/>
      </w:pPr>
      <w:r>
        <w:t xml:space="preserve">Two distributions able to handle zero catches were then compared on the same structure and trips. The Tweedie (compound Poisson–gamma, with power parameter between 1 and 2 and log link) describes zeros and positive catches as a single process (Shono, 2008). The hurdle-gamma model separates the probability </w:t>
      </w:r>
      <w:r>
        <w:rPr>
          <w:i/>
          <w:iCs/>
        </w:rPr>
        <w:t>p</w:t>
      </w:r>
      <w:r>
        <w:t xml:space="preserve"> that a trip catches no mackerel scad, modelled as binomial with </w:t>
      </w:r>
      <m:oMath>
        <m:r>
          <m:rPr>
            <m:sty m:val="p"/>
          </m:rPr>
          <w:rPr>
            <w:rFonts w:ascii="Cambria Math" w:hAnsi="Cambria Math"/>
          </w:rPr>
          <m:t>logit</m:t>
        </m:r>
        <m:r>
          <w:rPr>
            <w:rFonts w:ascii="Cambria Math" w:hAnsi="Cambria Math"/>
          </w:rPr>
          <m:t>(</m:t>
        </m:r>
        <m:r>
          <w:rPr>
            <w:rFonts w:ascii="Cambria Math" w:hAnsi="Cambria Math"/>
            <w:lang w:val="pt-BR"/>
          </w:rPr>
          <m:t>p</m:t>
        </m:r>
        <m:r>
          <w:rPr>
            <w:rFonts w:ascii="Cambria Math" w:hAnsi="Cambria Math"/>
          </w:rPr>
          <m:t>)=</m:t>
        </m:r>
        <m:r>
          <m:rPr>
            <m:sty m:val="p"/>
          </m:rPr>
          <w:rPr>
            <w:rFonts w:ascii="Cambria Math" w:hAnsi="Cambria Math"/>
          </w:rPr>
          <m:t>year</m:t>
        </m:r>
        <m:r>
          <w:rPr>
            <w:rFonts w:ascii="Cambria Math" w:hAnsi="Cambria Math"/>
          </w:rPr>
          <m:t>+</m:t>
        </m:r>
        <m:r>
          <m:rPr>
            <m:sty m:val="p"/>
          </m:rPr>
          <w:rPr>
            <w:rFonts w:ascii="Cambria Math" w:hAnsi="Cambria Math"/>
          </w:rPr>
          <m:t>quarter</m:t>
        </m:r>
        <m:r>
          <w:rPr>
            <w:rFonts w:ascii="Cambria Math" w:hAnsi="Cambria Math"/>
          </w:rPr>
          <m:t>+</m:t>
        </m:r>
        <m:r>
          <m:rPr>
            <m:sty m:val="p"/>
          </m:rPr>
          <w:rPr>
            <w:rFonts w:ascii="Cambria Math" w:hAnsi="Cambria Math"/>
          </w:rPr>
          <m:t>tactic</m:t>
        </m:r>
      </m:oMath>
      <w:r>
        <w:t xml:space="preserve"> (the terms that describe the decision to search for the species), from the catch of positive trips, modelled as gamma with mean μ and </w:t>
      </w:r>
      <m:oMath>
        <m:r>
          <m:rPr>
            <m:sty m:val="p"/>
          </m:rPr>
          <w:rPr>
            <w:rFonts w:ascii="Cambria Math" w:hAnsi="Cambria Math"/>
          </w:rPr>
          <m:t>log</m:t>
        </m:r>
        <m:r>
          <w:rPr>
            <w:rFonts w:ascii="Cambria Math" w:hAnsi="Cambria Math"/>
          </w:rPr>
          <m:t>(</m:t>
        </m:r>
        <m:r>
          <w:rPr>
            <w:rFonts w:ascii="Cambria Math" w:hAnsi="Cambria Math"/>
            <w:lang w:val="pt-BR"/>
          </w:rPr>
          <m:t>μ</m:t>
        </m:r>
        <m:r>
          <w:rPr>
            <w:rFonts w:ascii="Cambria Math" w:hAnsi="Cambria Math"/>
          </w:rPr>
          <m:t>)=</m:t>
        </m:r>
        <m:r>
          <w:rPr>
            <w:rFonts w:ascii="Cambria Math" w:hAnsi="Cambria Math"/>
            <w:lang w:val="pt-BR"/>
          </w:rPr>
          <m:t>Xβ</m:t>
        </m:r>
        <m:r>
          <w:rPr>
            <w:rFonts w:ascii="Cambria Math" w:hAnsi="Cambria Math"/>
          </w:rPr>
          <m:t>+</m:t>
        </m:r>
        <m:r>
          <m:rPr>
            <m:sty m:val="p"/>
          </m:rPr>
          <w:rPr>
            <w:rFonts w:ascii="Cambria Math" w:hAnsi="Cambria Math"/>
          </w:rPr>
          <m:t>Zu</m:t>
        </m:r>
        <m:r>
          <w:rPr>
            <w:rFonts w:ascii="Cambria Math" w:hAnsi="Cambria Math"/>
          </w:rPr>
          <m:t>+</m:t>
        </m:r>
        <m:r>
          <m:rPr>
            <m:sty m:val="p"/>
          </m:rPr>
          <w:rPr>
            <w:rFonts w:ascii="Cambria Math" w:hAnsi="Cambria Math"/>
          </w:rPr>
          <m:t>log</m:t>
        </m:r>
        <m:r>
          <w:rPr>
            <w:rFonts w:ascii="Cambria Math" w:hAnsi="Cambria Math"/>
          </w:rPr>
          <m:t>(</m:t>
        </m:r>
        <m:r>
          <m:rPr>
            <m:sty m:val="p"/>
          </m:rPr>
          <w:rPr>
            <w:rFonts w:ascii="Cambria Math" w:hAnsi="Cambria Math"/>
          </w:rPr>
          <m:t>days</m:t>
        </m:r>
        <m:r>
          <w:rPr>
            <w:rFonts w:ascii="Cambria Math" w:hAnsi="Cambria Math"/>
          </w:rPr>
          <m:t>)</m:t>
        </m:r>
      </m:oMath>
      <w:r>
        <w:t xml:space="preserve">, where </w:t>
      </w:r>
      <w:r>
        <w:rPr>
          <w:i/>
          <w:iCs/>
        </w:rPr>
        <w:t>X</w:t>
      </w:r>
      <w:r>
        <w:t xml:space="preserve"> and </w:t>
      </w:r>
      <w:r>
        <w:rPr>
          <w:i/>
          <w:iCs/>
        </w:rPr>
        <w:t>Z</w:t>
      </w:r>
      <w:r>
        <w:t xml:space="preserve"> are the design matrices of fixed and random effects, β the fixed-effect coefficients and </w:t>
      </w:r>
      <w:r>
        <w:rPr>
          <w:i/>
          <w:iCs/>
        </w:rPr>
        <w:t>u</w:t>
      </w:r>
      <w:r>
        <w:t xml:space="preserve"> the vessel and ground random effects, assumed normal with mean zero. The choice between distributions considered AIC, BIC and residual diagnostics.</w:t>
      </w:r>
    </w:p>
    <w:p w14:paraId="2734AB4D" w14:textId="77777777" w:rsidR="00A0482C" w:rsidRDefault="00000000">
      <w:pPr>
        <w:spacing w:after="80" w:line="252" w:lineRule="auto"/>
        <w:ind w:firstLine="340"/>
        <w:jc w:val="both"/>
      </w:pPr>
      <w:r>
        <w:rPr>
          <w:i/>
          <w:iCs/>
        </w:rPr>
        <w:t>Residual diagnostics.</w:t>
      </w:r>
      <w:r>
        <w:t xml:space="preserve"> Pearson and deviance residuals of non-normal mixed models are difficult to interpret, so model adequacy was evaluated with simulated quantile residuals from the </w:t>
      </w:r>
      <w:proofErr w:type="spellStart"/>
      <w:r>
        <w:t>DHARMa</w:t>
      </w:r>
      <w:proofErr w:type="spellEnd"/>
      <w:r>
        <w:t xml:space="preserve"> package (Hartig, 2022), based on 250 simulations per trip; under a correct model these residuals are uniform between 0 and 1, whatever the assumed distribution (Dunn and Smyth, 1996). Uniformity (Kolmogorov–Smirnov), dispersion, outliers, quantile deviations and zero inflation were tested. Because, with thousands of observations, small deviations already produce low </w:t>
      </w:r>
      <w:r>
        <w:rPr>
          <w:i/>
          <w:iCs/>
        </w:rPr>
        <w:t>p</w:t>
      </w:r>
      <w:r>
        <w:t>-values, decisions also considered the magnitude of the deviations and the residual plots.</w:t>
      </w:r>
    </w:p>
    <w:p w14:paraId="2A9C5D93" w14:textId="77777777" w:rsidR="00A0482C" w:rsidRDefault="00000000">
      <w:pPr>
        <w:spacing w:after="80" w:line="252" w:lineRule="auto"/>
        <w:ind w:firstLine="340"/>
        <w:jc w:val="both"/>
      </w:pPr>
      <w:r>
        <w:rPr>
          <w:i/>
          <w:iCs/>
        </w:rPr>
        <w:t>Index extraction.</w:t>
      </w:r>
      <w:r>
        <w:t xml:space="preserve"> The annual index was computed as the estimated marginal means of year (Searle et al., 1980) with the </w:t>
      </w:r>
      <w:proofErr w:type="spellStart"/>
      <w:r>
        <w:t>emmeans</w:t>
      </w:r>
      <w:proofErr w:type="spellEnd"/>
      <w:r>
        <w:t xml:space="preserve"> package (Lenth, 2024), averaging predictions over all levels of the other fixed factors with equal weights, with random effects at their mean and the offset set to zero. The index therefore represents the catch per day at sea of a standard fleet under average island, quarter, crew and tactic conditions, free from the sampling imbalance among years. In the hurdle-gamma model, the expected catch per day combines both components, </w:t>
      </w:r>
      <m:oMath>
        <m:r>
          <w:rPr>
            <w:rFonts w:ascii="Cambria Math" w:hAnsi="Cambria Math"/>
            <w:lang w:val="pt-BR"/>
          </w:rPr>
          <m:t>E</m:t>
        </m:r>
        <m:r>
          <w:rPr>
            <w:rFonts w:ascii="Cambria Math" w:hAnsi="Cambria Math"/>
          </w:rPr>
          <m:t>[</m:t>
        </m:r>
        <m:r>
          <w:rPr>
            <w:rFonts w:ascii="Cambria Math" w:hAnsi="Cambria Math"/>
            <w:lang w:val="pt-BR"/>
          </w:rPr>
          <m:t>Y</m:t>
        </m:r>
        <m:r>
          <w:rPr>
            <w:rFonts w:ascii="Cambria Math" w:hAnsi="Cambria Math"/>
          </w:rPr>
          <m:t>]=(1-</m:t>
        </m:r>
        <m:r>
          <w:rPr>
            <w:rFonts w:ascii="Cambria Math" w:hAnsi="Cambria Math"/>
            <w:lang w:val="pt-BR"/>
          </w:rPr>
          <m:t>p</m:t>
        </m:r>
        <m:r>
          <w:rPr>
            <w:rFonts w:ascii="Cambria Math" w:hAnsi="Cambria Math"/>
          </w:rPr>
          <m:t>)·</m:t>
        </m:r>
        <m:r>
          <w:rPr>
            <w:rFonts w:ascii="Cambria Math" w:hAnsi="Cambria Math"/>
            <w:lang w:val="pt-BR"/>
          </w:rPr>
          <m:t>μ</m:t>
        </m:r>
      </m:oMath>
      <w:r>
        <w:t xml:space="preserve">, where </w:t>
      </w:r>
      <w:r>
        <w:rPr>
          <w:i/>
          <w:iCs/>
        </w:rPr>
        <w:t>p</w:t>
      </w:r>
      <w:r>
        <w:t xml:space="preserve"> and μ are the annual marginal means of each component; the standard error of the index on the log scale (SE) was obtained by the delta method assuming independence between components, and </w:t>
      </w:r>
      <m:oMath>
        <m:r>
          <m:rPr>
            <m:sty m:val="p"/>
          </m:rPr>
          <w:rPr>
            <w:rFonts w:ascii="Cambria Math" w:hAnsi="Cambria Math"/>
          </w:rPr>
          <m:t>CV</m:t>
        </m:r>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lang w:val="pt-BR"/>
                  </w:rPr>
                  <m:t>e</m:t>
                </m:r>
              </m:e>
              <m:sup>
                <m:sSup>
                  <m:sSupPr>
                    <m:ctrlPr>
                      <w:rPr>
                        <w:rFonts w:ascii="Cambria Math" w:hAnsi="Cambria Math"/>
                      </w:rPr>
                    </m:ctrlPr>
                  </m:sSupPr>
                  <m:e>
                    <m:r>
                      <m:rPr>
                        <m:sty m:val="p"/>
                      </m:rPr>
                      <w:rPr>
                        <w:rFonts w:ascii="Cambria Math" w:hAnsi="Cambria Math"/>
                      </w:rPr>
                      <m:t>SE</m:t>
                    </m:r>
                  </m:e>
                  <m:sup>
                    <m:r>
                      <w:rPr>
                        <w:rFonts w:ascii="Cambria Math" w:hAnsi="Cambria Math"/>
                      </w:rPr>
                      <m:t>2</m:t>
                    </m:r>
                  </m:sup>
                </m:sSup>
              </m:sup>
            </m:sSup>
            <m:r>
              <w:rPr>
                <w:rFonts w:ascii="Cambria Math" w:hAnsi="Cambria Math"/>
              </w:rPr>
              <m:t>-1</m:t>
            </m:r>
          </m:e>
        </m:rad>
      </m:oMath>
      <w:r>
        <w:t>. Each series was divided by its mean and given a minimum CV of 0.20.</w:t>
      </w:r>
    </w:p>
    <w:p w14:paraId="4BBE9782" w14:textId="77777777" w:rsidR="00A0482C" w:rsidRDefault="00000000">
      <w:pPr>
        <w:spacing w:after="80" w:line="252" w:lineRule="auto"/>
        <w:ind w:firstLine="340"/>
        <w:jc w:val="both"/>
      </w:pPr>
      <w:r>
        <w:rPr>
          <w:i/>
          <w:iCs/>
        </w:rPr>
        <w:lastRenderedPageBreak/>
        <w:t>CPUE series for JABBA.</w:t>
      </w:r>
      <w:r>
        <w:t xml:space="preserve"> Six relative abundance series were built, each designed to answer a different question in JABBA (Table 7). Nominal series were computed as the annual purse-seine catch of mackerel scad divided by total days at sea: for 1989–2014 from the aggregated series, which only reports effort summed across gears in 1994–1999 and 2014 and has no effort in 2013, and for 2015–2025 from trip records. The CV of nominal series was the relative standard error of CPUE among trips in each year, with the minimum of 0.20 in the aggregated years. Because the series before and after 2014 share no year and coincide with the changes in data type and fleet targeting, they enter JABBA as separate indices, each with its own catchability. The final model was also refitted without tactic (C4) to verify how much the index depends on this choice.</w:t>
      </w:r>
    </w:p>
    <w:p w14:paraId="69C73E86" w14:textId="77777777" w:rsidR="00A0482C" w:rsidRDefault="00000000">
      <w:pPr>
        <w:keepNext/>
        <w:spacing w:before="120" w:after="60"/>
        <w:jc w:val="both"/>
      </w:pPr>
      <w:r>
        <w:rPr>
          <w:b/>
          <w:bCs/>
          <w:sz w:val="19"/>
          <w:szCs w:val="19"/>
        </w:rPr>
        <w:t xml:space="preserve">Table 7. </w:t>
      </w:r>
      <w:r>
        <w:rPr>
          <w:sz w:val="19"/>
          <w:szCs w:val="19"/>
        </w:rPr>
        <w:t>CPUE series built as inputs to JABBA.</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5"/>
        <w:gridCol w:w="1123"/>
        <w:gridCol w:w="3368"/>
        <w:gridCol w:w="3470"/>
      </w:tblGrid>
      <w:tr w:rsidR="00A0482C" w14:paraId="23B661B0" w14:textId="77777777">
        <w:tblPrEx>
          <w:tblCellMar>
            <w:top w:w="0" w:type="dxa"/>
            <w:bottom w:w="0" w:type="dxa"/>
          </w:tblCellMar>
        </w:tblPrEx>
        <w:trPr>
          <w:tblHeader/>
        </w:trPr>
        <w:tc>
          <w:tcPr>
            <w:tcW w:w="2245"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14:paraId="1BB694E4" w14:textId="77777777" w:rsidR="00A0482C" w:rsidRDefault="00000000">
            <w:pPr>
              <w:spacing w:line="228" w:lineRule="auto"/>
            </w:pPr>
            <w:r>
              <w:rPr>
                <w:b/>
                <w:bCs/>
                <w:sz w:val="18"/>
                <w:szCs w:val="18"/>
              </w:rPr>
              <w:t>Series</w:t>
            </w:r>
          </w:p>
        </w:tc>
        <w:tc>
          <w:tcPr>
            <w:tcW w:w="1123"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14:paraId="467AAC1F" w14:textId="77777777" w:rsidR="00A0482C" w:rsidRDefault="00000000">
            <w:pPr>
              <w:spacing w:line="228" w:lineRule="auto"/>
            </w:pPr>
            <w:r>
              <w:rPr>
                <w:b/>
                <w:bCs/>
                <w:sz w:val="18"/>
                <w:szCs w:val="18"/>
              </w:rPr>
              <w:t>Period</w:t>
            </w:r>
          </w:p>
        </w:tc>
        <w:tc>
          <w:tcPr>
            <w:tcW w:w="3368"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14:paraId="6B29EB10" w14:textId="77777777" w:rsidR="00A0482C" w:rsidRDefault="00000000">
            <w:pPr>
              <w:spacing w:line="228" w:lineRule="auto"/>
            </w:pPr>
            <w:r>
              <w:rPr>
                <w:b/>
                <w:bCs/>
                <w:sz w:val="18"/>
                <w:szCs w:val="18"/>
              </w:rPr>
              <w:t>Construction</w:t>
            </w:r>
          </w:p>
        </w:tc>
        <w:tc>
          <w:tcPr>
            <w:tcW w:w="3470"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14:paraId="422BC1CB" w14:textId="77777777" w:rsidR="00A0482C" w:rsidRDefault="00000000">
            <w:pPr>
              <w:spacing w:line="228" w:lineRule="auto"/>
            </w:pPr>
            <w:r>
              <w:rPr>
                <w:b/>
                <w:bCs/>
                <w:sz w:val="18"/>
                <w:szCs w:val="18"/>
              </w:rPr>
              <w:t>Purpose</w:t>
            </w:r>
          </w:p>
        </w:tc>
      </w:tr>
      <w:tr w:rsidR="00A0482C" w14:paraId="10C43EFF" w14:textId="77777777">
        <w:tblPrEx>
          <w:tblCellMar>
            <w:top w:w="0" w:type="dxa"/>
            <w:bottom w:w="0" w:type="dxa"/>
          </w:tblCellMar>
        </w:tblPrEx>
        <w:trPr>
          <w:cantSplit/>
        </w:trPr>
        <w:tc>
          <w:tcPr>
            <w:tcW w:w="224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6CE67B8" w14:textId="77777777" w:rsidR="00A0482C" w:rsidRDefault="00000000">
            <w:pPr>
              <w:spacing w:line="228" w:lineRule="auto"/>
            </w:pPr>
            <w:r>
              <w:rPr>
                <w:sz w:val="18"/>
                <w:szCs w:val="18"/>
              </w:rPr>
              <w:t>C1 – nominal</w:t>
            </w:r>
          </w:p>
        </w:tc>
        <w:tc>
          <w:tcPr>
            <w:tcW w:w="112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76DBBF5" w14:textId="77777777" w:rsidR="00A0482C" w:rsidRDefault="00000000">
            <w:pPr>
              <w:spacing w:line="228" w:lineRule="auto"/>
            </w:pPr>
            <w:r>
              <w:rPr>
                <w:sz w:val="18"/>
                <w:szCs w:val="18"/>
              </w:rPr>
              <w:t>1989–2025</w:t>
            </w:r>
          </w:p>
        </w:tc>
        <w:tc>
          <w:tcPr>
            <w:tcW w:w="33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7D09619" w14:textId="77777777" w:rsidR="00A0482C" w:rsidRDefault="00000000">
            <w:pPr>
              <w:spacing w:line="228" w:lineRule="auto"/>
            </w:pPr>
            <w:r>
              <w:rPr>
                <w:sz w:val="18"/>
                <w:szCs w:val="18"/>
              </w:rPr>
              <w:t>Purse-seine catch/days at sea; aggregated series up to 2014 and trip records thereafter</w:t>
            </w:r>
          </w:p>
        </w:tc>
        <w:tc>
          <w:tcPr>
            <w:tcW w:w="34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81B0CBC" w14:textId="77777777" w:rsidR="00A0482C" w:rsidRDefault="00000000">
            <w:pPr>
              <w:spacing w:line="228" w:lineRule="auto"/>
            </w:pPr>
            <w:r>
              <w:rPr>
                <w:sz w:val="18"/>
                <w:szCs w:val="18"/>
              </w:rPr>
              <w:t>Null model: a single index and catchability across the target switch, as in Thiao (2026)</w:t>
            </w:r>
          </w:p>
        </w:tc>
      </w:tr>
      <w:tr w:rsidR="00A0482C" w14:paraId="0EADF04A" w14:textId="77777777">
        <w:tblPrEx>
          <w:tblCellMar>
            <w:top w:w="0" w:type="dxa"/>
            <w:bottom w:w="0" w:type="dxa"/>
          </w:tblCellMar>
        </w:tblPrEx>
        <w:trPr>
          <w:cantSplit/>
        </w:trPr>
        <w:tc>
          <w:tcPr>
            <w:tcW w:w="224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3B1870A" w14:textId="77777777" w:rsidR="00A0482C" w:rsidRDefault="00000000">
            <w:pPr>
              <w:spacing w:line="228" w:lineRule="auto"/>
            </w:pPr>
            <w:r>
              <w:rPr>
                <w:sz w:val="18"/>
                <w:szCs w:val="18"/>
              </w:rPr>
              <w:t>C2 – nominal, pre-switch</w:t>
            </w:r>
          </w:p>
        </w:tc>
        <w:tc>
          <w:tcPr>
            <w:tcW w:w="112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C9672A2" w14:textId="77777777" w:rsidR="00A0482C" w:rsidRDefault="00000000">
            <w:pPr>
              <w:spacing w:line="228" w:lineRule="auto"/>
            </w:pPr>
            <w:r>
              <w:rPr>
                <w:sz w:val="18"/>
                <w:szCs w:val="18"/>
              </w:rPr>
              <w:t>1989–2014</w:t>
            </w:r>
          </w:p>
        </w:tc>
        <w:tc>
          <w:tcPr>
            <w:tcW w:w="33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2B88F30" w14:textId="77777777" w:rsidR="00A0482C" w:rsidRDefault="00000000">
            <w:pPr>
              <w:spacing w:line="228" w:lineRule="auto"/>
            </w:pPr>
            <w:r>
              <w:rPr>
                <w:sz w:val="18"/>
                <w:szCs w:val="18"/>
              </w:rPr>
              <w:t>Purse-seine catch/days, aggregated series</w:t>
            </w:r>
          </w:p>
        </w:tc>
        <w:tc>
          <w:tcPr>
            <w:tcW w:w="34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D59F236" w14:textId="77777777" w:rsidR="00A0482C" w:rsidRDefault="00000000">
            <w:pPr>
              <w:spacing w:line="228" w:lineRule="auto"/>
            </w:pPr>
            <w:r>
              <w:rPr>
                <w:sz w:val="18"/>
                <w:szCs w:val="18"/>
              </w:rPr>
              <w:t>Period when mackerel scad was a fleet target and purse-seine effort is a reasonable denominator</w:t>
            </w:r>
          </w:p>
        </w:tc>
      </w:tr>
      <w:tr w:rsidR="00A0482C" w14:paraId="1F12740E" w14:textId="77777777">
        <w:tblPrEx>
          <w:tblCellMar>
            <w:top w:w="0" w:type="dxa"/>
            <w:bottom w:w="0" w:type="dxa"/>
          </w:tblCellMar>
        </w:tblPrEx>
        <w:trPr>
          <w:cantSplit/>
        </w:trPr>
        <w:tc>
          <w:tcPr>
            <w:tcW w:w="224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1E80539" w14:textId="77777777" w:rsidR="00A0482C" w:rsidRDefault="00000000">
            <w:pPr>
              <w:spacing w:line="228" w:lineRule="auto"/>
            </w:pPr>
            <w:r>
              <w:rPr>
                <w:sz w:val="18"/>
                <w:szCs w:val="18"/>
              </w:rPr>
              <w:t>C3 – nominal, post-switch</w:t>
            </w:r>
          </w:p>
        </w:tc>
        <w:tc>
          <w:tcPr>
            <w:tcW w:w="112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D1D3A57" w14:textId="77777777" w:rsidR="00A0482C" w:rsidRDefault="00000000">
            <w:pPr>
              <w:spacing w:line="228" w:lineRule="auto"/>
            </w:pPr>
            <w:r>
              <w:rPr>
                <w:sz w:val="18"/>
                <w:szCs w:val="18"/>
              </w:rPr>
              <w:t>2015–2025</w:t>
            </w:r>
          </w:p>
        </w:tc>
        <w:tc>
          <w:tcPr>
            <w:tcW w:w="33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5540541" w14:textId="77777777" w:rsidR="00A0482C" w:rsidRDefault="00000000">
            <w:pPr>
              <w:spacing w:line="228" w:lineRule="auto"/>
            </w:pPr>
            <w:r>
              <w:rPr>
                <w:sz w:val="18"/>
                <w:szCs w:val="18"/>
              </w:rPr>
              <w:t>Purse-seine catch/days, trip records</w:t>
            </w:r>
          </w:p>
        </w:tc>
        <w:tc>
          <w:tcPr>
            <w:tcW w:w="34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35A6CF2" w14:textId="77777777" w:rsidR="00A0482C" w:rsidRDefault="00000000">
            <w:pPr>
              <w:spacing w:line="228" w:lineRule="auto"/>
            </w:pPr>
            <w:r>
              <w:rPr>
                <w:sz w:val="18"/>
                <w:szCs w:val="18"/>
              </w:rPr>
              <w:t>Reference without correction of the recent period</w:t>
            </w:r>
          </w:p>
        </w:tc>
      </w:tr>
      <w:tr w:rsidR="00A0482C" w14:paraId="61A684D7" w14:textId="77777777">
        <w:tblPrEx>
          <w:tblCellMar>
            <w:top w:w="0" w:type="dxa"/>
            <w:bottom w:w="0" w:type="dxa"/>
          </w:tblCellMar>
        </w:tblPrEx>
        <w:trPr>
          <w:cantSplit/>
        </w:trPr>
        <w:tc>
          <w:tcPr>
            <w:tcW w:w="224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1FB0565" w14:textId="77777777" w:rsidR="00A0482C" w:rsidRDefault="00000000">
            <w:pPr>
              <w:spacing w:line="228" w:lineRule="auto"/>
            </w:pPr>
            <w:r>
              <w:rPr>
                <w:sz w:val="18"/>
                <w:szCs w:val="18"/>
              </w:rPr>
              <w:t>C4 – standardized without tactic</w:t>
            </w:r>
          </w:p>
        </w:tc>
        <w:tc>
          <w:tcPr>
            <w:tcW w:w="112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60AB208" w14:textId="77777777" w:rsidR="00A0482C" w:rsidRDefault="00000000">
            <w:pPr>
              <w:spacing w:line="228" w:lineRule="auto"/>
            </w:pPr>
            <w:r>
              <w:rPr>
                <w:sz w:val="18"/>
                <w:szCs w:val="18"/>
              </w:rPr>
              <w:t>2015–2025</w:t>
            </w:r>
          </w:p>
        </w:tc>
        <w:tc>
          <w:tcPr>
            <w:tcW w:w="33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35CBB8A" w14:textId="77777777" w:rsidR="00A0482C" w:rsidRDefault="00000000">
            <w:pPr>
              <w:spacing w:line="228" w:lineRule="auto"/>
            </w:pPr>
            <w:r>
              <w:rPr>
                <w:sz w:val="18"/>
                <w:szCs w:val="18"/>
              </w:rPr>
              <w:t>Final model without tactic</w:t>
            </w:r>
          </w:p>
        </w:tc>
        <w:tc>
          <w:tcPr>
            <w:tcW w:w="34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79386C9" w14:textId="77777777" w:rsidR="00A0482C" w:rsidRDefault="00000000">
            <w:pPr>
              <w:spacing w:line="228" w:lineRule="auto"/>
            </w:pPr>
            <w:r>
              <w:rPr>
                <w:sz w:val="18"/>
                <w:szCs w:val="18"/>
              </w:rPr>
              <w:t>Isolates the effect of tactic on the standardization</w:t>
            </w:r>
          </w:p>
        </w:tc>
      </w:tr>
      <w:tr w:rsidR="00A0482C" w14:paraId="075B573B" w14:textId="77777777">
        <w:tblPrEx>
          <w:tblCellMar>
            <w:top w:w="0" w:type="dxa"/>
            <w:bottom w:w="0" w:type="dxa"/>
          </w:tblCellMar>
        </w:tblPrEx>
        <w:trPr>
          <w:cantSplit/>
        </w:trPr>
        <w:tc>
          <w:tcPr>
            <w:tcW w:w="224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C43124F" w14:textId="77777777" w:rsidR="00A0482C" w:rsidRDefault="00000000">
            <w:pPr>
              <w:spacing w:line="228" w:lineRule="auto"/>
            </w:pPr>
            <w:r>
              <w:rPr>
                <w:sz w:val="18"/>
                <w:szCs w:val="18"/>
              </w:rPr>
              <w:t>C5 – standardized with tactic</w:t>
            </w:r>
          </w:p>
        </w:tc>
        <w:tc>
          <w:tcPr>
            <w:tcW w:w="112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422313F" w14:textId="77777777" w:rsidR="00A0482C" w:rsidRDefault="00000000">
            <w:pPr>
              <w:spacing w:line="228" w:lineRule="auto"/>
            </w:pPr>
            <w:r>
              <w:rPr>
                <w:sz w:val="18"/>
                <w:szCs w:val="18"/>
              </w:rPr>
              <w:t>2015–2025</w:t>
            </w:r>
          </w:p>
        </w:tc>
        <w:tc>
          <w:tcPr>
            <w:tcW w:w="33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EC821D7" w14:textId="77777777" w:rsidR="00A0482C" w:rsidRDefault="00000000">
            <w:pPr>
              <w:spacing w:line="228" w:lineRule="auto"/>
            </w:pPr>
            <w:r>
              <w:rPr>
                <w:sz w:val="18"/>
                <w:szCs w:val="18"/>
              </w:rPr>
              <w:t>Final model (Section 2.5)</w:t>
            </w:r>
          </w:p>
        </w:tc>
        <w:tc>
          <w:tcPr>
            <w:tcW w:w="34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EC71AC9" w14:textId="77777777" w:rsidR="00A0482C" w:rsidRDefault="00000000">
            <w:pPr>
              <w:spacing w:line="228" w:lineRule="auto"/>
            </w:pPr>
            <w:r>
              <w:rPr>
                <w:sz w:val="18"/>
                <w:szCs w:val="18"/>
              </w:rPr>
              <w:t>Main index of the recent period</w:t>
            </w:r>
          </w:p>
        </w:tc>
      </w:tr>
      <w:tr w:rsidR="00A0482C" w14:paraId="3456F931" w14:textId="77777777">
        <w:tblPrEx>
          <w:tblCellMar>
            <w:top w:w="0" w:type="dxa"/>
            <w:bottom w:w="0" w:type="dxa"/>
          </w:tblCellMar>
        </w:tblPrEx>
        <w:trPr>
          <w:cantSplit/>
        </w:trPr>
        <w:tc>
          <w:tcPr>
            <w:tcW w:w="2245"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14:paraId="562E2D7A" w14:textId="77777777" w:rsidR="00A0482C" w:rsidRDefault="00000000">
            <w:pPr>
              <w:spacing w:line="228" w:lineRule="auto"/>
            </w:pPr>
            <w:r>
              <w:rPr>
                <w:sz w:val="18"/>
                <w:szCs w:val="18"/>
              </w:rPr>
              <w:t>C6 – nominal, directed effort</w:t>
            </w:r>
          </w:p>
        </w:tc>
        <w:tc>
          <w:tcPr>
            <w:tcW w:w="1123"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14:paraId="44938041" w14:textId="77777777" w:rsidR="00A0482C" w:rsidRDefault="00000000">
            <w:pPr>
              <w:spacing w:line="228" w:lineRule="auto"/>
            </w:pPr>
            <w:r>
              <w:rPr>
                <w:sz w:val="18"/>
                <w:szCs w:val="18"/>
              </w:rPr>
              <w:t>2015–2025</w:t>
            </w:r>
          </w:p>
        </w:tc>
        <w:tc>
          <w:tcPr>
            <w:tcW w:w="3368"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14:paraId="69AC1CC5" w14:textId="77777777" w:rsidR="00A0482C" w:rsidRDefault="00000000">
            <w:pPr>
              <w:spacing w:line="228" w:lineRule="auto"/>
            </w:pPr>
            <w:r>
              <w:rPr>
                <w:sz w:val="18"/>
                <w:szCs w:val="18"/>
              </w:rPr>
              <w:t>Catch/days only for trips of the tactic most associated with mackerel scad</w:t>
            </w:r>
          </w:p>
        </w:tc>
        <w:tc>
          <w:tcPr>
            <w:tcW w:w="347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14:paraId="0AD8A5A2" w14:textId="77777777" w:rsidR="00A0482C" w:rsidRDefault="00000000">
            <w:pPr>
              <w:spacing w:line="228" w:lineRule="auto"/>
            </w:pPr>
            <w:r>
              <w:rPr>
                <w:sz w:val="18"/>
                <w:szCs w:val="18"/>
              </w:rPr>
              <w:t>Sensitivity: corrects targeting by selecting trips instead of modelling it (Stephens and MacCall, 2004)</w:t>
            </w:r>
          </w:p>
        </w:tc>
      </w:tr>
    </w:tbl>
    <w:p w14:paraId="07A28F44" w14:textId="77777777" w:rsidR="00A0482C" w:rsidRDefault="00A0482C">
      <w:pPr>
        <w:spacing w:after="60"/>
      </w:pPr>
    </w:p>
    <w:p w14:paraId="025EDB9B" w14:textId="77777777" w:rsidR="00A0482C" w:rsidRDefault="00000000">
      <w:pPr>
        <w:pStyle w:val="Ttulo2"/>
        <w:keepNext/>
        <w:spacing w:before="160" w:after="80"/>
      </w:pPr>
      <w:r>
        <w:t>2.6 Catch-and-index model (JABBA)</w:t>
      </w:r>
    </w:p>
    <w:p w14:paraId="04ACE938" w14:textId="14C39BFC" w:rsidR="00A0482C" w:rsidRDefault="00000000" w:rsidP="00621BD1">
      <w:pPr>
        <w:spacing w:after="80" w:line="252" w:lineRule="auto"/>
        <w:ind w:firstLine="340"/>
        <w:jc w:val="both"/>
      </w:pPr>
      <w:r>
        <w:t>JABBA (Just Another Bayesian Biomass Assessment; Winker et al., 2018) is a Bayesian state-space surplus production model (Meyer and Millar, 1999). Unlike catch-only models, it uses one or more relative abundance indices in addition to catches, so that the trend of the indices should inform changes in biomass. Dynamics follow the generalized Pella–Tomlinson production function in terms of relative biomass P</w:t>
      </w:r>
      <w:r>
        <w:rPr>
          <w:vertAlign w:val="subscript"/>
        </w:rPr>
        <w:t>t</w:t>
      </w:r>
      <w:r>
        <w:t xml:space="preserve"> = </w:t>
      </w:r>
      <w:proofErr w:type="spellStart"/>
      <w:r>
        <w:t>B</w:t>
      </w:r>
      <w:r>
        <w:rPr>
          <w:vertAlign w:val="subscript"/>
        </w:rPr>
        <w:t>t</w:t>
      </w:r>
      <w:proofErr w:type="spellEnd"/>
      <w:r>
        <w:t>/K:</w:t>
      </w:r>
      <w:r>
        <w:tab/>
      </w:r>
      <m:oMath>
        <m:sSub>
          <m:sSubPr>
            <m:ctrlPr>
              <w:rPr>
                <w:rFonts w:ascii="Cambria Math" w:hAnsi="Cambria Math"/>
              </w:rPr>
            </m:ctrlPr>
          </m:sSubPr>
          <m:e>
            <m:r>
              <w:rPr>
                <w:rFonts w:ascii="Cambria Math" w:hAnsi="Cambria Math"/>
                <w:lang w:val="pt-BR"/>
              </w:rPr>
              <m:t>P</m:t>
            </m:r>
          </m:e>
          <m:sub>
            <m:r>
              <w:rPr>
                <w:rFonts w:ascii="Cambria Math" w:hAnsi="Cambria Math"/>
                <w:lang w:val="pt-BR"/>
              </w:rPr>
              <m:t>t</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lang w:val="pt-BR"/>
              </w:rPr>
              <m:t>P</m:t>
            </m:r>
          </m:e>
          <m:sub>
            <m:r>
              <w:rPr>
                <w:rFonts w:ascii="Cambria Math" w:hAnsi="Cambria Math"/>
                <w:lang w:val="pt-BR"/>
              </w:rPr>
              <m:t>t</m:t>
            </m:r>
          </m:sub>
        </m:sSub>
        <m:r>
          <w:rPr>
            <w:rFonts w:ascii="Cambria Math" w:hAnsi="Cambria Math"/>
          </w:rPr>
          <m:t>+</m:t>
        </m:r>
        <m:f>
          <m:fPr>
            <m:ctrlPr>
              <w:rPr>
                <w:rFonts w:ascii="Cambria Math" w:hAnsi="Cambria Math"/>
              </w:rPr>
            </m:ctrlPr>
          </m:fPr>
          <m:num>
            <m:r>
              <w:rPr>
                <w:rFonts w:ascii="Cambria Math" w:hAnsi="Cambria Math"/>
                <w:lang w:val="pt-BR"/>
              </w:rPr>
              <m:t>r</m:t>
            </m:r>
          </m:num>
          <m:den>
            <m:r>
              <w:rPr>
                <w:rFonts w:ascii="Cambria Math" w:hAnsi="Cambria Math"/>
                <w:lang w:val="pt-BR"/>
              </w:rPr>
              <m:t>m</m:t>
            </m:r>
            <m:r>
              <w:rPr>
                <w:rFonts w:ascii="Cambria Math" w:hAnsi="Cambria Math"/>
              </w:rPr>
              <m:t>-1</m:t>
            </m:r>
          </m:den>
        </m:f>
        <m:r>
          <w:rPr>
            <w:rFonts w:ascii="Cambria Math" w:hAnsi="Cambria Math"/>
          </w:rPr>
          <m:t>·</m:t>
        </m:r>
        <m:sSub>
          <m:sSubPr>
            <m:ctrlPr>
              <w:rPr>
                <w:rFonts w:ascii="Cambria Math" w:hAnsi="Cambria Math"/>
              </w:rPr>
            </m:ctrlPr>
          </m:sSubPr>
          <m:e>
            <m:r>
              <w:rPr>
                <w:rFonts w:ascii="Cambria Math" w:hAnsi="Cambria Math"/>
                <w:lang w:val="pt-BR"/>
              </w:rPr>
              <m:t>P</m:t>
            </m:r>
          </m:e>
          <m:sub>
            <m:r>
              <w:rPr>
                <w:rFonts w:ascii="Cambria Math" w:hAnsi="Cambria Math"/>
                <w:lang w:val="pt-BR"/>
              </w:rPr>
              <m:t>t</m:t>
            </m:r>
          </m:sub>
        </m:sSub>
        <m:r>
          <w:rPr>
            <w:rFonts w:ascii="Cambria Math" w:hAnsi="Cambria Math"/>
          </w:rPr>
          <m:t>·(1-</m:t>
        </m:r>
        <m:sSubSup>
          <m:sSubSupPr>
            <m:ctrlPr>
              <w:rPr>
                <w:rFonts w:ascii="Cambria Math" w:hAnsi="Cambria Math"/>
              </w:rPr>
            </m:ctrlPr>
          </m:sSubSupPr>
          <m:e>
            <m:r>
              <w:rPr>
                <w:rFonts w:ascii="Cambria Math" w:hAnsi="Cambria Math"/>
                <w:lang w:val="pt-BR"/>
              </w:rPr>
              <m:t>P</m:t>
            </m:r>
          </m:e>
          <m:sub>
            <m:r>
              <w:rPr>
                <w:rFonts w:ascii="Cambria Math" w:hAnsi="Cambria Math"/>
                <w:lang w:val="pt-BR"/>
              </w:rPr>
              <m:t>t</m:t>
            </m:r>
          </m:sub>
          <m:sup>
            <m:r>
              <w:rPr>
                <w:rFonts w:ascii="Cambria Math" w:hAnsi="Cambria Math"/>
                <w:lang w:val="pt-BR"/>
              </w:rPr>
              <m:t>m</m:t>
            </m:r>
            <m:r>
              <w:rPr>
                <w:rFonts w:ascii="Cambria Math" w:hAnsi="Cambria Math"/>
              </w:rPr>
              <m:t>-1</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lang w:val="pt-BR"/>
                  </w:rPr>
                  <m:t>C</m:t>
                </m:r>
              </m:e>
              <m:sub>
                <m:r>
                  <w:rPr>
                    <w:rFonts w:ascii="Cambria Math" w:hAnsi="Cambria Math"/>
                    <w:lang w:val="pt-BR"/>
                  </w:rPr>
                  <m:t>t</m:t>
                </m:r>
              </m:sub>
            </m:sSub>
          </m:num>
          <m:den>
            <m:r>
              <w:rPr>
                <w:rFonts w:ascii="Cambria Math" w:hAnsi="Cambria Math"/>
                <w:lang w:val="pt-BR"/>
              </w:rPr>
              <m:t>K</m:t>
            </m:r>
          </m:den>
        </m:f>
        <m:r>
          <w:rPr>
            <w:rFonts w:ascii="Cambria Math" w:hAnsi="Cambria Math"/>
          </w:rPr>
          <m:t>]·</m:t>
        </m:r>
        <m:sSup>
          <m:sSupPr>
            <m:ctrlPr>
              <w:rPr>
                <w:rFonts w:ascii="Cambria Math" w:hAnsi="Cambria Math"/>
              </w:rPr>
            </m:ctrlPr>
          </m:sSupPr>
          <m:e>
            <m:r>
              <w:rPr>
                <w:rFonts w:ascii="Cambria Math" w:hAnsi="Cambria Math"/>
                <w:lang w:val="pt-BR"/>
              </w:rPr>
              <m:t>e</m:t>
            </m:r>
          </m:e>
          <m:sup>
            <m:sSub>
              <m:sSubPr>
                <m:ctrlPr>
                  <w:rPr>
                    <w:rFonts w:ascii="Cambria Math" w:hAnsi="Cambria Math"/>
                  </w:rPr>
                </m:ctrlPr>
              </m:sSubPr>
              <m:e>
                <m:r>
                  <w:rPr>
                    <w:rFonts w:ascii="Cambria Math" w:hAnsi="Cambria Math"/>
                    <w:lang w:val="pt-BR"/>
                  </w:rPr>
                  <m:t>η</m:t>
                </m:r>
              </m:e>
              <m:sub>
                <m:r>
                  <w:rPr>
                    <w:rFonts w:ascii="Cambria Math" w:hAnsi="Cambria Math"/>
                    <w:lang w:val="pt-BR"/>
                  </w:rPr>
                  <m:t>t</m:t>
                </m:r>
              </m:sub>
            </m:sSub>
          </m:sup>
        </m:sSup>
      </m:oMath>
      <w:r>
        <w:t>(5)</w:t>
      </w:r>
      <w:r w:rsidR="00621BD1">
        <w:t xml:space="preserve">, </w:t>
      </w:r>
      <w:r>
        <w:t xml:space="preserve">where </w:t>
      </w:r>
      <w:r>
        <w:rPr>
          <w:i/>
          <w:iCs/>
        </w:rPr>
        <w:t>r</w:t>
      </w:r>
      <w:r>
        <w:t xml:space="preserve"> is the intrinsic growth rate, K the carrying capacity, C</w:t>
      </w:r>
      <w:r>
        <w:rPr>
          <w:vertAlign w:val="subscript"/>
        </w:rPr>
        <w:t>t</w:t>
      </w:r>
      <w:r>
        <w:t xml:space="preserve"> the catch in year </w:t>
      </w:r>
      <w:r>
        <w:rPr>
          <w:i/>
          <w:iCs/>
        </w:rPr>
        <w:t>t</w:t>
      </w:r>
      <w:r>
        <w:t xml:space="preserve">, </w:t>
      </w:r>
      <w:r>
        <w:rPr>
          <w:i/>
          <w:iCs/>
        </w:rPr>
        <w:t>m</w:t>
      </w:r>
      <w:r>
        <w:t xml:space="preserve"> the shape parameter and </w:t>
      </w:r>
      <w:proofErr w:type="spellStart"/>
      <w:r>
        <w:t>η</w:t>
      </w:r>
      <w:r>
        <w:rPr>
          <w:vertAlign w:val="subscript"/>
        </w:rPr>
        <w:t>t</w:t>
      </w:r>
      <w:proofErr w:type="spellEnd"/>
      <w:r>
        <w:t xml:space="preserve"> the process error, normal with mean zero and variance σ</w:t>
      </w:r>
      <w:r>
        <w:rPr>
          <w:vertAlign w:val="superscript"/>
        </w:rPr>
        <w:t>2</w:t>
      </w:r>
      <w:r>
        <w:rPr>
          <w:vertAlign w:val="subscript"/>
        </w:rPr>
        <w:t>proc</w:t>
      </w:r>
      <w:r>
        <w:t>, which represents biomass variation not explained by the production curve (e.g., recruitment or environmental variability). The Schaefer (</w:t>
      </w:r>
      <w:r>
        <w:rPr>
          <w:i/>
          <w:iCs/>
        </w:rPr>
        <w:t>m</w:t>
      </w:r>
      <w:r>
        <w:t xml:space="preserve"> = 2, B</w:t>
      </w:r>
      <w:r>
        <w:rPr>
          <w:vertAlign w:val="subscript"/>
        </w:rPr>
        <w:t>MSY</w:t>
      </w:r>
      <w:r>
        <w:t>/K = 0.5) and Fox (</w:t>
      </w:r>
      <w:r>
        <w:rPr>
          <w:i/>
          <w:iCs/>
        </w:rPr>
        <w:t>m</w:t>
      </w:r>
      <w:r>
        <w:t xml:space="preserve"> → 1, B</w:t>
      </w:r>
      <w:r>
        <w:rPr>
          <w:vertAlign w:val="subscript"/>
        </w:rPr>
        <w:t>MSY</w:t>
      </w:r>
      <w:r>
        <w:t xml:space="preserve">/K ≈ 0.37; Fox, 1970) models are special cases. Each index </w:t>
      </w:r>
      <w:proofErr w:type="spellStart"/>
      <w:r>
        <w:rPr>
          <w:i/>
          <w:iCs/>
        </w:rPr>
        <w:t>i</w:t>
      </w:r>
      <w:proofErr w:type="spellEnd"/>
      <w:r>
        <w:t xml:space="preserve"> is related to biomass by</w:t>
      </w:r>
      <w:r w:rsidR="00621BD1">
        <w:t xml:space="preserve"> </w:t>
      </w:r>
      <m:oMath>
        <m:sSub>
          <m:sSubPr>
            <m:ctrlPr>
              <w:rPr>
                <w:rFonts w:ascii="Cambria Math" w:hAnsi="Cambria Math"/>
              </w:rPr>
            </m:ctrlPr>
          </m:sSubPr>
          <m:e>
            <m:r>
              <w:rPr>
                <w:rFonts w:ascii="Cambria Math" w:hAnsi="Cambria Math"/>
                <w:lang w:val="pt-BR"/>
              </w:rPr>
              <m:t>I</m:t>
            </m:r>
          </m:e>
          <m:sub>
            <m:r>
              <w:rPr>
                <w:rFonts w:ascii="Cambria Math" w:hAnsi="Cambria Math"/>
                <w:lang w:val="pt-BR"/>
              </w:rPr>
              <m:t>t</m:t>
            </m:r>
            <m:r>
              <w:rPr>
                <w:rFonts w:ascii="Cambria Math" w:hAnsi="Cambria Math"/>
              </w:rPr>
              <m:t>,</m:t>
            </m:r>
            <m:r>
              <w:rPr>
                <w:rFonts w:ascii="Cambria Math" w:hAnsi="Cambria Math"/>
                <w:lang w:val="pt-BR"/>
              </w:rPr>
              <m:t>i</m:t>
            </m:r>
          </m:sub>
        </m:sSub>
        <m:r>
          <w:rPr>
            <w:rFonts w:ascii="Cambria Math" w:hAnsi="Cambria Math"/>
          </w:rPr>
          <m:t>=</m:t>
        </m:r>
        <m:sSub>
          <m:sSubPr>
            <m:ctrlPr>
              <w:rPr>
                <w:rFonts w:ascii="Cambria Math" w:hAnsi="Cambria Math"/>
              </w:rPr>
            </m:ctrlPr>
          </m:sSubPr>
          <m:e>
            <m:r>
              <w:rPr>
                <w:rFonts w:ascii="Cambria Math" w:hAnsi="Cambria Math"/>
                <w:lang w:val="pt-BR"/>
              </w:rPr>
              <m:t>q</m:t>
            </m:r>
          </m:e>
          <m:sub>
            <m:r>
              <w:rPr>
                <w:rFonts w:ascii="Cambria Math" w:hAnsi="Cambria Math"/>
                <w:lang w:val="pt-BR"/>
              </w:rPr>
              <m:t>i</m:t>
            </m:r>
          </m:sub>
        </m:sSub>
        <m:r>
          <w:rPr>
            <w:rFonts w:ascii="Cambria Math" w:hAnsi="Cambria Math"/>
          </w:rPr>
          <m:t>·</m:t>
        </m:r>
        <m:r>
          <w:rPr>
            <w:rFonts w:ascii="Cambria Math" w:hAnsi="Cambria Math"/>
            <w:lang w:val="pt-BR"/>
          </w:rPr>
          <m:t>K</m:t>
        </m:r>
        <m:r>
          <w:rPr>
            <w:rFonts w:ascii="Cambria Math" w:hAnsi="Cambria Math"/>
          </w:rPr>
          <m:t>·</m:t>
        </m:r>
        <m:sSub>
          <m:sSubPr>
            <m:ctrlPr>
              <w:rPr>
                <w:rFonts w:ascii="Cambria Math" w:hAnsi="Cambria Math"/>
              </w:rPr>
            </m:ctrlPr>
          </m:sSubPr>
          <m:e>
            <m:r>
              <w:rPr>
                <w:rFonts w:ascii="Cambria Math" w:hAnsi="Cambria Math"/>
                <w:lang w:val="pt-BR"/>
              </w:rPr>
              <m:t>P</m:t>
            </m:r>
          </m:e>
          <m:sub>
            <m:r>
              <w:rPr>
                <w:rFonts w:ascii="Cambria Math" w:hAnsi="Cambria Math"/>
                <w:lang w:val="pt-BR"/>
              </w:rPr>
              <m:t>t</m:t>
            </m:r>
          </m:sub>
        </m:sSub>
        <m:r>
          <w:rPr>
            <w:rFonts w:ascii="Cambria Math" w:hAnsi="Cambria Math"/>
          </w:rPr>
          <m:t>·</m:t>
        </m:r>
        <m:sSup>
          <m:sSupPr>
            <m:ctrlPr>
              <w:rPr>
                <w:rFonts w:ascii="Cambria Math" w:hAnsi="Cambria Math"/>
              </w:rPr>
            </m:ctrlPr>
          </m:sSupPr>
          <m:e>
            <m:r>
              <w:rPr>
                <w:rFonts w:ascii="Cambria Math" w:hAnsi="Cambria Math"/>
                <w:lang w:val="pt-BR"/>
              </w:rPr>
              <m:t>e</m:t>
            </m:r>
          </m:e>
          <m:sup>
            <m:sSub>
              <m:sSubPr>
                <m:ctrlPr>
                  <w:rPr>
                    <w:rFonts w:ascii="Cambria Math" w:hAnsi="Cambria Math"/>
                  </w:rPr>
                </m:ctrlPr>
              </m:sSubPr>
              <m:e>
                <m:r>
                  <w:rPr>
                    <w:rFonts w:ascii="Cambria Math" w:hAnsi="Cambria Math"/>
                    <w:lang w:val="pt-BR"/>
                  </w:rPr>
                  <m:t>ε</m:t>
                </m:r>
              </m:e>
              <m:sub>
                <m:r>
                  <w:rPr>
                    <w:rFonts w:ascii="Cambria Math" w:hAnsi="Cambria Math"/>
                    <w:lang w:val="pt-BR"/>
                  </w:rPr>
                  <m:t>t</m:t>
                </m:r>
                <m:r>
                  <w:rPr>
                    <w:rFonts w:ascii="Cambria Math" w:hAnsi="Cambria Math"/>
                  </w:rPr>
                  <m:t>,</m:t>
                </m:r>
                <m:r>
                  <w:rPr>
                    <w:rFonts w:ascii="Cambria Math" w:hAnsi="Cambria Math"/>
                    <w:lang w:val="pt-BR"/>
                  </w:rPr>
                  <m:t>i</m:t>
                </m:r>
              </m:sub>
            </m:sSub>
          </m:sup>
        </m:sSup>
        <m:r>
          <w:rPr>
            <w:rFonts w:ascii="Cambria Math" w:hAnsi="Cambria Math"/>
          </w:rPr>
          <m:t xml:space="preserve">,   </m:t>
        </m:r>
        <m:sSubSup>
          <m:sSubSupPr>
            <m:ctrlPr>
              <w:rPr>
                <w:rFonts w:ascii="Cambria Math" w:hAnsi="Cambria Math"/>
              </w:rPr>
            </m:ctrlPr>
          </m:sSubSupPr>
          <m:e>
            <m:r>
              <w:rPr>
                <w:rFonts w:ascii="Cambria Math" w:hAnsi="Cambria Math"/>
                <w:lang w:val="pt-BR"/>
              </w:rPr>
              <m:t>σ</m:t>
            </m:r>
          </m:e>
          <m:sub>
            <m:r>
              <m:rPr>
                <m:sty m:val="p"/>
              </m:rPr>
              <w:rPr>
                <w:rFonts w:ascii="Cambria Math" w:hAnsi="Cambria Math"/>
              </w:rPr>
              <m:t>obs</m:t>
            </m:r>
            <m:r>
              <w:rPr>
                <w:rFonts w:ascii="Cambria Math" w:hAnsi="Cambria Math"/>
              </w:rPr>
              <m:t>,</m:t>
            </m:r>
            <m:r>
              <w:rPr>
                <w:rFonts w:ascii="Cambria Math" w:hAnsi="Cambria Math"/>
                <w:lang w:val="pt-BR"/>
              </w:rPr>
              <m:t>i</m:t>
            </m:r>
          </m:sub>
          <m:sup>
            <m:r>
              <w:rPr>
                <w:rFonts w:ascii="Cambria Math" w:hAnsi="Cambria Math"/>
              </w:rPr>
              <m:t>2</m:t>
            </m:r>
          </m:sup>
        </m:sSubSup>
        <m:r>
          <w:rPr>
            <w:rFonts w:ascii="Cambria Math" w:hAnsi="Cambria Math"/>
          </w:rPr>
          <m:t>=</m:t>
        </m:r>
        <m:sSubSup>
          <m:sSubSupPr>
            <m:ctrlPr>
              <w:rPr>
                <w:rFonts w:ascii="Cambria Math" w:hAnsi="Cambria Math"/>
              </w:rPr>
            </m:ctrlPr>
          </m:sSubSupPr>
          <m:e>
            <m:r>
              <m:rPr>
                <m:sty m:val="p"/>
              </m:rPr>
              <w:rPr>
                <w:rFonts w:ascii="Cambria Math" w:hAnsi="Cambria Math"/>
              </w:rPr>
              <m:t>SE</m:t>
            </m:r>
          </m:e>
          <m:sub>
            <m:r>
              <w:rPr>
                <w:rFonts w:ascii="Cambria Math" w:hAnsi="Cambria Math"/>
                <w:lang w:val="pt-BR"/>
              </w:rPr>
              <m:t>t</m:t>
            </m:r>
            <m:r>
              <w:rPr>
                <w:rFonts w:ascii="Cambria Math" w:hAnsi="Cambria Math"/>
              </w:rPr>
              <m:t>,</m:t>
            </m:r>
            <m:r>
              <w:rPr>
                <w:rFonts w:ascii="Cambria Math" w:hAnsi="Cambria Math"/>
                <w:lang w:val="pt-BR"/>
              </w:rPr>
              <m:t>i</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lang w:val="pt-BR"/>
              </w:rPr>
              <m:t>σ</m:t>
            </m:r>
          </m:e>
          <m:sub>
            <m:r>
              <m:rPr>
                <m:sty m:val="p"/>
              </m:rPr>
              <w:rPr>
                <w:rFonts w:ascii="Cambria Math" w:hAnsi="Cambria Math"/>
              </w:rPr>
              <m:t>est</m:t>
            </m:r>
            <m:r>
              <w:rPr>
                <w:rFonts w:ascii="Cambria Math" w:hAnsi="Cambria Math"/>
              </w:rPr>
              <m:t>,</m:t>
            </m:r>
            <m:r>
              <w:rPr>
                <w:rFonts w:ascii="Cambria Math" w:hAnsi="Cambria Math"/>
                <w:lang w:val="pt-BR"/>
              </w:rPr>
              <m:t>i</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lang w:val="pt-BR"/>
              </w:rPr>
              <m:t>σ</m:t>
            </m:r>
          </m:e>
          <m:sub>
            <m:r>
              <m:rPr>
                <m:sty m:val="p"/>
              </m:rPr>
              <w:rPr>
                <w:rFonts w:ascii="Cambria Math" w:hAnsi="Cambria Math"/>
              </w:rPr>
              <m:t>fix</m:t>
            </m:r>
          </m:sub>
          <m:sup>
            <m:r>
              <w:rPr>
                <w:rFonts w:ascii="Cambria Math" w:hAnsi="Cambria Math"/>
              </w:rPr>
              <m:t>2</m:t>
            </m:r>
          </m:sup>
        </m:sSubSup>
      </m:oMath>
      <w:r>
        <w:t>(6)</w:t>
      </w:r>
      <w:r w:rsidR="00621BD1">
        <w:t xml:space="preserve">, </w:t>
      </w:r>
      <w:r>
        <w:t xml:space="preserve">where </w:t>
      </w:r>
      <w:proofErr w:type="spellStart"/>
      <w:proofErr w:type="gramStart"/>
      <w:r>
        <w:t>I</w:t>
      </w:r>
      <w:r>
        <w:rPr>
          <w:vertAlign w:val="subscript"/>
        </w:rPr>
        <w:t>t,i</w:t>
      </w:r>
      <w:proofErr w:type="spellEnd"/>
      <w:proofErr w:type="gramEnd"/>
      <w:r>
        <w:t xml:space="preserve"> is the value of index </w:t>
      </w:r>
      <w:proofErr w:type="spellStart"/>
      <w:r>
        <w:rPr>
          <w:i/>
          <w:iCs/>
        </w:rPr>
        <w:t>i</w:t>
      </w:r>
      <w:proofErr w:type="spellEnd"/>
      <w:r>
        <w:t xml:space="preserve"> in year </w:t>
      </w:r>
      <w:r>
        <w:rPr>
          <w:i/>
          <w:iCs/>
        </w:rPr>
        <w:t>t</w:t>
      </w:r>
      <w:r>
        <w:t>, q</w:t>
      </w:r>
      <w:r>
        <w:rPr>
          <w:vertAlign w:val="subscript"/>
        </w:rPr>
        <w:t>i</w:t>
      </w:r>
      <w:r>
        <w:t xml:space="preserve"> its catchability and </w:t>
      </w:r>
      <w:proofErr w:type="spellStart"/>
      <w:r>
        <w:t>ε</w:t>
      </w:r>
      <w:proofErr w:type="gramStart"/>
      <w:r>
        <w:rPr>
          <w:vertAlign w:val="subscript"/>
        </w:rPr>
        <w:t>t,i</w:t>
      </w:r>
      <w:proofErr w:type="spellEnd"/>
      <w:proofErr w:type="gramEnd"/>
      <w:r>
        <w:t xml:space="preserve"> the observation error, normal with mean zero and variance σ</w:t>
      </w:r>
      <w:r>
        <w:rPr>
          <w:vertAlign w:val="superscript"/>
        </w:rPr>
        <w:t>2</w:t>
      </w:r>
      <w:proofErr w:type="gramStart"/>
      <w:r>
        <w:rPr>
          <w:vertAlign w:val="subscript"/>
        </w:rPr>
        <w:t>obs,i</w:t>
      </w:r>
      <w:proofErr w:type="gramEnd"/>
      <w:r>
        <w:t>, which adds the squared reported standard error of the series (</w:t>
      </w:r>
      <w:proofErr w:type="spellStart"/>
      <w:proofErr w:type="gramStart"/>
      <w:r>
        <w:t>SE</w:t>
      </w:r>
      <w:r>
        <w:rPr>
          <w:vertAlign w:val="subscript"/>
        </w:rPr>
        <w:t>t,i</w:t>
      </w:r>
      <w:proofErr w:type="spellEnd"/>
      <w:proofErr w:type="gramEnd"/>
      <w:r>
        <w:t>), an additional variance estimated for each index (σ</w:t>
      </w:r>
      <w:r>
        <w:rPr>
          <w:vertAlign w:val="superscript"/>
        </w:rPr>
        <w:t>2</w:t>
      </w:r>
      <w:proofErr w:type="gramStart"/>
      <w:r>
        <w:rPr>
          <w:vertAlign w:val="subscript"/>
        </w:rPr>
        <w:t>est,i</w:t>
      </w:r>
      <w:proofErr w:type="gramEnd"/>
      <w:r>
        <w:t>) and a small fixed term (σ</w:t>
      </w:r>
      <w:r>
        <w:rPr>
          <w:vertAlign w:val="superscript"/>
        </w:rPr>
        <w:t>2</w:t>
      </w:r>
      <w:r>
        <w:rPr>
          <w:vertAlign w:val="subscript"/>
        </w:rPr>
        <w:t>fix</w:t>
      </w:r>
      <w:r>
        <w:t xml:space="preserve">; Table 8). The model estimates </w:t>
      </w:r>
      <w:r>
        <w:rPr>
          <w:i/>
          <w:iCs/>
        </w:rPr>
        <w:t>r</w:t>
      </w:r>
      <w:r>
        <w:t>, K, initial depletion (ψ = B</w:t>
      </w:r>
      <w:r>
        <w:rPr>
          <w:vertAlign w:val="subscript"/>
        </w:rPr>
        <w:t>1989</w:t>
      </w:r>
      <w:r>
        <w:t>/K), catchabilities and variances, from which MSY, B</w:t>
      </w:r>
      <w:r>
        <w:rPr>
          <w:vertAlign w:val="subscript"/>
        </w:rPr>
        <w:t>MSY</w:t>
      </w:r>
      <w:r>
        <w:t>, F</w:t>
      </w:r>
      <w:r>
        <w:rPr>
          <w:vertAlign w:val="subscript"/>
        </w:rPr>
        <w:t>MSY</w:t>
      </w:r>
      <w:r>
        <w:t xml:space="preserve"> and annual B/B</w:t>
      </w:r>
      <w:r>
        <w:rPr>
          <w:vertAlign w:val="subscript"/>
        </w:rPr>
        <w:t>MSY</w:t>
      </w:r>
      <w:r>
        <w:t xml:space="preserve"> and F/F</w:t>
      </w:r>
      <w:r>
        <w:rPr>
          <w:vertAlign w:val="subscript"/>
        </w:rPr>
        <w:t>MSY</w:t>
      </w:r>
      <w:r>
        <w:t xml:space="preserve"> are derived.</w:t>
      </w:r>
    </w:p>
    <w:p w14:paraId="787BB65F" w14:textId="77777777" w:rsidR="00A0482C" w:rsidRDefault="00000000">
      <w:pPr>
        <w:spacing w:after="80" w:line="252" w:lineRule="auto"/>
        <w:ind w:firstLine="340"/>
        <w:jc w:val="both"/>
      </w:pPr>
      <w:r>
        <w:t xml:space="preserve">The specification is given in Table 8. Catches were total landings from 1989 to 2023, extended to 2025 with purse-seine landings, the only data available for those two years; between 2017 and 2023 the purse-seine fleet accounted for 86–100% of the total, so these values represent nearly all catches. Because the series combines different sources, catches were treated as observed with error. Indices were the CPUE series of Table 7, with the log-scale standard error computed from the CV as </w:t>
      </w:r>
      <m:oMath>
        <m:r>
          <m:rPr>
            <m:sty m:val="p"/>
          </m:rPr>
          <w:rPr>
            <w:rFonts w:ascii="Cambria Math" w:hAnsi="Cambria Math"/>
          </w:rPr>
          <m:t>SE</m:t>
        </m:r>
        <m:r>
          <w:rPr>
            <w:rFonts w:ascii="Cambria Math" w:hAnsi="Cambria Math"/>
          </w:rPr>
          <m:t>=</m:t>
        </m:r>
        <m:rad>
          <m:radPr>
            <m:degHide m:val="1"/>
            <m:ctrlPr>
              <w:rPr>
                <w:rFonts w:ascii="Cambria Math" w:hAnsi="Cambria Math"/>
              </w:rPr>
            </m:ctrlPr>
          </m:radPr>
          <m:deg/>
          <m:e>
            <m:r>
              <m:rPr>
                <m:sty m:val="p"/>
              </m:rPr>
              <w:rPr>
                <w:rFonts w:ascii="Cambria Math" w:hAnsi="Cambria Math"/>
              </w:rPr>
              <m:t>ln</m:t>
            </m:r>
            <m:r>
              <w:rPr>
                <w:rFonts w:ascii="Cambria Math" w:hAnsi="Cambria Math"/>
              </w:rPr>
              <m:t>(1+</m:t>
            </m:r>
            <m:sSup>
              <m:sSupPr>
                <m:ctrlPr>
                  <w:rPr>
                    <w:rFonts w:ascii="Cambria Math" w:hAnsi="Cambria Math"/>
                  </w:rPr>
                </m:ctrlPr>
              </m:sSupPr>
              <m:e>
                <m:r>
                  <m:rPr>
                    <m:sty m:val="p"/>
                  </m:rPr>
                  <w:rPr>
                    <w:rFonts w:ascii="Cambria Math" w:hAnsi="Cambria Math"/>
                  </w:rPr>
                  <m:t>CV</m:t>
                </m:r>
              </m:e>
              <m:sup>
                <m:r>
                  <w:rPr>
                    <w:rFonts w:ascii="Cambria Math" w:hAnsi="Cambria Math"/>
                  </w:rPr>
                  <m:t>2</m:t>
                </m:r>
              </m:sup>
            </m:sSup>
            <m:r>
              <w:rPr>
                <w:rFonts w:ascii="Cambria Math" w:hAnsi="Cambria Math"/>
              </w:rPr>
              <m:t>)</m:t>
            </m:r>
          </m:e>
        </m:rad>
      </m:oMath>
      <w:r>
        <w:t xml:space="preserve">. The </w:t>
      </w:r>
      <w:r>
        <w:rPr>
          <w:i/>
          <w:iCs/>
        </w:rPr>
        <w:t>r</w:t>
      </w:r>
      <w:r>
        <w:t xml:space="preserve"> prior used the same interval as the base scenario of CMSY++, and the K prior was deliberately wide, so that the indices, rather than the prior, would set the scale of the stock.</w:t>
      </w:r>
    </w:p>
    <w:p w14:paraId="3D106115" w14:textId="77777777" w:rsidR="00A0482C" w:rsidRDefault="00000000">
      <w:pPr>
        <w:keepNext/>
        <w:spacing w:before="120" w:after="60"/>
        <w:jc w:val="both"/>
      </w:pPr>
      <w:r>
        <w:rPr>
          <w:b/>
          <w:bCs/>
          <w:sz w:val="19"/>
          <w:szCs w:val="19"/>
        </w:rPr>
        <w:t xml:space="preserve">Table 8. </w:t>
      </w:r>
      <w:r>
        <w:rPr>
          <w:sz w:val="19"/>
          <w:szCs w:val="19"/>
        </w:rPr>
        <w:t>Specification of JABBA for mackerel scad (base case and sensitivities).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3"/>
        <w:gridCol w:w="1735"/>
        <w:gridCol w:w="3266"/>
        <w:gridCol w:w="3572"/>
      </w:tblGrid>
      <w:tr w:rsidR="00A0482C" w14:paraId="11748B79" w14:textId="77777777">
        <w:tblPrEx>
          <w:tblCellMar>
            <w:top w:w="0" w:type="dxa"/>
            <w:bottom w:w="0" w:type="dxa"/>
          </w:tblCellMar>
        </w:tblPrEx>
        <w:trPr>
          <w:tblHeader/>
        </w:trPr>
        <w:tc>
          <w:tcPr>
            <w:tcW w:w="1633"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14:paraId="38694529" w14:textId="77777777" w:rsidR="00A0482C" w:rsidRDefault="00000000">
            <w:pPr>
              <w:spacing w:line="228" w:lineRule="auto"/>
            </w:pPr>
            <w:r>
              <w:rPr>
                <w:b/>
                <w:bCs/>
                <w:sz w:val="18"/>
                <w:szCs w:val="18"/>
              </w:rPr>
              <w:t>Component</w:t>
            </w:r>
          </w:p>
        </w:tc>
        <w:tc>
          <w:tcPr>
            <w:tcW w:w="1735"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14:paraId="398F0A44" w14:textId="77777777" w:rsidR="00A0482C" w:rsidRDefault="00000000">
            <w:pPr>
              <w:spacing w:line="228" w:lineRule="auto"/>
            </w:pPr>
            <w:r>
              <w:rPr>
                <w:b/>
                <w:bCs/>
                <w:sz w:val="18"/>
                <w:szCs w:val="18"/>
              </w:rPr>
              <w:t>Distribution</w:t>
            </w:r>
          </w:p>
        </w:tc>
        <w:tc>
          <w:tcPr>
            <w:tcW w:w="3266"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14:paraId="3F899A69" w14:textId="77777777" w:rsidR="00A0482C" w:rsidRDefault="00000000">
            <w:pPr>
              <w:spacing w:line="228" w:lineRule="auto"/>
            </w:pPr>
            <w:r>
              <w:rPr>
                <w:b/>
                <w:bCs/>
                <w:sz w:val="18"/>
                <w:szCs w:val="18"/>
              </w:rPr>
              <w:t>Values</w:t>
            </w:r>
          </w:p>
        </w:tc>
        <w:tc>
          <w:tcPr>
            <w:tcW w:w="3572"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14:paraId="1CF58178" w14:textId="77777777" w:rsidR="00A0482C" w:rsidRDefault="00000000">
            <w:pPr>
              <w:spacing w:line="228" w:lineRule="auto"/>
            </w:pPr>
            <w:r>
              <w:rPr>
                <w:b/>
                <w:bCs/>
                <w:sz w:val="18"/>
                <w:szCs w:val="18"/>
              </w:rPr>
              <w:t>Source and rationale</w:t>
            </w:r>
          </w:p>
        </w:tc>
      </w:tr>
      <w:tr w:rsidR="00A0482C" w14:paraId="2028C27F" w14:textId="77777777">
        <w:tblPrEx>
          <w:tblCellMar>
            <w:top w:w="0" w:type="dxa"/>
            <w:bottom w:w="0" w:type="dxa"/>
          </w:tblCellMar>
        </w:tblPrEx>
        <w:trPr>
          <w:cantSplit/>
        </w:trPr>
        <w:tc>
          <w:tcPr>
            <w:tcW w:w="16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F17613F" w14:textId="77777777" w:rsidR="00A0482C" w:rsidRDefault="00000000">
            <w:pPr>
              <w:spacing w:line="228" w:lineRule="auto"/>
            </w:pPr>
            <w:r>
              <w:rPr>
                <w:sz w:val="18"/>
                <w:szCs w:val="18"/>
              </w:rPr>
              <w:t>Catches</w:t>
            </w:r>
          </w:p>
        </w:tc>
        <w:tc>
          <w:tcPr>
            <w:tcW w:w="173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EFA81E1" w14:textId="77777777" w:rsidR="00A0482C" w:rsidRDefault="00000000">
            <w:pPr>
              <w:spacing w:line="228" w:lineRule="auto"/>
            </w:pPr>
            <w:r>
              <w:rPr>
                <w:sz w:val="18"/>
                <w:szCs w:val="18"/>
              </w:rPr>
              <w:t>Lognormal (CV = 0.20)</w:t>
            </w:r>
          </w:p>
        </w:tc>
        <w:tc>
          <w:tcPr>
            <w:tcW w:w="326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B558654" w14:textId="77777777" w:rsidR="00A0482C" w:rsidRDefault="00000000">
            <w:pPr>
              <w:spacing w:line="228" w:lineRule="auto"/>
            </w:pPr>
            <w:r>
              <w:rPr>
                <w:sz w:val="18"/>
                <w:szCs w:val="18"/>
              </w:rPr>
              <w:t xml:space="preserve">1989–2025; 2014 interpolated; 2018 mean of </w:t>
            </w:r>
            <w:proofErr w:type="spellStart"/>
            <w:r>
              <w:rPr>
                <w:sz w:val="18"/>
                <w:szCs w:val="18"/>
              </w:rPr>
              <w:t>neighbouring</w:t>
            </w:r>
            <w:proofErr w:type="spellEnd"/>
            <w:r>
              <w:rPr>
                <w:sz w:val="18"/>
                <w:szCs w:val="18"/>
              </w:rPr>
              <w:t xml:space="preserve"> years; 2024–2025 purse seine only</w:t>
            </w:r>
          </w:p>
        </w:tc>
        <w:tc>
          <w:tcPr>
            <w:tcW w:w="357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B0F2C71" w14:textId="77777777" w:rsidR="00A0482C" w:rsidRDefault="00000000">
            <w:pPr>
              <w:spacing w:line="228" w:lineRule="auto"/>
            </w:pPr>
            <w:r>
              <w:rPr>
                <w:sz w:val="18"/>
                <w:szCs w:val="18"/>
              </w:rPr>
              <w:t>Section 2.3.1; error larger than the default (0.10) because the series combines sources</w:t>
            </w:r>
          </w:p>
        </w:tc>
      </w:tr>
      <w:tr w:rsidR="00A0482C" w14:paraId="3DE14F14" w14:textId="77777777">
        <w:tblPrEx>
          <w:tblCellMar>
            <w:top w:w="0" w:type="dxa"/>
            <w:bottom w:w="0" w:type="dxa"/>
          </w:tblCellMar>
        </w:tblPrEx>
        <w:trPr>
          <w:cantSplit/>
        </w:trPr>
        <w:tc>
          <w:tcPr>
            <w:tcW w:w="16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6BA34A3" w14:textId="77777777" w:rsidR="00A0482C" w:rsidRDefault="00000000">
            <w:pPr>
              <w:spacing w:line="228" w:lineRule="auto"/>
            </w:pPr>
            <w:r>
              <w:rPr>
                <w:sz w:val="18"/>
                <w:szCs w:val="18"/>
              </w:rPr>
              <w:t>Indices</w:t>
            </w:r>
          </w:p>
        </w:tc>
        <w:tc>
          <w:tcPr>
            <w:tcW w:w="173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0823B63" w14:textId="77777777" w:rsidR="00A0482C" w:rsidRDefault="00000000">
            <w:pPr>
              <w:spacing w:line="228" w:lineRule="auto"/>
            </w:pPr>
            <w:r>
              <w:rPr>
                <w:sz w:val="18"/>
                <w:szCs w:val="18"/>
              </w:rPr>
              <w:t>Lognormal</w:t>
            </w:r>
          </w:p>
        </w:tc>
        <w:tc>
          <w:tcPr>
            <w:tcW w:w="326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F2D2D90" w14:textId="77777777" w:rsidR="00A0482C" w:rsidRDefault="00000000">
            <w:pPr>
              <w:spacing w:line="228" w:lineRule="auto"/>
            </w:pPr>
            <w:r>
              <w:rPr>
                <w:sz w:val="18"/>
                <w:szCs w:val="18"/>
              </w:rPr>
              <w:t>Series of Table 7, mean 1; SE = √</w:t>
            </w:r>
            <w:proofErr w:type="gramStart"/>
            <w:r>
              <w:rPr>
                <w:sz w:val="18"/>
                <w:szCs w:val="18"/>
              </w:rPr>
              <w:t>ln(</w:t>
            </w:r>
            <w:proofErr w:type="gramEnd"/>
            <w:r>
              <w:rPr>
                <w:sz w:val="18"/>
                <w:szCs w:val="18"/>
              </w:rPr>
              <w:t>1 + CV²)</w:t>
            </w:r>
          </w:p>
        </w:tc>
        <w:tc>
          <w:tcPr>
            <w:tcW w:w="357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339DD07" w14:textId="77777777" w:rsidR="00A0482C" w:rsidRDefault="00000000">
            <w:pPr>
              <w:spacing w:line="228" w:lineRule="auto"/>
            </w:pPr>
            <w:r>
              <w:rPr>
                <w:sz w:val="18"/>
                <w:szCs w:val="18"/>
              </w:rPr>
              <w:t xml:space="preserve">One </w:t>
            </w:r>
            <w:r>
              <w:rPr>
                <w:i/>
                <w:iCs/>
                <w:sz w:val="18"/>
                <w:szCs w:val="18"/>
              </w:rPr>
              <w:t>q</w:t>
            </w:r>
            <w:r>
              <w:rPr>
                <w:sz w:val="18"/>
                <w:szCs w:val="18"/>
              </w:rPr>
              <w:t xml:space="preserve"> and one additional variance per index</w:t>
            </w:r>
          </w:p>
        </w:tc>
      </w:tr>
      <w:tr w:rsidR="00A0482C" w14:paraId="3D355828" w14:textId="77777777">
        <w:tblPrEx>
          <w:tblCellMar>
            <w:top w:w="0" w:type="dxa"/>
            <w:bottom w:w="0" w:type="dxa"/>
          </w:tblCellMar>
        </w:tblPrEx>
        <w:trPr>
          <w:cantSplit/>
        </w:trPr>
        <w:tc>
          <w:tcPr>
            <w:tcW w:w="16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7A37D93" w14:textId="77777777" w:rsidR="00A0482C" w:rsidRDefault="00000000">
            <w:pPr>
              <w:spacing w:line="228" w:lineRule="auto"/>
            </w:pPr>
            <w:r>
              <w:rPr>
                <w:sz w:val="18"/>
                <w:szCs w:val="18"/>
              </w:rPr>
              <w:t>Production curve</w:t>
            </w:r>
          </w:p>
        </w:tc>
        <w:tc>
          <w:tcPr>
            <w:tcW w:w="173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6151292" w14:textId="77777777" w:rsidR="00A0482C" w:rsidRDefault="00000000">
            <w:pPr>
              <w:spacing w:line="228" w:lineRule="auto"/>
            </w:pPr>
            <w:r>
              <w:rPr>
                <w:sz w:val="18"/>
                <w:szCs w:val="18"/>
              </w:rPr>
              <w:t>–</w:t>
            </w:r>
          </w:p>
        </w:tc>
        <w:tc>
          <w:tcPr>
            <w:tcW w:w="326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1763E4A" w14:textId="77777777" w:rsidR="00A0482C" w:rsidRDefault="00000000">
            <w:pPr>
              <w:spacing w:line="228" w:lineRule="auto"/>
            </w:pPr>
            <w:r>
              <w:rPr>
                <w:sz w:val="18"/>
                <w:szCs w:val="18"/>
              </w:rPr>
              <w:t>Schaefer (B</w:t>
            </w:r>
            <w:r>
              <w:rPr>
                <w:sz w:val="18"/>
                <w:szCs w:val="18"/>
                <w:vertAlign w:val="subscript"/>
              </w:rPr>
              <w:t>MSY</w:t>
            </w:r>
            <w:r>
              <w:rPr>
                <w:sz w:val="18"/>
                <w:szCs w:val="18"/>
              </w:rPr>
              <w:t>/K = 0.5); Fox (≈ 0.37) in J6</w:t>
            </w:r>
          </w:p>
        </w:tc>
        <w:tc>
          <w:tcPr>
            <w:tcW w:w="357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04048CC" w14:textId="77777777" w:rsidR="00A0482C" w:rsidRDefault="00000000">
            <w:pPr>
              <w:spacing w:line="228" w:lineRule="auto"/>
            </w:pPr>
            <w:r>
              <w:rPr>
                <w:sz w:val="18"/>
                <w:szCs w:val="18"/>
              </w:rPr>
              <w:t xml:space="preserve">Fox as sensitivity for productive </w:t>
            </w:r>
            <w:proofErr w:type="spellStart"/>
            <w:r>
              <w:rPr>
                <w:sz w:val="18"/>
                <w:szCs w:val="18"/>
              </w:rPr>
              <w:t>pelagics</w:t>
            </w:r>
            <w:proofErr w:type="spellEnd"/>
          </w:p>
        </w:tc>
      </w:tr>
      <w:tr w:rsidR="00A0482C" w14:paraId="6D3DF8A2" w14:textId="77777777">
        <w:tblPrEx>
          <w:tblCellMar>
            <w:top w:w="0" w:type="dxa"/>
            <w:bottom w:w="0" w:type="dxa"/>
          </w:tblCellMar>
        </w:tblPrEx>
        <w:trPr>
          <w:cantSplit/>
        </w:trPr>
        <w:tc>
          <w:tcPr>
            <w:tcW w:w="16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283CA27" w14:textId="77777777" w:rsidR="00A0482C" w:rsidRDefault="00000000">
            <w:pPr>
              <w:spacing w:line="228" w:lineRule="auto"/>
            </w:pPr>
            <w:r>
              <w:rPr>
                <w:i/>
                <w:iCs/>
                <w:sz w:val="18"/>
                <w:szCs w:val="18"/>
              </w:rPr>
              <w:t>r</w:t>
            </w:r>
            <w:r>
              <w:rPr>
                <w:sz w:val="18"/>
                <w:szCs w:val="18"/>
              </w:rPr>
              <w:t xml:space="preserve"> (yr</w:t>
            </w:r>
            <w:r>
              <w:rPr>
                <w:sz w:val="18"/>
                <w:szCs w:val="18"/>
                <w:vertAlign w:val="superscript"/>
              </w:rPr>
              <w:t>−1</w:t>
            </w:r>
            <w:r>
              <w:rPr>
                <w:sz w:val="18"/>
                <w:szCs w:val="18"/>
              </w:rPr>
              <w:t>)</w:t>
            </w:r>
          </w:p>
        </w:tc>
        <w:tc>
          <w:tcPr>
            <w:tcW w:w="173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4EF174E" w14:textId="77777777" w:rsidR="00A0482C" w:rsidRDefault="00000000">
            <w:pPr>
              <w:spacing w:line="228" w:lineRule="auto"/>
            </w:pPr>
            <w:r>
              <w:rPr>
                <w:sz w:val="18"/>
                <w:szCs w:val="18"/>
              </w:rPr>
              <w:t>Lognormal</w:t>
            </w:r>
          </w:p>
        </w:tc>
        <w:tc>
          <w:tcPr>
            <w:tcW w:w="326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35DDCB5" w14:textId="77777777" w:rsidR="00A0482C" w:rsidRDefault="00000000">
            <w:pPr>
              <w:spacing w:line="228" w:lineRule="auto"/>
            </w:pPr>
            <w:r>
              <w:rPr>
                <w:sz w:val="18"/>
                <w:szCs w:val="18"/>
              </w:rPr>
              <w:t>0.20–0.80; sensitivities 0.10–0.50 and 0.40–1.20</w:t>
            </w:r>
          </w:p>
        </w:tc>
        <w:tc>
          <w:tcPr>
            <w:tcW w:w="357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2E8EFA1" w14:textId="77777777" w:rsidR="00A0482C" w:rsidRDefault="00000000">
            <w:pPr>
              <w:spacing w:line="228" w:lineRule="auto"/>
            </w:pPr>
            <w:r>
              <w:rPr>
                <w:sz w:val="18"/>
                <w:szCs w:val="18"/>
              </w:rPr>
              <w:t>Same interval as the CMSY++ base scenario (Section 2.4.2)</w:t>
            </w:r>
          </w:p>
        </w:tc>
      </w:tr>
      <w:tr w:rsidR="00A0482C" w14:paraId="348B5D28" w14:textId="77777777">
        <w:tblPrEx>
          <w:tblCellMar>
            <w:top w:w="0" w:type="dxa"/>
            <w:bottom w:w="0" w:type="dxa"/>
          </w:tblCellMar>
        </w:tblPrEx>
        <w:trPr>
          <w:cantSplit/>
        </w:trPr>
        <w:tc>
          <w:tcPr>
            <w:tcW w:w="16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D785682" w14:textId="77777777" w:rsidR="00A0482C" w:rsidRDefault="00000000">
            <w:pPr>
              <w:spacing w:line="228" w:lineRule="auto"/>
            </w:pPr>
            <w:r>
              <w:rPr>
                <w:sz w:val="18"/>
                <w:szCs w:val="18"/>
              </w:rPr>
              <w:lastRenderedPageBreak/>
              <w:t>K (t)</w:t>
            </w:r>
          </w:p>
        </w:tc>
        <w:tc>
          <w:tcPr>
            <w:tcW w:w="173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C9BBC94" w14:textId="77777777" w:rsidR="00A0482C" w:rsidRDefault="00000000">
            <w:pPr>
              <w:spacing w:line="228" w:lineRule="auto"/>
            </w:pPr>
            <w:r>
              <w:rPr>
                <w:sz w:val="18"/>
                <w:szCs w:val="18"/>
              </w:rPr>
              <w:t>Lognormal</w:t>
            </w:r>
          </w:p>
        </w:tc>
        <w:tc>
          <w:tcPr>
            <w:tcW w:w="326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D9E3D47" w14:textId="77777777" w:rsidR="00A0482C" w:rsidRDefault="00000000">
            <w:pPr>
              <w:spacing w:line="228" w:lineRule="auto"/>
            </w:pPr>
            <w:r>
              <w:rPr>
                <w:sz w:val="18"/>
                <w:szCs w:val="18"/>
              </w:rPr>
              <w:t>3,015–92,821; sensitivities 3,015–12,376 and 30,940–154,702</w:t>
            </w:r>
          </w:p>
        </w:tc>
        <w:tc>
          <w:tcPr>
            <w:tcW w:w="357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AA19985" w14:textId="77777777" w:rsidR="00A0482C" w:rsidRDefault="00000000">
            <w:pPr>
              <w:spacing w:line="228" w:lineRule="auto"/>
            </w:pPr>
            <w:r>
              <w:rPr>
                <w:sz w:val="18"/>
                <w:szCs w:val="18"/>
              </w:rPr>
              <w:t>Lower bound = largest annual catch; upper bound = 60 × mean catch (1,547 t)</w:t>
            </w:r>
          </w:p>
        </w:tc>
      </w:tr>
      <w:tr w:rsidR="00A0482C" w14:paraId="53FA9309" w14:textId="77777777">
        <w:tblPrEx>
          <w:tblCellMar>
            <w:top w:w="0" w:type="dxa"/>
            <w:bottom w:w="0" w:type="dxa"/>
          </w:tblCellMar>
        </w:tblPrEx>
        <w:trPr>
          <w:cantSplit/>
        </w:trPr>
        <w:tc>
          <w:tcPr>
            <w:tcW w:w="16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1819934" w14:textId="77777777" w:rsidR="00A0482C" w:rsidRDefault="00000000">
            <w:pPr>
              <w:spacing w:line="228" w:lineRule="auto"/>
            </w:pPr>
            <w:r>
              <w:rPr>
                <w:sz w:val="18"/>
                <w:szCs w:val="18"/>
              </w:rPr>
              <w:t>ψ = B</w:t>
            </w:r>
            <w:r>
              <w:rPr>
                <w:sz w:val="18"/>
                <w:szCs w:val="18"/>
                <w:vertAlign w:val="subscript"/>
              </w:rPr>
              <w:t>1989</w:t>
            </w:r>
            <w:r>
              <w:rPr>
                <w:sz w:val="18"/>
                <w:szCs w:val="18"/>
              </w:rPr>
              <w:t>/K</w:t>
            </w:r>
          </w:p>
        </w:tc>
        <w:tc>
          <w:tcPr>
            <w:tcW w:w="173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3DF3948" w14:textId="77777777" w:rsidR="00A0482C" w:rsidRDefault="00000000">
            <w:pPr>
              <w:spacing w:line="228" w:lineRule="auto"/>
            </w:pPr>
            <w:r>
              <w:rPr>
                <w:sz w:val="18"/>
                <w:szCs w:val="18"/>
              </w:rPr>
              <w:t>Lognormal</w:t>
            </w:r>
          </w:p>
        </w:tc>
        <w:tc>
          <w:tcPr>
            <w:tcW w:w="326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5A54D61" w14:textId="77777777" w:rsidR="00A0482C" w:rsidRDefault="00000000">
            <w:pPr>
              <w:spacing w:line="228" w:lineRule="auto"/>
            </w:pPr>
            <w:r>
              <w:rPr>
                <w:sz w:val="18"/>
                <w:szCs w:val="18"/>
              </w:rPr>
              <w:t>Median 0.63; CV 0.19 (P10–P90 ≈ 0.50–0.80); 2015–2025 window: 0.5, CV 0.6</w:t>
            </w:r>
          </w:p>
        </w:tc>
        <w:tc>
          <w:tcPr>
            <w:tcW w:w="357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196745B" w14:textId="77777777" w:rsidR="00A0482C" w:rsidRDefault="00000000">
            <w:pPr>
              <w:spacing w:line="228" w:lineRule="auto"/>
            </w:pPr>
            <w:r>
              <w:rPr>
                <w:sz w:val="18"/>
                <w:szCs w:val="18"/>
              </w:rPr>
              <w:t>Same premise as the catch-only models (Section 2.4.1)</w:t>
            </w:r>
          </w:p>
        </w:tc>
      </w:tr>
      <w:tr w:rsidR="00A0482C" w14:paraId="1AF9783F" w14:textId="77777777">
        <w:tblPrEx>
          <w:tblCellMar>
            <w:top w:w="0" w:type="dxa"/>
            <w:bottom w:w="0" w:type="dxa"/>
          </w:tblCellMar>
        </w:tblPrEx>
        <w:trPr>
          <w:cantSplit/>
        </w:trPr>
        <w:tc>
          <w:tcPr>
            <w:tcW w:w="16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EE7A127" w14:textId="77777777" w:rsidR="00A0482C" w:rsidRDefault="00000000">
            <w:pPr>
              <w:spacing w:line="228" w:lineRule="auto"/>
            </w:pPr>
            <w:r>
              <w:rPr>
                <w:sz w:val="18"/>
                <w:szCs w:val="18"/>
              </w:rPr>
              <w:t>Catchability (</w:t>
            </w:r>
            <w:r>
              <w:rPr>
                <w:i/>
                <w:iCs/>
                <w:sz w:val="18"/>
                <w:szCs w:val="18"/>
              </w:rPr>
              <w:t>q</w:t>
            </w:r>
            <w:r>
              <w:rPr>
                <w:sz w:val="18"/>
                <w:szCs w:val="18"/>
              </w:rPr>
              <w:t>)</w:t>
            </w:r>
          </w:p>
        </w:tc>
        <w:tc>
          <w:tcPr>
            <w:tcW w:w="173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71E29B0" w14:textId="77777777" w:rsidR="00A0482C" w:rsidRDefault="00000000">
            <w:pPr>
              <w:spacing w:line="228" w:lineRule="auto"/>
            </w:pPr>
            <w:r>
              <w:rPr>
                <w:sz w:val="18"/>
                <w:szCs w:val="18"/>
              </w:rPr>
              <w:t>Uninformative</w:t>
            </w:r>
          </w:p>
        </w:tc>
        <w:tc>
          <w:tcPr>
            <w:tcW w:w="326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B321A95" w14:textId="77777777" w:rsidR="00A0482C" w:rsidRDefault="00000000">
            <w:pPr>
              <w:spacing w:line="228" w:lineRule="auto"/>
            </w:pPr>
            <w:r>
              <w:rPr>
                <w:sz w:val="18"/>
                <w:szCs w:val="18"/>
              </w:rPr>
              <w:t>One per index</w:t>
            </w:r>
          </w:p>
        </w:tc>
        <w:tc>
          <w:tcPr>
            <w:tcW w:w="357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C329135" w14:textId="77777777" w:rsidR="00A0482C" w:rsidRDefault="00000000">
            <w:pPr>
              <w:spacing w:line="228" w:lineRule="auto"/>
            </w:pPr>
            <w:r>
              <w:rPr>
                <w:sz w:val="18"/>
                <w:szCs w:val="18"/>
              </w:rPr>
              <w:t>JABBA default</w:t>
            </w:r>
          </w:p>
        </w:tc>
      </w:tr>
      <w:tr w:rsidR="00A0482C" w14:paraId="41E4B2ED" w14:textId="77777777">
        <w:tblPrEx>
          <w:tblCellMar>
            <w:top w:w="0" w:type="dxa"/>
            <w:bottom w:w="0" w:type="dxa"/>
          </w:tblCellMar>
        </w:tblPrEx>
        <w:trPr>
          <w:cantSplit/>
        </w:trPr>
        <w:tc>
          <w:tcPr>
            <w:tcW w:w="16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F86C221" w14:textId="77777777" w:rsidR="00A0482C" w:rsidRDefault="00000000">
            <w:pPr>
              <w:spacing w:line="228" w:lineRule="auto"/>
            </w:pPr>
            <w:r>
              <w:rPr>
                <w:sz w:val="18"/>
                <w:szCs w:val="18"/>
              </w:rPr>
              <w:t>Process error</w:t>
            </w:r>
          </w:p>
        </w:tc>
        <w:tc>
          <w:tcPr>
            <w:tcW w:w="173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FD26380" w14:textId="77777777" w:rsidR="00A0482C" w:rsidRDefault="00000000">
            <w:pPr>
              <w:spacing w:line="228" w:lineRule="auto"/>
            </w:pPr>
            <w:r>
              <w:rPr>
                <w:sz w:val="18"/>
                <w:szCs w:val="18"/>
              </w:rPr>
              <w:t>Inverse gamma</w:t>
            </w:r>
          </w:p>
        </w:tc>
        <w:tc>
          <w:tcPr>
            <w:tcW w:w="326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53FF48C" w14:textId="77777777" w:rsidR="00A0482C" w:rsidRDefault="00000000">
            <w:pPr>
              <w:spacing w:line="228" w:lineRule="auto"/>
            </w:pPr>
            <w:r>
              <w:rPr>
                <w:sz w:val="18"/>
                <w:szCs w:val="18"/>
              </w:rPr>
              <w:t>Variance (4; 0.01)</w:t>
            </w:r>
          </w:p>
        </w:tc>
        <w:tc>
          <w:tcPr>
            <w:tcW w:w="357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19590E6" w14:textId="77777777" w:rsidR="00A0482C" w:rsidRDefault="00000000">
            <w:pPr>
              <w:spacing w:line="228" w:lineRule="auto"/>
            </w:pPr>
            <w:r>
              <w:rPr>
                <w:sz w:val="18"/>
                <w:szCs w:val="18"/>
              </w:rPr>
              <w:t>JABBA default, weakly informative</w:t>
            </w:r>
          </w:p>
        </w:tc>
      </w:tr>
      <w:tr w:rsidR="00A0482C" w14:paraId="37F11D82" w14:textId="77777777">
        <w:tblPrEx>
          <w:tblCellMar>
            <w:top w:w="0" w:type="dxa"/>
            <w:bottom w:w="0" w:type="dxa"/>
          </w:tblCellMar>
        </w:tblPrEx>
        <w:trPr>
          <w:cantSplit/>
        </w:trPr>
        <w:tc>
          <w:tcPr>
            <w:tcW w:w="16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DB11319" w14:textId="77777777" w:rsidR="00A0482C" w:rsidRDefault="00000000">
            <w:pPr>
              <w:spacing w:line="228" w:lineRule="auto"/>
            </w:pPr>
            <w:r>
              <w:rPr>
                <w:sz w:val="18"/>
                <w:szCs w:val="18"/>
              </w:rPr>
              <w:t>Observation error</w:t>
            </w:r>
          </w:p>
        </w:tc>
        <w:tc>
          <w:tcPr>
            <w:tcW w:w="173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D36A098" w14:textId="77777777" w:rsidR="00A0482C" w:rsidRDefault="00000000">
            <w:pPr>
              <w:spacing w:line="228" w:lineRule="auto"/>
            </w:pPr>
            <w:r>
              <w:rPr>
                <w:sz w:val="18"/>
                <w:szCs w:val="18"/>
              </w:rPr>
              <w:t>–</w:t>
            </w:r>
          </w:p>
        </w:tc>
        <w:tc>
          <w:tcPr>
            <w:tcW w:w="326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3BB9A19" w14:textId="77777777" w:rsidR="00A0482C" w:rsidRDefault="00000000">
            <w:pPr>
              <w:spacing w:line="228" w:lineRule="auto"/>
            </w:pPr>
            <w:r>
              <w:rPr>
                <w:sz w:val="18"/>
                <w:szCs w:val="18"/>
              </w:rPr>
              <w:t>Series SE + estimated variance per index + fixed 0.01</w:t>
            </w:r>
          </w:p>
        </w:tc>
        <w:tc>
          <w:tcPr>
            <w:tcW w:w="357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F13715F" w14:textId="77777777" w:rsidR="00A0482C" w:rsidRDefault="00000000">
            <w:pPr>
              <w:spacing w:line="228" w:lineRule="auto"/>
            </w:pPr>
            <w:r>
              <w:rPr>
                <w:sz w:val="18"/>
                <w:szCs w:val="18"/>
              </w:rPr>
              <w:t>The standardization SE ignores the uncertainty of the inferred tactic</w:t>
            </w:r>
          </w:p>
        </w:tc>
      </w:tr>
      <w:tr w:rsidR="00A0482C" w14:paraId="0F9364A0" w14:textId="77777777">
        <w:tblPrEx>
          <w:tblCellMar>
            <w:top w:w="0" w:type="dxa"/>
            <w:bottom w:w="0" w:type="dxa"/>
          </w:tblCellMar>
        </w:tblPrEx>
        <w:trPr>
          <w:cantSplit/>
        </w:trPr>
        <w:tc>
          <w:tcPr>
            <w:tcW w:w="1633"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14:paraId="3805CF75" w14:textId="77777777" w:rsidR="00A0482C" w:rsidRDefault="00000000">
            <w:pPr>
              <w:spacing w:line="228" w:lineRule="auto"/>
            </w:pPr>
            <w:r>
              <w:rPr>
                <w:sz w:val="18"/>
                <w:szCs w:val="18"/>
              </w:rPr>
              <w:t>MCMC (JAGS)</w:t>
            </w:r>
          </w:p>
        </w:tc>
        <w:tc>
          <w:tcPr>
            <w:tcW w:w="1735"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14:paraId="51F47D11" w14:textId="77777777" w:rsidR="00A0482C" w:rsidRDefault="00000000">
            <w:pPr>
              <w:spacing w:line="228" w:lineRule="auto"/>
            </w:pPr>
            <w:r>
              <w:rPr>
                <w:sz w:val="18"/>
                <w:szCs w:val="18"/>
              </w:rPr>
              <w:t>–</w:t>
            </w:r>
          </w:p>
        </w:tc>
        <w:tc>
          <w:tcPr>
            <w:tcW w:w="3266"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14:paraId="2B6ECC8B" w14:textId="77777777" w:rsidR="00A0482C" w:rsidRDefault="00000000">
            <w:pPr>
              <w:spacing w:line="228" w:lineRule="auto"/>
            </w:pPr>
            <w:r>
              <w:rPr>
                <w:sz w:val="18"/>
                <w:szCs w:val="18"/>
              </w:rPr>
              <w:t>2 chains × 30,000 iterations; burn-in 5,000; thinning 5; 10,000 samples</w:t>
            </w:r>
          </w:p>
        </w:tc>
        <w:tc>
          <w:tcPr>
            <w:tcW w:w="3572"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14:paraId="54A9C264" w14:textId="77777777" w:rsidR="00A0482C" w:rsidRDefault="00000000">
            <w:pPr>
              <w:spacing w:line="228" w:lineRule="auto"/>
            </w:pPr>
            <w:r>
              <w:rPr>
                <w:sz w:val="18"/>
                <w:szCs w:val="18"/>
              </w:rPr>
              <w:t>18 scenarios (Table 9)</w:t>
            </w:r>
          </w:p>
        </w:tc>
      </w:tr>
    </w:tbl>
    <w:p w14:paraId="24880FFD" w14:textId="77777777" w:rsidR="00A0482C" w:rsidRDefault="00A0482C">
      <w:pPr>
        <w:spacing w:after="60"/>
      </w:pPr>
    </w:p>
    <w:p w14:paraId="12DA29CA" w14:textId="77777777" w:rsidR="00A0482C" w:rsidRDefault="00000000">
      <w:pPr>
        <w:spacing w:after="80" w:line="252" w:lineRule="auto"/>
        <w:ind w:firstLine="340"/>
        <w:jc w:val="both"/>
      </w:pPr>
      <w:r>
        <w:t>Eighteen scenarios were run (Table 9), organized so that each can be read in contrast with another. Twelve cover the whole series (1989–2025) and vary the index used and the assumptions of the base case (J3, which combines the nominal index up to 2014 with the tactic-standardized index from 2015). Six restrict the model to 2015–2025, the period with trip records, to verify what the recent index informs without the anchor of the historical series; in these, the K prior was recalculated from the mean catch of 2015–2025 and depletion in 2015 received a vague prior, because nothing is known about stock status in that year. The scenario with the index standardized without tactic (C4) was dropped as redundant with the base case.</w:t>
      </w:r>
    </w:p>
    <w:p w14:paraId="5681EBCB" w14:textId="77777777" w:rsidR="00A0482C" w:rsidRDefault="00000000">
      <w:pPr>
        <w:keepNext/>
        <w:spacing w:before="120" w:after="60"/>
        <w:jc w:val="both"/>
      </w:pPr>
      <w:r>
        <w:rPr>
          <w:b/>
          <w:bCs/>
          <w:sz w:val="19"/>
          <w:szCs w:val="19"/>
        </w:rPr>
        <w:t xml:space="preserve">Table 9. </w:t>
      </w:r>
      <w:r>
        <w:rPr>
          <w:sz w:val="19"/>
          <w:szCs w:val="19"/>
        </w:rPr>
        <w:t>JABBA scenarios and the question addressed by each group.</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9"/>
        <w:gridCol w:w="1939"/>
        <w:gridCol w:w="2245"/>
        <w:gridCol w:w="4083"/>
      </w:tblGrid>
      <w:tr w:rsidR="00A0482C" w14:paraId="14588647" w14:textId="77777777">
        <w:tblPrEx>
          <w:tblCellMar>
            <w:top w:w="0" w:type="dxa"/>
            <w:bottom w:w="0" w:type="dxa"/>
          </w:tblCellMar>
        </w:tblPrEx>
        <w:trPr>
          <w:tblHeader/>
        </w:trPr>
        <w:tc>
          <w:tcPr>
            <w:tcW w:w="1939"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14:paraId="513FBA8A" w14:textId="77777777" w:rsidR="00A0482C" w:rsidRDefault="00000000">
            <w:pPr>
              <w:spacing w:line="228" w:lineRule="auto"/>
            </w:pPr>
            <w:r>
              <w:rPr>
                <w:b/>
                <w:bCs/>
                <w:sz w:val="18"/>
                <w:szCs w:val="18"/>
              </w:rPr>
              <w:t>Group</w:t>
            </w:r>
          </w:p>
        </w:tc>
        <w:tc>
          <w:tcPr>
            <w:tcW w:w="1939"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14:paraId="14E41A46" w14:textId="77777777" w:rsidR="00A0482C" w:rsidRDefault="00000000">
            <w:pPr>
              <w:spacing w:line="228" w:lineRule="auto"/>
            </w:pPr>
            <w:r>
              <w:rPr>
                <w:b/>
                <w:bCs/>
                <w:sz w:val="18"/>
                <w:szCs w:val="18"/>
              </w:rPr>
              <w:t>Scenarios</w:t>
            </w:r>
          </w:p>
        </w:tc>
        <w:tc>
          <w:tcPr>
            <w:tcW w:w="2245"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14:paraId="0DD0B69D" w14:textId="77777777" w:rsidR="00A0482C" w:rsidRDefault="00000000">
            <w:pPr>
              <w:spacing w:line="228" w:lineRule="auto"/>
            </w:pPr>
            <w:r>
              <w:rPr>
                <w:b/>
                <w:bCs/>
                <w:sz w:val="18"/>
                <w:szCs w:val="18"/>
              </w:rPr>
              <w:t>Indices</w:t>
            </w:r>
          </w:p>
        </w:tc>
        <w:tc>
          <w:tcPr>
            <w:tcW w:w="4083"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14:paraId="1AFA6DF1" w14:textId="77777777" w:rsidR="00A0482C" w:rsidRDefault="00000000">
            <w:pPr>
              <w:spacing w:line="228" w:lineRule="auto"/>
            </w:pPr>
            <w:r>
              <w:rPr>
                <w:b/>
                <w:bCs/>
                <w:sz w:val="18"/>
                <w:szCs w:val="18"/>
              </w:rPr>
              <w:t>Question</w:t>
            </w:r>
          </w:p>
        </w:tc>
      </w:tr>
      <w:tr w:rsidR="00A0482C" w14:paraId="176DC937" w14:textId="77777777">
        <w:tblPrEx>
          <w:tblCellMar>
            <w:top w:w="0" w:type="dxa"/>
            <w:bottom w:w="0" w:type="dxa"/>
          </w:tblCellMar>
        </w:tblPrEx>
        <w:trPr>
          <w:cantSplit/>
        </w:trPr>
        <w:tc>
          <w:tcPr>
            <w:tcW w:w="193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3240F76" w14:textId="77777777" w:rsidR="00A0482C" w:rsidRDefault="00000000">
            <w:pPr>
              <w:spacing w:line="228" w:lineRule="auto"/>
            </w:pPr>
            <w:r>
              <w:rPr>
                <w:sz w:val="18"/>
                <w:szCs w:val="18"/>
              </w:rPr>
              <w:t>Catchability</w:t>
            </w:r>
          </w:p>
        </w:tc>
        <w:tc>
          <w:tcPr>
            <w:tcW w:w="193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971E827" w14:textId="77777777" w:rsidR="00A0482C" w:rsidRDefault="00000000">
            <w:pPr>
              <w:spacing w:line="228" w:lineRule="auto"/>
            </w:pPr>
            <w:r>
              <w:rPr>
                <w:sz w:val="18"/>
                <w:szCs w:val="18"/>
              </w:rPr>
              <w:t>J1 and J2</w:t>
            </w:r>
          </w:p>
        </w:tc>
        <w:tc>
          <w:tcPr>
            <w:tcW w:w="224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1E3E22E" w14:textId="77777777" w:rsidR="00A0482C" w:rsidRDefault="00000000">
            <w:pPr>
              <w:spacing w:line="228" w:lineRule="auto"/>
            </w:pPr>
            <w:r>
              <w:rPr>
                <w:sz w:val="18"/>
                <w:szCs w:val="18"/>
              </w:rPr>
              <w:t>C1 (J1); C2 + C3 (J2)</w:t>
            </w:r>
          </w:p>
        </w:tc>
        <w:tc>
          <w:tcPr>
            <w:tcW w:w="40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E68D985" w14:textId="77777777" w:rsidR="00A0482C" w:rsidRDefault="00000000">
            <w:pPr>
              <w:spacing w:line="228" w:lineRule="auto"/>
            </w:pPr>
            <w:r>
              <w:rPr>
                <w:sz w:val="18"/>
                <w:szCs w:val="18"/>
              </w:rPr>
              <w:t xml:space="preserve">Did the target switch change catchability? (one </w:t>
            </w:r>
            <w:r>
              <w:rPr>
                <w:i/>
                <w:iCs/>
                <w:sz w:val="18"/>
                <w:szCs w:val="18"/>
              </w:rPr>
              <w:t>q</w:t>
            </w:r>
            <w:r>
              <w:rPr>
                <w:sz w:val="18"/>
                <w:szCs w:val="18"/>
              </w:rPr>
              <w:t xml:space="preserve"> versus one </w:t>
            </w:r>
            <w:r>
              <w:rPr>
                <w:i/>
                <w:iCs/>
                <w:sz w:val="18"/>
                <w:szCs w:val="18"/>
              </w:rPr>
              <w:t>q</w:t>
            </w:r>
            <w:r>
              <w:rPr>
                <w:sz w:val="18"/>
                <w:szCs w:val="18"/>
              </w:rPr>
              <w:t xml:space="preserve"> per period)</w:t>
            </w:r>
          </w:p>
        </w:tc>
      </w:tr>
      <w:tr w:rsidR="00A0482C" w14:paraId="57F53743" w14:textId="77777777">
        <w:tblPrEx>
          <w:tblCellMar>
            <w:top w:w="0" w:type="dxa"/>
            <w:bottom w:w="0" w:type="dxa"/>
          </w:tblCellMar>
        </w:tblPrEx>
        <w:trPr>
          <w:cantSplit/>
        </w:trPr>
        <w:tc>
          <w:tcPr>
            <w:tcW w:w="193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9CD0D3B" w14:textId="77777777" w:rsidR="00A0482C" w:rsidRDefault="00000000">
            <w:pPr>
              <w:spacing w:line="228" w:lineRule="auto"/>
            </w:pPr>
            <w:r>
              <w:rPr>
                <w:sz w:val="18"/>
                <w:szCs w:val="18"/>
              </w:rPr>
              <w:t>Base case</w:t>
            </w:r>
          </w:p>
        </w:tc>
        <w:tc>
          <w:tcPr>
            <w:tcW w:w="193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A8190DC" w14:textId="77777777" w:rsidR="00A0482C" w:rsidRDefault="00000000">
            <w:pPr>
              <w:spacing w:line="228" w:lineRule="auto"/>
            </w:pPr>
            <w:r>
              <w:rPr>
                <w:sz w:val="18"/>
                <w:szCs w:val="18"/>
              </w:rPr>
              <w:t>J3</w:t>
            </w:r>
          </w:p>
        </w:tc>
        <w:tc>
          <w:tcPr>
            <w:tcW w:w="224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79F2E7F" w14:textId="77777777" w:rsidR="00A0482C" w:rsidRDefault="00000000">
            <w:pPr>
              <w:spacing w:line="228" w:lineRule="auto"/>
            </w:pPr>
            <w:r>
              <w:rPr>
                <w:sz w:val="18"/>
                <w:szCs w:val="18"/>
              </w:rPr>
              <w:t>C2 + C5</w:t>
            </w:r>
          </w:p>
        </w:tc>
        <w:tc>
          <w:tcPr>
            <w:tcW w:w="40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0C7B19B" w14:textId="77777777" w:rsidR="00A0482C" w:rsidRDefault="00000000">
            <w:pPr>
              <w:spacing w:line="228" w:lineRule="auto"/>
            </w:pPr>
            <w:r>
              <w:rPr>
                <w:sz w:val="18"/>
                <w:szCs w:val="18"/>
              </w:rPr>
              <w:t>Historical nominal index and recent tactic-standardized index</w:t>
            </w:r>
          </w:p>
        </w:tc>
      </w:tr>
      <w:tr w:rsidR="00A0482C" w14:paraId="71F66822" w14:textId="77777777">
        <w:tblPrEx>
          <w:tblCellMar>
            <w:top w:w="0" w:type="dxa"/>
            <w:bottom w:w="0" w:type="dxa"/>
          </w:tblCellMar>
        </w:tblPrEx>
        <w:trPr>
          <w:cantSplit/>
        </w:trPr>
        <w:tc>
          <w:tcPr>
            <w:tcW w:w="193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555E8C4" w14:textId="77777777" w:rsidR="00A0482C" w:rsidRDefault="00000000">
            <w:pPr>
              <w:spacing w:line="228" w:lineRule="auto"/>
            </w:pPr>
            <w:r>
              <w:rPr>
                <w:sz w:val="18"/>
                <w:szCs w:val="18"/>
              </w:rPr>
              <w:t>Base-case assumptions</w:t>
            </w:r>
          </w:p>
        </w:tc>
        <w:tc>
          <w:tcPr>
            <w:tcW w:w="193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BCFA8D3" w14:textId="77777777" w:rsidR="00A0482C" w:rsidRDefault="00000000">
            <w:pPr>
              <w:spacing w:line="228" w:lineRule="auto"/>
            </w:pPr>
            <w:r>
              <w:rPr>
                <w:sz w:val="18"/>
                <w:szCs w:val="18"/>
              </w:rPr>
              <w:t>J6; J7 and J8; J10 and J11</w:t>
            </w:r>
          </w:p>
        </w:tc>
        <w:tc>
          <w:tcPr>
            <w:tcW w:w="224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88CB025" w14:textId="77777777" w:rsidR="00A0482C" w:rsidRDefault="00000000">
            <w:pPr>
              <w:spacing w:line="228" w:lineRule="auto"/>
            </w:pPr>
            <w:r>
              <w:rPr>
                <w:sz w:val="18"/>
                <w:szCs w:val="18"/>
              </w:rPr>
              <w:t>C2 + C5</w:t>
            </w:r>
          </w:p>
        </w:tc>
        <w:tc>
          <w:tcPr>
            <w:tcW w:w="40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84E6144" w14:textId="77777777" w:rsidR="00A0482C" w:rsidRDefault="00000000">
            <w:pPr>
              <w:spacing w:line="228" w:lineRule="auto"/>
            </w:pPr>
            <w:r>
              <w:rPr>
                <w:sz w:val="18"/>
                <w:szCs w:val="18"/>
              </w:rPr>
              <w:t xml:space="preserve">Curve shape (Fox); lower and higher </w:t>
            </w:r>
            <w:r>
              <w:rPr>
                <w:i/>
                <w:iCs/>
                <w:sz w:val="18"/>
                <w:szCs w:val="18"/>
              </w:rPr>
              <w:t>r</w:t>
            </w:r>
            <w:r>
              <w:rPr>
                <w:sz w:val="18"/>
                <w:szCs w:val="18"/>
              </w:rPr>
              <w:t xml:space="preserve"> prior; lower and higher K prior</w:t>
            </w:r>
          </w:p>
        </w:tc>
      </w:tr>
      <w:tr w:rsidR="00A0482C" w14:paraId="3CB1F3EE" w14:textId="77777777">
        <w:tblPrEx>
          <w:tblCellMar>
            <w:top w:w="0" w:type="dxa"/>
            <w:bottom w:w="0" w:type="dxa"/>
          </w:tblCellMar>
        </w:tblPrEx>
        <w:trPr>
          <w:cantSplit/>
        </w:trPr>
        <w:tc>
          <w:tcPr>
            <w:tcW w:w="193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505D910" w14:textId="77777777" w:rsidR="00A0482C" w:rsidRDefault="00000000">
            <w:pPr>
              <w:spacing w:line="228" w:lineRule="auto"/>
            </w:pPr>
            <w:r>
              <w:rPr>
                <w:sz w:val="18"/>
                <w:szCs w:val="18"/>
              </w:rPr>
              <w:t>Index correction</w:t>
            </w:r>
          </w:p>
        </w:tc>
        <w:tc>
          <w:tcPr>
            <w:tcW w:w="193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C650645" w14:textId="77777777" w:rsidR="00A0482C" w:rsidRDefault="00000000">
            <w:pPr>
              <w:spacing w:line="228" w:lineRule="auto"/>
            </w:pPr>
            <w:r>
              <w:rPr>
                <w:sz w:val="18"/>
                <w:szCs w:val="18"/>
              </w:rPr>
              <w:t>J18</w:t>
            </w:r>
          </w:p>
        </w:tc>
        <w:tc>
          <w:tcPr>
            <w:tcW w:w="224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AAE352B" w14:textId="77777777" w:rsidR="00A0482C" w:rsidRDefault="00000000">
            <w:pPr>
              <w:spacing w:line="228" w:lineRule="auto"/>
            </w:pPr>
            <w:r>
              <w:rPr>
                <w:sz w:val="18"/>
                <w:szCs w:val="18"/>
              </w:rPr>
              <w:t>C2 + C6</w:t>
            </w:r>
          </w:p>
        </w:tc>
        <w:tc>
          <w:tcPr>
            <w:tcW w:w="40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83AA3FD" w14:textId="77777777" w:rsidR="00A0482C" w:rsidRDefault="00000000">
            <w:pPr>
              <w:spacing w:line="228" w:lineRule="auto"/>
            </w:pPr>
            <w:r>
              <w:rPr>
                <w:sz w:val="18"/>
                <w:szCs w:val="18"/>
              </w:rPr>
              <w:t>Directed effort instead of standardization</w:t>
            </w:r>
          </w:p>
        </w:tc>
      </w:tr>
      <w:tr w:rsidR="00A0482C" w14:paraId="346C5045" w14:textId="77777777">
        <w:tblPrEx>
          <w:tblCellMar>
            <w:top w:w="0" w:type="dxa"/>
            <w:bottom w:w="0" w:type="dxa"/>
          </w:tblCellMar>
        </w:tblPrEx>
        <w:trPr>
          <w:cantSplit/>
        </w:trPr>
        <w:tc>
          <w:tcPr>
            <w:tcW w:w="193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1E7D532" w14:textId="77777777" w:rsidR="00A0482C" w:rsidRDefault="00000000">
            <w:pPr>
              <w:spacing w:line="228" w:lineRule="auto"/>
            </w:pPr>
            <w:r>
              <w:rPr>
                <w:sz w:val="18"/>
                <w:szCs w:val="18"/>
              </w:rPr>
              <w:t>Single index</w:t>
            </w:r>
          </w:p>
        </w:tc>
        <w:tc>
          <w:tcPr>
            <w:tcW w:w="193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5EA8994" w14:textId="77777777" w:rsidR="00A0482C" w:rsidRDefault="00000000">
            <w:pPr>
              <w:spacing w:line="228" w:lineRule="auto"/>
            </w:pPr>
            <w:r>
              <w:rPr>
                <w:sz w:val="18"/>
                <w:szCs w:val="18"/>
              </w:rPr>
              <w:t>J5; J9; J12</w:t>
            </w:r>
          </w:p>
        </w:tc>
        <w:tc>
          <w:tcPr>
            <w:tcW w:w="224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1AC9EE7" w14:textId="77777777" w:rsidR="00A0482C" w:rsidRDefault="00000000">
            <w:pPr>
              <w:spacing w:line="228" w:lineRule="auto"/>
            </w:pPr>
            <w:r>
              <w:rPr>
                <w:sz w:val="18"/>
                <w:szCs w:val="18"/>
              </w:rPr>
              <w:t>C5; C3; C2</w:t>
            </w:r>
          </w:p>
        </w:tc>
        <w:tc>
          <w:tcPr>
            <w:tcW w:w="40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658B6DF" w14:textId="77777777" w:rsidR="00A0482C" w:rsidRDefault="00000000">
            <w:pPr>
              <w:spacing w:line="228" w:lineRule="auto"/>
            </w:pPr>
            <w:r>
              <w:rPr>
                <w:sz w:val="18"/>
                <w:szCs w:val="18"/>
              </w:rPr>
              <w:t>What each index informs on its own, with the full catch series</w:t>
            </w:r>
          </w:p>
        </w:tc>
      </w:tr>
      <w:tr w:rsidR="00A0482C" w14:paraId="6566C007" w14:textId="77777777">
        <w:tblPrEx>
          <w:tblCellMar>
            <w:top w:w="0" w:type="dxa"/>
            <w:bottom w:w="0" w:type="dxa"/>
          </w:tblCellMar>
        </w:tblPrEx>
        <w:trPr>
          <w:cantSplit/>
        </w:trPr>
        <w:tc>
          <w:tcPr>
            <w:tcW w:w="1939"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14:paraId="3A5036F1" w14:textId="77777777" w:rsidR="00A0482C" w:rsidRDefault="00000000">
            <w:pPr>
              <w:spacing w:line="228" w:lineRule="auto"/>
            </w:pPr>
            <w:r>
              <w:rPr>
                <w:sz w:val="18"/>
                <w:szCs w:val="18"/>
              </w:rPr>
              <w:t>2015–2025 window</w:t>
            </w:r>
          </w:p>
        </w:tc>
        <w:tc>
          <w:tcPr>
            <w:tcW w:w="1939"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14:paraId="32588728" w14:textId="77777777" w:rsidR="00A0482C" w:rsidRDefault="00000000">
            <w:pPr>
              <w:spacing w:line="228" w:lineRule="auto"/>
            </w:pPr>
            <w:r>
              <w:rPr>
                <w:sz w:val="18"/>
                <w:szCs w:val="18"/>
              </w:rPr>
              <w:t>J13; J14 to J17; J19</w:t>
            </w:r>
          </w:p>
        </w:tc>
        <w:tc>
          <w:tcPr>
            <w:tcW w:w="2245"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14:paraId="0945C793" w14:textId="77777777" w:rsidR="00A0482C" w:rsidRDefault="00000000">
            <w:pPr>
              <w:spacing w:line="228" w:lineRule="auto"/>
            </w:pPr>
            <w:r>
              <w:rPr>
                <w:sz w:val="18"/>
                <w:szCs w:val="18"/>
              </w:rPr>
              <w:t>C5 (J13 to J17); C6 (J19)</w:t>
            </w:r>
          </w:p>
        </w:tc>
        <w:tc>
          <w:tcPr>
            <w:tcW w:w="4083"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14:paraId="5506152A" w14:textId="77777777" w:rsidR="00A0482C" w:rsidRDefault="00000000">
            <w:pPr>
              <w:spacing w:line="228" w:lineRule="auto"/>
            </w:pPr>
            <w:r>
              <w:rPr>
                <w:sz w:val="18"/>
                <w:szCs w:val="18"/>
              </w:rPr>
              <w:t xml:space="preserve">What the recent period informs without the historical anchor; sensitivity to </w:t>
            </w:r>
            <w:r>
              <w:rPr>
                <w:i/>
                <w:iCs/>
                <w:sz w:val="18"/>
                <w:szCs w:val="18"/>
              </w:rPr>
              <w:t>r</w:t>
            </w:r>
            <w:r>
              <w:rPr>
                <w:sz w:val="18"/>
                <w:szCs w:val="18"/>
              </w:rPr>
              <w:t xml:space="preserve"> and K</w:t>
            </w:r>
          </w:p>
        </w:tc>
      </w:tr>
    </w:tbl>
    <w:p w14:paraId="31E1A93B" w14:textId="77777777" w:rsidR="00A0482C" w:rsidRDefault="00A0482C">
      <w:pPr>
        <w:spacing w:after="60"/>
      </w:pPr>
    </w:p>
    <w:p w14:paraId="39260A5C" w14:textId="77777777" w:rsidR="00A0482C" w:rsidRDefault="00000000">
      <w:pPr>
        <w:spacing w:after="80" w:line="252" w:lineRule="auto"/>
        <w:ind w:firstLine="340"/>
        <w:jc w:val="both"/>
      </w:pPr>
      <w:r>
        <w:t xml:space="preserve">Convergence was checked with the </w:t>
      </w:r>
      <w:proofErr w:type="spellStart"/>
      <w:r>
        <w:t>Geweke</w:t>
      </w:r>
      <w:proofErr w:type="spellEnd"/>
      <w:r>
        <w:t xml:space="preserve"> (1992) and Heidelberger and Welch (1983) tests. Fit to the indices was evaluated with the root mean square error of the residuals (RMSE, in %; below about 30% indicates a good fit), the standard deviation of normalized residuals (SDNR, ideally close to 1) and the runs test, which detects systematic patterns in the residuals (Carvalho et al., 2021). The deviance information criterion (DIC; Spiegelhalter et al., 2002) was used only between scenarios fitted to the same data (J1 and J2; J3 and J6). The robustness of the base case was evaluated with a retrospective analysis, summarized by Mohn's ρ (Mohn, 1999), and with hindcast cross-validation, summarized by the mean absolute scaled error (MASE; Hyndman and Koehler, 2006), both removing the last five years sequentially (Kell et al., 2016; Carvalho et al., 2021); MASE below 1 indicates that the model predicts the index better than a naïve repetition of the previous year. The Spearman correlation between each index and the catch of the same year was also computed. JABBA provides posteriors of </w:t>
      </w:r>
      <w:r>
        <w:rPr>
          <w:i/>
          <w:iCs/>
        </w:rPr>
        <w:t>r</w:t>
      </w:r>
      <w:r>
        <w:t>, K, MSY, B</w:t>
      </w:r>
      <w:r>
        <w:rPr>
          <w:vertAlign w:val="subscript"/>
        </w:rPr>
        <w:t>MSY</w:t>
      </w:r>
      <w:r>
        <w:t>, F</w:t>
      </w:r>
      <w:r>
        <w:rPr>
          <w:vertAlign w:val="subscript"/>
        </w:rPr>
        <w:t>MSY</w:t>
      </w:r>
      <w:r>
        <w:t>, ψ and the catchabilities and annual B/K, B/B</w:t>
      </w:r>
      <w:r>
        <w:rPr>
          <w:vertAlign w:val="subscript"/>
        </w:rPr>
        <w:t>MSY</w:t>
      </w:r>
      <w:r>
        <w:t xml:space="preserve"> and F/F</w:t>
      </w:r>
      <w:r>
        <w:rPr>
          <w:vertAlign w:val="subscript"/>
        </w:rPr>
        <w:t>MSY</w:t>
      </w:r>
      <w:r>
        <w:t>, used to place the stock in the Kobe plot. For the base case, 10-year projections were run under seven constant catch levels, between 40% and 160% of the mean catch of the last three years. As in the other models, scenarios were pooled into joint distributions, and the sensitivity of final B/B</w:t>
      </w:r>
      <w:r>
        <w:rPr>
          <w:vertAlign w:val="subscript"/>
        </w:rPr>
        <w:t>MSY</w:t>
      </w:r>
      <w:r>
        <w:t xml:space="preserve"> was measured relative to the base case.</w:t>
      </w:r>
    </w:p>
    <w:p w14:paraId="036841AB" w14:textId="77777777" w:rsidR="00A0482C" w:rsidRDefault="00000000">
      <w:pPr>
        <w:pStyle w:val="Ttulo2"/>
        <w:keepNext/>
        <w:spacing w:before="160" w:after="80"/>
      </w:pPr>
      <w:r>
        <w:t>2.7 Software and data availability</w:t>
      </w:r>
    </w:p>
    <w:p w14:paraId="51ABF338" w14:textId="77777777" w:rsidR="00A0482C" w:rsidRDefault="00000000">
      <w:pPr>
        <w:spacing w:after="80" w:line="252" w:lineRule="auto"/>
        <w:ind w:firstLine="340"/>
        <w:jc w:val="both"/>
      </w:pPr>
      <w:r>
        <w:t xml:space="preserve">All analyses were performed in R 4.6.1 (R Core Team, 2025) with two fully commented scripts, one for the catch-only models and another for CPUE standardization, JABBA and the synthesis of the three models. DB-SRA was run with </w:t>
      </w:r>
      <w:proofErr w:type="spellStart"/>
      <w:r>
        <w:t>fishmethods</w:t>
      </w:r>
      <w:proofErr w:type="spellEnd"/>
      <w:r>
        <w:t xml:space="preserve"> (Nelson, 2023); CMSY++ with the code of Froese et al. (2023), using </w:t>
      </w:r>
      <w:proofErr w:type="spellStart"/>
      <w:r>
        <w:t>neuralnet</w:t>
      </w:r>
      <w:proofErr w:type="spellEnd"/>
      <w:r>
        <w:t xml:space="preserve"> (Fritsch et al., 2019), </w:t>
      </w:r>
      <w:proofErr w:type="spellStart"/>
      <w:r>
        <w:t>mvtnorm</w:t>
      </w:r>
      <w:proofErr w:type="spellEnd"/>
      <w:r>
        <w:t xml:space="preserve"> (Genz and Bretz, 2009) and JAGS (Plummer, 2003) through R2jags (Su and Yajima, 2024); </w:t>
      </w:r>
      <w:proofErr w:type="spellStart"/>
      <w:r>
        <w:t>zBRT</w:t>
      </w:r>
      <w:proofErr w:type="spellEnd"/>
      <w:r>
        <w:t xml:space="preserve"> with datalimited2 (Free, 2018); CPUE standardization with </w:t>
      </w:r>
      <w:proofErr w:type="spellStart"/>
      <w:r>
        <w:t>glmmTMB</w:t>
      </w:r>
      <w:proofErr w:type="spellEnd"/>
      <w:r>
        <w:t xml:space="preserve"> (Brooks et al., 2017), </w:t>
      </w:r>
      <w:proofErr w:type="spellStart"/>
      <w:r>
        <w:t>DHARMa</w:t>
      </w:r>
      <w:proofErr w:type="spellEnd"/>
      <w:r>
        <w:t xml:space="preserve"> (Hartig, 2022) and </w:t>
      </w:r>
      <w:proofErr w:type="spellStart"/>
      <w:r>
        <w:t>emmeans</w:t>
      </w:r>
      <w:proofErr w:type="spellEnd"/>
      <w:r>
        <w:t xml:space="preserve"> (Lenth, 2024); and JABBA with the JABBA package (Winker et al., 2018). The scripts, model outputs, summary spreadsheets, diagnostics and the Supplementary Material are available at https://github.com/lucazsilva/Cabo-Verde---Stock-Assessment.</w:t>
      </w:r>
    </w:p>
    <w:p w14:paraId="4C9E8ABA" w14:textId="77777777" w:rsidR="00A0482C" w:rsidRDefault="00000000">
      <w:pPr>
        <w:pStyle w:val="Ttulo1"/>
        <w:keepNext/>
        <w:spacing w:before="200" w:after="100"/>
      </w:pPr>
      <w:r>
        <w:lastRenderedPageBreak/>
        <w:t>References</w:t>
      </w:r>
    </w:p>
    <w:p w14:paraId="793CE42C" w14:textId="77777777" w:rsidR="00A0482C" w:rsidRDefault="00000000">
      <w:pPr>
        <w:spacing w:after="40"/>
        <w:ind w:left="340" w:hanging="340"/>
      </w:pPr>
      <w:r>
        <w:rPr>
          <w:sz w:val="19"/>
          <w:szCs w:val="19"/>
        </w:rPr>
        <w:t xml:space="preserve">Almada, E.O., 1997. Life history of scad mackerel </w:t>
      </w:r>
      <w:proofErr w:type="spellStart"/>
      <w:r>
        <w:rPr>
          <w:i/>
          <w:iCs/>
          <w:sz w:val="19"/>
          <w:szCs w:val="19"/>
        </w:rPr>
        <w:t>Decapterus</w:t>
      </w:r>
      <w:proofErr w:type="spellEnd"/>
      <w:r>
        <w:rPr>
          <w:i/>
          <w:iCs/>
          <w:sz w:val="19"/>
          <w:szCs w:val="19"/>
        </w:rPr>
        <w:t xml:space="preserve"> </w:t>
      </w:r>
      <w:proofErr w:type="spellStart"/>
      <w:r>
        <w:rPr>
          <w:i/>
          <w:iCs/>
          <w:sz w:val="19"/>
          <w:szCs w:val="19"/>
        </w:rPr>
        <w:t>macarellus</w:t>
      </w:r>
      <w:proofErr w:type="spellEnd"/>
      <w:r>
        <w:rPr>
          <w:sz w:val="19"/>
          <w:szCs w:val="19"/>
        </w:rPr>
        <w:t xml:space="preserve"> Cuvier, 1833, in the waters off the Cape Verde Islands. MSc thesis, University of Iceland, Reykjavík.</w:t>
      </w:r>
    </w:p>
    <w:p w14:paraId="300A6DB0" w14:textId="77777777" w:rsidR="00A0482C" w:rsidRDefault="00000000">
      <w:pPr>
        <w:spacing w:after="40"/>
        <w:ind w:left="340" w:hanging="340"/>
      </w:pPr>
      <w:r>
        <w:rPr>
          <w:sz w:val="19"/>
          <w:szCs w:val="19"/>
        </w:rPr>
        <w:t xml:space="preserve">Anderson, S.C., Cooper, A.B., Jensen, O.P., Minto, C., Thorson, J.T., Walsh, J.C., Afflerbach, J., Dickey-Collas, M., Kleisner, K.M., Longo, C., Osio, G.C., Ovando, D., Mosqueira, I., Rosenberg, A.A., Selig, E.R., 2017. Improving estimates of population status and trend with </w:t>
      </w:r>
      <w:proofErr w:type="spellStart"/>
      <w:r>
        <w:rPr>
          <w:sz w:val="19"/>
          <w:szCs w:val="19"/>
        </w:rPr>
        <w:t>superensemble</w:t>
      </w:r>
      <w:proofErr w:type="spellEnd"/>
      <w:r>
        <w:rPr>
          <w:sz w:val="19"/>
          <w:szCs w:val="19"/>
        </w:rPr>
        <w:t xml:space="preserve"> models. Fish and Fisheries 18, 732–741. https://doi.org/10.1111/faf.12200</w:t>
      </w:r>
    </w:p>
    <w:p w14:paraId="1B1EBC9A" w14:textId="77777777" w:rsidR="00A0482C" w:rsidRPr="00621BD1" w:rsidRDefault="00000000">
      <w:pPr>
        <w:spacing w:after="40"/>
        <w:ind w:left="340" w:hanging="340"/>
        <w:rPr>
          <w:lang w:val="pt-BR"/>
        </w:rPr>
      </w:pPr>
      <w:r>
        <w:rPr>
          <w:sz w:val="19"/>
          <w:szCs w:val="19"/>
        </w:rPr>
        <w:t xml:space="preserve">Baptista, A.J., Gominho, V.C., Varela, A.S., 2009. </w:t>
      </w:r>
      <w:r w:rsidRPr="00621BD1">
        <w:rPr>
          <w:sz w:val="19"/>
          <w:szCs w:val="19"/>
          <w:lang w:val="pt-BR"/>
        </w:rPr>
        <w:t>Tendência e sazonalidade da ocorrência da cavala preta (</w:t>
      </w:r>
      <w:proofErr w:type="spellStart"/>
      <w:r w:rsidRPr="00621BD1">
        <w:rPr>
          <w:i/>
          <w:iCs/>
          <w:sz w:val="19"/>
          <w:szCs w:val="19"/>
          <w:lang w:val="pt-BR"/>
        </w:rPr>
        <w:t>Decapterus</w:t>
      </w:r>
      <w:proofErr w:type="spellEnd"/>
      <w:r w:rsidRPr="00621BD1">
        <w:rPr>
          <w:i/>
          <w:iCs/>
          <w:sz w:val="19"/>
          <w:szCs w:val="19"/>
          <w:lang w:val="pt-BR"/>
        </w:rPr>
        <w:t xml:space="preserve"> </w:t>
      </w:r>
      <w:proofErr w:type="spellStart"/>
      <w:r w:rsidRPr="00621BD1">
        <w:rPr>
          <w:i/>
          <w:iCs/>
          <w:sz w:val="19"/>
          <w:szCs w:val="19"/>
          <w:lang w:val="pt-BR"/>
        </w:rPr>
        <w:t>macarellus</w:t>
      </w:r>
      <w:proofErr w:type="spellEnd"/>
      <w:r w:rsidRPr="00621BD1">
        <w:rPr>
          <w:sz w:val="19"/>
          <w:szCs w:val="19"/>
          <w:lang w:val="pt-BR"/>
        </w:rPr>
        <w:t xml:space="preserve">) em Cabo Verde. In: </w:t>
      </w:r>
      <w:proofErr w:type="spellStart"/>
      <w:r w:rsidRPr="00621BD1">
        <w:rPr>
          <w:sz w:val="19"/>
          <w:szCs w:val="19"/>
          <w:lang w:val="pt-BR"/>
        </w:rPr>
        <w:t>Proceedings</w:t>
      </w:r>
      <w:proofErr w:type="spellEnd"/>
      <w:r w:rsidRPr="00621BD1">
        <w:rPr>
          <w:sz w:val="19"/>
          <w:szCs w:val="19"/>
          <w:lang w:val="pt-BR"/>
        </w:rPr>
        <w:t xml:space="preserve"> </w:t>
      </w:r>
      <w:proofErr w:type="spellStart"/>
      <w:r w:rsidRPr="00621BD1">
        <w:rPr>
          <w:sz w:val="19"/>
          <w:szCs w:val="19"/>
          <w:lang w:val="pt-BR"/>
        </w:rPr>
        <w:t>of</w:t>
      </w:r>
      <w:proofErr w:type="spellEnd"/>
      <w:r w:rsidRPr="00621BD1">
        <w:rPr>
          <w:sz w:val="19"/>
          <w:szCs w:val="19"/>
          <w:lang w:val="pt-BR"/>
        </w:rPr>
        <w:t xml:space="preserve"> </w:t>
      </w:r>
      <w:proofErr w:type="spellStart"/>
      <w:r w:rsidRPr="00621BD1">
        <w:rPr>
          <w:sz w:val="19"/>
          <w:szCs w:val="19"/>
          <w:lang w:val="pt-BR"/>
        </w:rPr>
        <w:t>the</w:t>
      </w:r>
      <w:proofErr w:type="spellEnd"/>
      <w:r w:rsidRPr="00621BD1">
        <w:rPr>
          <w:sz w:val="19"/>
          <w:szCs w:val="19"/>
          <w:lang w:val="pt-BR"/>
        </w:rPr>
        <w:t xml:space="preserve"> Congresso da Sociedade Brasileira de Economia, Administração e Sociologia Rural, Porto Alegre, 26–30 July 2009.</w:t>
      </w:r>
    </w:p>
    <w:p w14:paraId="05361440" w14:textId="77777777" w:rsidR="00A0482C" w:rsidRDefault="00000000">
      <w:pPr>
        <w:spacing w:after="40"/>
        <w:ind w:left="340" w:hanging="340"/>
      </w:pPr>
      <w:r>
        <w:rPr>
          <w:sz w:val="19"/>
          <w:szCs w:val="19"/>
        </w:rPr>
        <w:t xml:space="preserve">Bara </w:t>
      </w:r>
      <w:proofErr w:type="spellStart"/>
      <w:r>
        <w:rPr>
          <w:sz w:val="19"/>
          <w:szCs w:val="19"/>
        </w:rPr>
        <w:t>Dème</w:t>
      </w:r>
      <w:proofErr w:type="spellEnd"/>
      <w:r>
        <w:rPr>
          <w:sz w:val="19"/>
          <w:szCs w:val="19"/>
        </w:rPr>
        <w:t xml:space="preserve">, E.H., </w:t>
      </w:r>
      <w:proofErr w:type="spellStart"/>
      <w:r>
        <w:rPr>
          <w:sz w:val="19"/>
          <w:szCs w:val="19"/>
        </w:rPr>
        <w:t>Failler</w:t>
      </w:r>
      <w:proofErr w:type="spellEnd"/>
      <w:r>
        <w:rPr>
          <w:sz w:val="19"/>
          <w:szCs w:val="19"/>
        </w:rPr>
        <w:t xml:space="preserve">, P., 2024. Small </w:t>
      </w:r>
      <w:proofErr w:type="spellStart"/>
      <w:r>
        <w:rPr>
          <w:sz w:val="19"/>
          <w:szCs w:val="19"/>
        </w:rPr>
        <w:t>pelagics</w:t>
      </w:r>
      <w:proofErr w:type="spellEnd"/>
      <w:r>
        <w:rPr>
          <w:sz w:val="19"/>
          <w:szCs w:val="19"/>
        </w:rPr>
        <w:t xml:space="preserve"> in West Africa face the multiple challenges of food security, wealth creation and regional governance. Marine Policy 170, 106374. https://doi.org/10.1016/j.marpol.2024.106374</w:t>
      </w:r>
    </w:p>
    <w:p w14:paraId="06B3867D" w14:textId="77777777" w:rsidR="00A0482C" w:rsidRDefault="00000000">
      <w:pPr>
        <w:spacing w:after="40"/>
        <w:ind w:left="340" w:hanging="340"/>
      </w:pPr>
      <w:r>
        <w:rPr>
          <w:sz w:val="19"/>
          <w:szCs w:val="19"/>
        </w:rPr>
        <w:t xml:space="preserve">Brás, N.R., 2014. </w:t>
      </w:r>
      <w:r w:rsidRPr="00621BD1">
        <w:rPr>
          <w:sz w:val="19"/>
          <w:szCs w:val="19"/>
          <w:lang w:val="pt-BR"/>
        </w:rPr>
        <w:t xml:space="preserve">Caracterização e </w:t>
      </w:r>
      <w:proofErr w:type="spellStart"/>
      <w:r w:rsidRPr="00621BD1">
        <w:rPr>
          <w:sz w:val="19"/>
          <w:szCs w:val="19"/>
          <w:lang w:val="pt-BR"/>
        </w:rPr>
        <w:t>traçabilidade</w:t>
      </w:r>
      <w:proofErr w:type="spellEnd"/>
      <w:r w:rsidRPr="00621BD1">
        <w:rPr>
          <w:sz w:val="19"/>
          <w:szCs w:val="19"/>
          <w:lang w:val="pt-BR"/>
        </w:rPr>
        <w:t xml:space="preserve"> genética de conservas de cavalas produzidas em Cabo Verde. </w:t>
      </w:r>
      <w:r>
        <w:rPr>
          <w:sz w:val="19"/>
          <w:szCs w:val="19"/>
        </w:rPr>
        <w:t xml:space="preserve">BSc internship report (Marine Biology and Fisheries), </w:t>
      </w:r>
      <w:proofErr w:type="spellStart"/>
      <w:r>
        <w:rPr>
          <w:sz w:val="19"/>
          <w:szCs w:val="19"/>
        </w:rPr>
        <w:t>Universidade</w:t>
      </w:r>
      <w:proofErr w:type="spellEnd"/>
      <w:r>
        <w:rPr>
          <w:sz w:val="19"/>
          <w:szCs w:val="19"/>
        </w:rPr>
        <w:t xml:space="preserve"> de Cabo Verde, Mindelo.</w:t>
      </w:r>
    </w:p>
    <w:p w14:paraId="303B1578" w14:textId="77777777" w:rsidR="00A0482C" w:rsidRDefault="00000000">
      <w:pPr>
        <w:spacing w:after="40"/>
        <w:ind w:left="340" w:hanging="340"/>
      </w:pPr>
      <w:r>
        <w:rPr>
          <w:sz w:val="19"/>
          <w:szCs w:val="19"/>
        </w:rPr>
        <w:t xml:space="preserve">Brooks, M.E., Kristensen, K., van Benthem, K.J., Magnusson, A., Berg, C.W., Nielsen, A., Skaug, H.J., </w:t>
      </w:r>
      <w:proofErr w:type="spellStart"/>
      <w:r>
        <w:rPr>
          <w:sz w:val="19"/>
          <w:szCs w:val="19"/>
        </w:rPr>
        <w:t>Mächler</w:t>
      </w:r>
      <w:proofErr w:type="spellEnd"/>
      <w:r>
        <w:rPr>
          <w:sz w:val="19"/>
          <w:szCs w:val="19"/>
        </w:rPr>
        <w:t xml:space="preserve">, M., Bolker, B.M., 2017. </w:t>
      </w:r>
      <w:proofErr w:type="spellStart"/>
      <w:r>
        <w:rPr>
          <w:sz w:val="19"/>
          <w:szCs w:val="19"/>
        </w:rPr>
        <w:t>glmmTMB</w:t>
      </w:r>
      <w:proofErr w:type="spellEnd"/>
      <w:r>
        <w:rPr>
          <w:sz w:val="19"/>
          <w:szCs w:val="19"/>
        </w:rPr>
        <w:t xml:space="preserve"> balances speed and flexibility among packages for zero-inflated generalized linear mixed modeling. The R Journal 9, 378–400.</w:t>
      </w:r>
    </w:p>
    <w:p w14:paraId="65B36EF0" w14:textId="77777777" w:rsidR="00A0482C" w:rsidRDefault="00000000">
      <w:pPr>
        <w:spacing w:after="40"/>
        <w:ind w:left="340" w:hanging="340"/>
      </w:pPr>
      <w:r>
        <w:rPr>
          <w:sz w:val="19"/>
          <w:szCs w:val="19"/>
        </w:rPr>
        <w:t xml:space="preserve">Burnham, K.P., Anderson, D.R., 2002. Model selection and </w:t>
      </w:r>
      <w:proofErr w:type="spellStart"/>
      <w:r>
        <w:rPr>
          <w:sz w:val="19"/>
          <w:szCs w:val="19"/>
        </w:rPr>
        <w:t>multimodel</w:t>
      </w:r>
      <w:proofErr w:type="spellEnd"/>
      <w:r>
        <w:rPr>
          <w:sz w:val="19"/>
          <w:szCs w:val="19"/>
        </w:rPr>
        <w:t xml:space="preserve"> inference: a practical information-theoretic approach, 2nd ed. Springer, New York.</w:t>
      </w:r>
    </w:p>
    <w:p w14:paraId="2FB3DEEE" w14:textId="77777777" w:rsidR="00A0482C" w:rsidRPr="00621BD1" w:rsidRDefault="00000000">
      <w:pPr>
        <w:spacing w:after="40"/>
        <w:ind w:left="340" w:hanging="340"/>
        <w:rPr>
          <w:lang w:val="pt-BR"/>
        </w:rPr>
      </w:pPr>
      <w:r w:rsidRPr="00621BD1">
        <w:rPr>
          <w:sz w:val="19"/>
          <w:szCs w:val="19"/>
          <w:lang w:val="pt-BR"/>
        </w:rPr>
        <w:t>Cabo Verde, 2020. Resolução nº 185/2020, de 31 de dezembro. Aprova o Plano Executivo Anual de Gestão dos Recursos da Pesca para o ano de 2021. Boletim Oficial, I Série, nº 142, 2º suplemento.</w:t>
      </w:r>
    </w:p>
    <w:p w14:paraId="227C1FF6" w14:textId="77777777" w:rsidR="00A0482C" w:rsidRPr="00621BD1" w:rsidRDefault="00000000">
      <w:pPr>
        <w:spacing w:after="40"/>
        <w:ind w:left="340" w:hanging="340"/>
        <w:rPr>
          <w:lang w:val="pt-BR"/>
        </w:rPr>
      </w:pPr>
      <w:r w:rsidRPr="00621BD1">
        <w:rPr>
          <w:sz w:val="19"/>
          <w:szCs w:val="19"/>
          <w:lang w:val="pt-BR"/>
        </w:rPr>
        <w:t>Caramelo, A.M., Carvalho, M.E.M., 1995. Avaliação do estado do stock de cavala preta em Cabo Verde. Instituto Nacional de Desenvolvimento das Pescas (INDP), Mindelo.</w:t>
      </w:r>
    </w:p>
    <w:p w14:paraId="0EE2EF7F" w14:textId="77777777" w:rsidR="00A0482C" w:rsidRDefault="00000000">
      <w:pPr>
        <w:spacing w:after="40"/>
        <w:ind w:left="340" w:hanging="340"/>
      </w:pPr>
      <w:proofErr w:type="spellStart"/>
      <w:r w:rsidRPr="00621BD1">
        <w:rPr>
          <w:sz w:val="19"/>
          <w:szCs w:val="19"/>
          <w:lang w:val="pt-BR"/>
        </w:rPr>
        <w:t>Carruthers</w:t>
      </w:r>
      <w:proofErr w:type="spellEnd"/>
      <w:r w:rsidRPr="00621BD1">
        <w:rPr>
          <w:sz w:val="19"/>
          <w:szCs w:val="19"/>
          <w:lang w:val="pt-BR"/>
        </w:rPr>
        <w:t xml:space="preserve">, T.R., </w:t>
      </w:r>
      <w:proofErr w:type="spellStart"/>
      <w:r w:rsidRPr="00621BD1">
        <w:rPr>
          <w:sz w:val="19"/>
          <w:szCs w:val="19"/>
          <w:lang w:val="pt-BR"/>
        </w:rPr>
        <w:t>Punt</w:t>
      </w:r>
      <w:proofErr w:type="spellEnd"/>
      <w:r w:rsidRPr="00621BD1">
        <w:rPr>
          <w:sz w:val="19"/>
          <w:szCs w:val="19"/>
          <w:lang w:val="pt-BR"/>
        </w:rPr>
        <w:t xml:space="preserve">, A.E., Walters, C.J., </w:t>
      </w:r>
      <w:proofErr w:type="spellStart"/>
      <w:r w:rsidRPr="00621BD1">
        <w:rPr>
          <w:sz w:val="19"/>
          <w:szCs w:val="19"/>
          <w:lang w:val="pt-BR"/>
        </w:rPr>
        <w:t>MacCall</w:t>
      </w:r>
      <w:proofErr w:type="spellEnd"/>
      <w:r w:rsidRPr="00621BD1">
        <w:rPr>
          <w:sz w:val="19"/>
          <w:szCs w:val="19"/>
          <w:lang w:val="pt-BR"/>
        </w:rPr>
        <w:t xml:space="preserve">, A., </w:t>
      </w:r>
      <w:proofErr w:type="spellStart"/>
      <w:r w:rsidRPr="00621BD1">
        <w:rPr>
          <w:sz w:val="19"/>
          <w:szCs w:val="19"/>
          <w:lang w:val="pt-BR"/>
        </w:rPr>
        <w:t>McAllister</w:t>
      </w:r>
      <w:proofErr w:type="spellEnd"/>
      <w:r w:rsidRPr="00621BD1">
        <w:rPr>
          <w:sz w:val="19"/>
          <w:szCs w:val="19"/>
          <w:lang w:val="pt-BR"/>
        </w:rPr>
        <w:t xml:space="preserve">, M.K., Dick, E.J., Cope, J., 2014. </w:t>
      </w:r>
      <w:r>
        <w:rPr>
          <w:sz w:val="19"/>
          <w:szCs w:val="19"/>
        </w:rPr>
        <w:t>Evaluating methods for setting catch limits in data-limited fisheries. Fisheries Research 153, 48–68.</w:t>
      </w:r>
    </w:p>
    <w:p w14:paraId="330A876C" w14:textId="77777777" w:rsidR="00A0482C" w:rsidRPr="00621BD1" w:rsidRDefault="00000000">
      <w:pPr>
        <w:spacing w:after="40"/>
        <w:ind w:left="340" w:hanging="340"/>
        <w:rPr>
          <w:lang w:val="pt-BR"/>
        </w:rPr>
      </w:pPr>
      <w:r>
        <w:rPr>
          <w:sz w:val="19"/>
          <w:szCs w:val="19"/>
        </w:rPr>
        <w:t xml:space="preserve">Carvalho, F., Winker, H., Courtney, D., Kapur, M., Kell, L., Cardinale, M., Schirripa, M., </w:t>
      </w:r>
      <w:proofErr w:type="spellStart"/>
      <w:r>
        <w:rPr>
          <w:sz w:val="19"/>
          <w:szCs w:val="19"/>
        </w:rPr>
        <w:t>Kitakado</w:t>
      </w:r>
      <w:proofErr w:type="spellEnd"/>
      <w:r>
        <w:rPr>
          <w:sz w:val="19"/>
          <w:szCs w:val="19"/>
        </w:rPr>
        <w:t xml:space="preserve">, T., Yemane, D., Piner, K.R., Maunder, M.N., Taylor, I., Wetzel, C.R., Doering, K., Johnson, K.F., Methot, R.D., 2021. A cookbook for using model diagnostics in integrated stock assessments. </w:t>
      </w:r>
      <w:proofErr w:type="spellStart"/>
      <w:r w:rsidRPr="00621BD1">
        <w:rPr>
          <w:sz w:val="19"/>
          <w:szCs w:val="19"/>
          <w:lang w:val="pt-BR"/>
        </w:rPr>
        <w:t>Fisheries</w:t>
      </w:r>
      <w:proofErr w:type="spellEnd"/>
      <w:r w:rsidRPr="00621BD1">
        <w:rPr>
          <w:sz w:val="19"/>
          <w:szCs w:val="19"/>
          <w:lang w:val="pt-BR"/>
        </w:rPr>
        <w:t xml:space="preserve"> </w:t>
      </w:r>
      <w:proofErr w:type="spellStart"/>
      <w:r w:rsidRPr="00621BD1">
        <w:rPr>
          <w:sz w:val="19"/>
          <w:szCs w:val="19"/>
          <w:lang w:val="pt-BR"/>
        </w:rPr>
        <w:t>Research</w:t>
      </w:r>
      <w:proofErr w:type="spellEnd"/>
      <w:r w:rsidRPr="00621BD1">
        <w:rPr>
          <w:sz w:val="19"/>
          <w:szCs w:val="19"/>
          <w:lang w:val="pt-BR"/>
        </w:rPr>
        <w:t xml:space="preserve"> 240, 105959.</w:t>
      </w:r>
    </w:p>
    <w:p w14:paraId="35F9FB20" w14:textId="77777777" w:rsidR="00A0482C" w:rsidRPr="00621BD1" w:rsidRDefault="00000000">
      <w:pPr>
        <w:spacing w:after="40"/>
        <w:ind w:left="340" w:hanging="340"/>
        <w:rPr>
          <w:lang w:val="pt-BR"/>
        </w:rPr>
      </w:pPr>
      <w:r w:rsidRPr="00621BD1">
        <w:rPr>
          <w:sz w:val="19"/>
          <w:szCs w:val="19"/>
          <w:lang w:val="pt-BR"/>
        </w:rPr>
        <w:t>Carvalho, M.E.M., Caramelo, A.M., 1999. Avaliação do estado da pescaria de cavala preta e do chicharro em Cabo Verde. In: Carvalho, E.M., Morais, J., Nascimento, J. (Eds.), Investigação e Gestão Haliêuticas em Cabo Verde. INDP, Mindelo, pp. 143–153.</w:t>
      </w:r>
    </w:p>
    <w:p w14:paraId="5223B9A4" w14:textId="77777777" w:rsidR="00A0482C" w:rsidRDefault="00000000">
      <w:pPr>
        <w:spacing w:after="40"/>
        <w:ind w:left="340" w:hanging="340"/>
      </w:pPr>
      <w:proofErr w:type="spellStart"/>
      <w:r w:rsidRPr="00621BD1">
        <w:rPr>
          <w:sz w:val="19"/>
          <w:szCs w:val="19"/>
          <w:lang w:val="pt-BR"/>
        </w:rPr>
        <w:t>Checkley</w:t>
      </w:r>
      <w:proofErr w:type="spellEnd"/>
      <w:r w:rsidRPr="00621BD1">
        <w:rPr>
          <w:sz w:val="19"/>
          <w:szCs w:val="19"/>
          <w:lang w:val="pt-BR"/>
        </w:rPr>
        <w:t xml:space="preserve">, D.M., </w:t>
      </w:r>
      <w:proofErr w:type="spellStart"/>
      <w:r w:rsidRPr="00621BD1">
        <w:rPr>
          <w:sz w:val="19"/>
          <w:szCs w:val="19"/>
          <w:lang w:val="pt-BR"/>
        </w:rPr>
        <w:t>Asch</w:t>
      </w:r>
      <w:proofErr w:type="spellEnd"/>
      <w:r w:rsidRPr="00621BD1">
        <w:rPr>
          <w:sz w:val="19"/>
          <w:szCs w:val="19"/>
          <w:lang w:val="pt-BR"/>
        </w:rPr>
        <w:t xml:space="preserve">, R.G., </w:t>
      </w:r>
      <w:proofErr w:type="spellStart"/>
      <w:r w:rsidRPr="00621BD1">
        <w:rPr>
          <w:sz w:val="19"/>
          <w:szCs w:val="19"/>
          <w:lang w:val="pt-BR"/>
        </w:rPr>
        <w:t>Rykaczewski</w:t>
      </w:r>
      <w:proofErr w:type="spellEnd"/>
      <w:r w:rsidRPr="00621BD1">
        <w:rPr>
          <w:sz w:val="19"/>
          <w:szCs w:val="19"/>
          <w:lang w:val="pt-BR"/>
        </w:rPr>
        <w:t xml:space="preserve">, R.R., 2017. </w:t>
      </w:r>
      <w:r>
        <w:rPr>
          <w:sz w:val="19"/>
          <w:szCs w:val="19"/>
        </w:rPr>
        <w:t>Climate, anchovy, and sardine. Annual Review of Marine Science 9, 469–493.</w:t>
      </w:r>
    </w:p>
    <w:p w14:paraId="3F959934" w14:textId="77777777" w:rsidR="00A0482C" w:rsidRDefault="00000000">
      <w:pPr>
        <w:spacing w:after="40"/>
        <w:ind w:left="340" w:hanging="340"/>
      </w:pPr>
      <w:r>
        <w:rPr>
          <w:sz w:val="19"/>
          <w:szCs w:val="19"/>
        </w:rPr>
        <w:t xml:space="preserve">Christensen, V., Walters, C.J., 2004. </w:t>
      </w:r>
      <w:proofErr w:type="spellStart"/>
      <w:r>
        <w:rPr>
          <w:sz w:val="19"/>
          <w:szCs w:val="19"/>
        </w:rPr>
        <w:t>Ecopath</w:t>
      </w:r>
      <w:proofErr w:type="spellEnd"/>
      <w:r>
        <w:rPr>
          <w:sz w:val="19"/>
          <w:szCs w:val="19"/>
        </w:rPr>
        <w:t xml:space="preserve"> with </w:t>
      </w:r>
      <w:proofErr w:type="spellStart"/>
      <w:r>
        <w:rPr>
          <w:sz w:val="19"/>
          <w:szCs w:val="19"/>
        </w:rPr>
        <w:t>Ecosim</w:t>
      </w:r>
      <w:proofErr w:type="spellEnd"/>
      <w:r>
        <w:rPr>
          <w:sz w:val="19"/>
          <w:szCs w:val="19"/>
        </w:rPr>
        <w:t>: methods, capabilities and limitations. Ecological Modelling 172, 109–139.</w:t>
      </w:r>
    </w:p>
    <w:p w14:paraId="69232473" w14:textId="77777777" w:rsidR="00A0482C" w:rsidRDefault="00000000">
      <w:pPr>
        <w:spacing w:after="40"/>
        <w:ind w:left="340" w:hanging="340"/>
      </w:pPr>
      <w:r>
        <w:rPr>
          <w:sz w:val="19"/>
          <w:szCs w:val="19"/>
        </w:rPr>
        <w:t>Cortés, E., 2016. Perspectives on the intrinsic rate of population growth. Methods in Ecology and Evolution 7, 1136–1145.</w:t>
      </w:r>
    </w:p>
    <w:p w14:paraId="043A3157" w14:textId="77777777" w:rsidR="00A0482C" w:rsidRDefault="00000000">
      <w:pPr>
        <w:spacing w:after="40"/>
        <w:ind w:left="340" w:hanging="340"/>
      </w:pPr>
      <w:r>
        <w:rPr>
          <w:sz w:val="19"/>
          <w:szCs w:val="19"/>
        </w:rPr>
        <w:t xml:space="preserve">Costa, M.P.V., Cruz, D.R.S., Monteiro, L.S., Evora, K.S.M., Cardoso, L.G., 2020. Reproductive biology of the mackerel scad </w:t>
      </w:r>
      <w:proofErr w:type="spellStart"/>
      <w:r>
        <w:rPr>
          <w:i/>
          <w:iCs/>
          <w:sz w:val="19"/>
          <w:szCs w:val="19"/>
        </w:rPr>
        <w:t>Decapterus</w:t>
      </w:r>
      <w:proofErr w:type="spellEnd"/>
      <w:r>
        <w:rPr>
          <w:i/>
          <w:iCs/>
          <w:sz w:val="19"/>
          <w:szCs w:val="19"/>
        </w:rPr>
        <w:t xml:space="preserve"> </w:t>
      </w:r>
      <w:proofErr w:type="spellStart"/>
      <w:r>
        <w:rPr>
          <w:i/>
          <w:iCs/>
          <w:sz w:val="19"/>
          <w:szCs w:val="19"/>
        </w:rPr>
        <w:t>macarellus</w:t>
      </w:r>
      <w:proofErr w:type="spellEnd"/>
      <w:r>
        <w:rPr>
          <w:sz w:val="19"/>
          <w:szCs w:val="19"/>
        </w:rPr>
        <w:t xml:space="preserve"> from Cabo Verde and the implications for its fishery management. African Journal of Marine Science 42, 35–42. https://doi.org/10.2989/1814232X.2020.1721328</w:t>
      </w:r>
    </w:p>
    <w:p w14:paraId="478376C0" w14:textId="77777777" w:rsidR="00A0482C" w:rsidRDefault="00000000">
      <w:pPr>
        <w:spacing w:after="40"/>
        <w:ind w:left="340" w:hanging="340"/>
      </w:pPr>
      <w:r>
        <w:rPr>
          <w:sz w:val="19"/>
          <w:szCs w:val="19"/>
        </w:rPr>
        <w:t>Costello, C., Ovando, D., Hilborn, R., Gaines, S.D., Deschenes, O., Lester, S.E., 2012. Status and solutions for the world's unassessed fisheries. Science 338, 517–520. https://doi.org/10.1126/science.1223389</w:t>
      </w:r>
    </w:p>
    <w:p w14:paraId="196F7AAB" w14:textId="77777777" w:rsidR="00A0482C" w:rsidRDefault="00000000">
      <w:pPr>
        <w:spacing w:after="40"/>
        <w:ind w:left="340" w:hanging="340"/>
      </w:pPr>
      <w:r w:rsidRPr="00621BD1">
        <w:rPr>
          <w:sz w:val="19"/>
          <w:szCs w:val="19"/>
          <w:lang w:val="pt-BR"/>
        </w:rPr>
        <w:t xml:space="preserve">da Cruz Delgado, K., </w:t>
      </w:r>
      <w:proofErr w:type="spellStart"/>
      <w:r w:rsidRPr="00621BD1">
        <w:rPr>
          <w:sz w:val="19"/>
          <w:szCs w:val="19"/>
          <w:lang w:val="pt-BR"/>
        </w:rPr>
        <w:t>Osemwegie</w:t>
      </w:r>
      <w:proofErr w:type="spellEnd"/>
      <w:r w:rsidRPr="00621BD1">
        <w:rPr>
          <w:sz w:val="19"/>
          <w:szCs w:val="19"/>
          <w:lang w:val="pt-BR"/>
        </w:rPr>
        <w:t xml:space="preserve">, I., Medina, A.D., da Luz, A.N., Kubik, Z., </w:t>
      </w:r>
      <w:proofErr w:type="spellStart"/>
      <w:r w:rsidRPr="00621BD1">
        <w:rPr>
          <w:sz w:val="19"/>
          <w:szCs w:val="19"/>
          <w:lang w:val="pt-BR"/>
        </w:rPr>
        <w:t>Kouamelan</w:t>
      </w:r>
      <w:proofErr w:type="spellEnd"/>
      <w:r w:rsidRPr="00621BD1">
        <w:rPr>
          <w:sz w:val="19"/>
          <w:szCs w:val="19"/>
          <w:lang w:val="pt-BR"/>
        </w:rPr>
        <w:t xml:space="preserve">, E.P., 2024. </w:t>
      </w:r>
      <w:r>
        <w:rPr>
          <w:sz w:val="19"/>
          <w:szCs w:val="19"/>
        </w:rPr>
        <w:t>Ex-post evaluation of fishery management policies on wild fisheries production in northern Cabo Verde: an example of mackerel scad (</w:t>
      </w:r>
      <w:proofErr w:type="spellStart"/>
      <w:r>
        <w:rPr>
          <w:i/>
          <w:iCs/>
          <w:sz w:val="19"/>
          <w:szCs w:val="19"/>
        </w:rPr>
        <w:t>Decapterus</w:t>
      </w:r>
      <w:proofErr w:type="spellEnd"/>
      <w:r>
        <w:rPr>
          <w:i/>
          <w:iCs/>
          <w:sz w:val="19"/>
          <w:szCs w:val="19"/>
        </w:rPr>
        <w:t xml:space="preserve"> </w:t>
      </w:r>
      <w:proofErr w:type="spellStart"/>
      <w:r>
        <w:rPr>
          <w:i/>
          <w:iCs/>
          <w:sz w:val="19"/>
          <w:szCs w:val="19"/>
        </w:rPr>
        <w:t>macarellus</w:t>
      </w:r>
      <w:proofErr w:type="spellEnd"/>
      <w:r>
        <w:rPr>
          <w:sz w:val="19"/>
          <w:szCs w:val="19"/>
        </w:rPr>
        <w:t>, Carangidae). Journal of Fish Biology 105, 1212–1226. https://doi.org/10.1111/jfb.15861</w:t>
      </w:r>
    </w:p>
    <w:p w14:paraId="64C1C092" w14:textId="77777777" w:rsidR="00A0482C" w:rsidRDefault="00000000">
      <w:pPr>
        <w:spacing w:after="40"/>
        <w:ind w:left="340" w:hanging="340"/>
      </w:pPr>
      <w:r>
        <w:rPr>
          <w:sz w:val="19"/>
          <w:szCs w:val="19"/>
        </w:rPr>
        <w:t xml:space="preserve">da Luz, A., Vieira, N., 2020. Stock assessment of blackspot </w:t>
      </w:r>
      <w:proofErr w:type="spellStart"/>
      <w:r>
        <w:rPr>
          <w:sz w:val="19"/>
          <w:szCs w:val="19"/>
        </w:rPr>
        <w:t>picarel</w:t>
      </w:r>
      <w:proofErr w:type="spellEnd"/>
      <w:r>
        <w:rPr>
          <w:sz w:val="19"/>
          <w:szCs w:val="19"/>
        </w:rPr>
        <w:t xml:space="preserve"> (</w:t>
      </w:r>
      <w:proofErr w:type="spellStart"/>
      <w:r>
        <w:rPr>
          <w:i/>
          <w:iCs/>
          <w:sz w:val="19"/>
          <w:szCs w:val="19"/>
        </w:rPr>
        <w:t>Spicara</w:t>
      </w:r>
      <w:proofErr w:type="spellEnd"/>
      <w:r>
        <w:rPr>
          <w:i/>
          <w:iCs/>
          <w:sz w:val="19"/>
          <w:szCs w:val="19"/>
        </w:rPr>
        <w:t xml:space="preserve"> melanurus</w:t>
      </w:r>
      <w:r>
        <w:rPr>
          <w:sz w:val="19"/>
          <w:szCs w:val="19"/>
        </w:rPr>
        <w:t>) and mackerel scad (</w:t>
      </w:r>
      <w:proofErr w:type="spellStart"/>
      <w:r>
        <w:rPr>
          <w:i/>
          <w:iCs/>
          <w:sz w:val="19"/>
          <w:szCs w:val="19"/>
        </w:rPr>
        <w:t>Decapterus</w:t>
      </w:r>
      <w:proofErr w:type="spellEnd"/>
      <w:r>
        <w:rPr>
          <w:i/>
          <w:iCs/>
          <w:sz w:val="19"/>
          <w:szCs w:val="19"/>
        </w:rPr>
        <w:t xml:space="preserve"> </w:t>
      </w:r>
      <w:proofErr w:type="spellStart"/>
      <w:r>
        <w:rPr>
          <w:i/>
          <w:iCs/>
          <w:sz w:val="19"/>
          <w:szCs w:val="19"/>
        </w:rPr>
        <w:t>macarellus</w:t>
      </w:r>
      <w:proofErr w:type="spellEnd"/>
      <w:r>
        <w:rPr>
          <w:sz w:val="19"/>
          <w:szCs w:val="19"/>
        </w:rPr>
        <w:t xml:space="preserve">) in Cape Verde waters, Northwest Africa. In: Palomares, M.L.D., Khalfallah, M., </w:t>
      </w:r>
      <w:proofErr w:type="spellStart"/>
      <w:r>
        <w:rPr>
          <w:sz w:val="19"/>
          <w:szCs w:val="19"/>
        </w:rPr>
        <w:t>Woroniak</w:t>
      </w:r>
      <w:proofErr w:type="spellEnd"/>
      <w:r>
        <w:rPr>
          <w:sz w:val="19"/>
          <w:szCs w:val="19"/>
        </w:rPr>
        <w:t xml:space="preserve">, J., Pauly, D. (Eds.), Assessments of marine fisheries resources in West Africa with emphasis on small </w:t>
      </w:r>
      <w:proofErr w:type="spellStart"/>
      <w:r>
        <w:rPr>
          <w:sz w:val="19"/>
          <w:szCs w:val="19"/>
        </w:rPr>
        <w:t>pelagics</w:t>
      </w:r>
      <w:proofErr w:type="spellEnd"/>
      <w:r>
        <w:rPr>
          <w:sz w:val="19"/>
          <w:szCs w:val="19"/>
        </w:rPr>
        <w:t>. Fisheries Centre Research Reports 28(4), 5–17.</w:t>
      </w:r>
    </w:p>
    <w:p w14:paraId="780581B2" w14:textId="77777777" w:rsidR="00A0482C" w:rsidRDefault="00000000">
      <w:pPr>
        <w:spacing w:after="40"/>
        <w:ind w:left="340" w:hanging="340"/>
      </w:pPr>
      <w:proofErr w:type="spellStart"/>
      <w:r>
        <w:rPr>
          <w:sz w:val="19"/>
          <w:szCs w:val="19"/>
        </w:rPr>
        <w:t>DeAlteris</w:t>
      </w:r>
      <w:proofErr w:type="spellEnd"/>
      <w:r>
        <w:rPr>
          <w:sz w:val="19"/>
          <w:szCs w:val="19"/>
        </w:rPr>
        <w:t xml:space="preserve">, J., 2012. Assessment of stock status and intensity of exploitation for the </w:t>
      </w:r>
      <w:proofErr w:type="spellStart"/>
      <w:r>
        <w:rPr>
          <w:sz w:val="19"/>
          <w:szCs w:val="19"/>
        </w:rPr>
        <w:t>cavala</w:t>
      </w:r>
      <w:proofErr w:type="spellEnd"/>
      <w:r>
        <w:rPr>
          <w:sz w:val="19"/>
          <w:szCs w:val="19"/>
        </w:rPr>
        <w:t xml:space="preserve"> preta, </w:t>
      </w:r>
      <w:proofErr w:type="spellStart"/>
      <w:r>
        <w:rPr>
          <w:sz w:val="19"/>
          <w:szCs w:val="19"/>
        </w:rPr>
        <w:t>chicharro</w:t>
      </w:r>
      <w:proofErr w:type="spellEnd"/>
      <w:r>
        <w:rPr>
          <w:sz w:val="19"/>
          <w:szCs w:val="19"/>
        </w:rPr>
        <w:t xml:space="preserve"> and </w:t>
      </w:r>
      <w:proofErr w:type="spellStart"/>
      <w:r>
        <w:rPr>
          <w:sz w:val="19"/>
          <w:szCs w:val="19"/>
        </w:rPr>
        <w:t>dobrada</w:t>
      </w:r>
      <w:proofErr w:type="spellEnd"/>
      <w:r>
        <w:rPr>
          <w:sz w:val="19"/>
          <w:szCs w:val="19"/>
        </w:rPr>
        <w:t>, small pelagic fishery resources in the waters surrounding Cape Verde. Intermediate report. West Africa Regional Fisheries Project – Cape Verde (WARFP-CV), Praia.</w:t>
      </w:r>
    </w:p>
    <w:p w14:paraId="064D6FA5" w14:textId="77777777" w:rsidR="00A0482C" w:rsidRDefault="00000000">
      <w:pPr>
        <w:spacing w:after="40"/>
        <w:ind w:left="340" w:hanging="340"/>
      </w:pPr>
      <w:r w:rsidRPr="00621BD1">
        <w:rPr>
          <w:sz w:val="19"/>
          <w:szCs w:val="19"/>
          <w:lang w:val="pt-BR"/>
        </w:rPr>
        <w:t xml:space="preserve">DGRM – </w:t>
      </w:r>
      <w:proofErr w:type="spellStart"/>
      <w:r w:rsidRPr="00621BD1">
        <w:rPr>
          <w:sz w:val="19"/>
          <w:szCs w:val="19"/>
          <w:lang w:val="pt-BR"/>
        </w:rPr>
        <w:t>Direcção</w:t>
      </w:r>
      <w:proofErr w:type="spellEnd"/>
      <w:r w:rsidRPr="00621BD1">
        <w:rPr>
          <w:sz w:val="19"/>
          <w:szCs w:val="19"/>
          <w:lang w:val="pt-BR"/>
        </w:rPr>
        <w:t xml:space="preserve"> Geral dos Recursos Marinhos, 2019. Plano de Gestão dos Recursos da Pesca 2019–2023. </w:t>
      </w:r>
      <w:r>
        <w:rPr>
          <w:sz w:val="19"/>
          <w:szCs w:val="19"/>
        </w:rPr>
        <w:t>DGRM, Mindelo.</w:t>
      </w:r>
    </w:p>
    <w:p w14:paraId="63C0C8A8" w14:textId="77777777" w:rsidR="00A0482C" w:rsidRDefault="00000000">
      <w:pPr>
        <w:spacing w:after="40"/>
        <w:ind w:left="340" w:hanging="340"/>
      </w:pPr>
      <w:r>
        <w:rPr>
          <w:sz w:val="19"/>
          <w:szCs w:val="19"/>
        </w:rPr>
        <w:t>Dick, E.J., MacCall, A.D., 2011. Depletion-Based Stock Reduction Analysis: a catch-based method for determining sustainable yields for data-poor fish stocks. Fisheries Research 110, 331–341.</w:t>
      </w:r>
    </w:p>
    <w:p w14:paraId="75DECC50" w14:textId="77777777" w:rsidR="00A0482C" w:rsidRDefault="00000000">
      <w:pPr>
        <w:spacing w:after="40"/>
        <w:ind w:left="340" w:hanging="340"/>
      </w:pPr>
      <w:r>
        <w:rPr>
          <w:sz w:val="19"/>
          <w:szCs w:val="19"/>
        </w:rPr>
        <w:t xml:space="preserve">Dowling, N.A., </w:t>
      </w:r>
      <w:proofErr w:type="spellStart"/>
      <w:r>
        <w:rPr>
          <w:sz w:val="19"/>
          <w:szCs w:val="19"/>
        </w:rPr>
        <w:t>Dichmont</w:t>
      </w:r>
      <w:proofErr w:type="spellEnd"/>
      <w:r>
        <w:rPr>
          <w:sz w:val="19"/>
          <w:szCs w:val="19"/>
        </w:rPr>
        <w:t>, C.M., Haddon, M., Smith, D.C., Smith, A.D.M., Sainsbury, K., 2015. Empirical harvest strategies for data-poor fisheries: a review of the literature. Fisheries Research 171, 141–153. https://doi.org/10.1016/j.fishres.2014.11.005</w:t>
      </w:r>
    </w:p>
    <w:p w14:paraId="7F511FDB" w14:textId="77777777" w:rsidR="00A0482C" w:rsidRDefault="00000000">
      <w:pPr>
        <w:spacing w:after="40"/>
        <w:ind w:left="340" w:hanging="340"/>
      </w:pPr>
      <w:r>
        <w:rPr>
          <w:sz w:val="19"/>
          <w:szCs w:val="19"/>
        </w:rPr>
        <w:t>Dunn, P.K., Smyth, G.K., 1996. Randomized quantile residuals. Journal of Computational and Graphical Statistics 5, 236–244.</w:t>
      </w:r>
    </w:p>
    <w:p w14:paraId="66400C11" w14:textId="77777777" w:rsidR="00A0482C" w:rsidRDefault="00000000">
      <w:pPr>
        <w:spacing w:after="40"/>
        <w:ind w:left="340" w:hanging="340"/>
      </w:pPr>
      <w:r>
        <w:rPr>
          <w:sz w:val="19"/>
          <w:szCs w:val="19"/>
        </w:rPr>
        <w:t>FAO, 2025. Review of the state of world marine fishery resources – 2025. FAO, Rome.</w:t>
      </w:r>
    </w:p>
    <w:p w14:paraId="421BDD97" w14:textId="77777777" w:rsidR="00A0482C" w:rsidRDefault="00000000">
      <w:pPr>
        <w:spacing w:after="40"/>
        <w:ind w:left="340" w:hanging="340"/>
      </w:pPr>
      <w:r>
        <w:rPr>
          <w:sz w:val="19"/>
          <w:szCs w:val="19"/>
        </w:rPr>
        <w:t>FAO, 2026. The State of World Fisheries and Aquaculture 2026. FAO, Rome.</w:t>
      </w:r>
    </w:p>
    <w:p w14:paraId="4210B589" w14:textId="77777777" w:rsidR="00A0482C" w:rsidRDefault="00000000">
      <w:pPr>
        <w:spacing w:after="40"/>
        <w:ind w:left="340" w:hanging="340"/>
      </w:pPr>
      <w:r>
        <w:rPr>
          <w:sz w:val="19"/>
          <w:szCs w:val="19"/>
        </w:rPr>
        <w:t>FAO, Duke University, WorldFish, 2023. Illuminating Hidden Harvests: the contributions of small-scale fisheries to sustainable development. FAO, Rome; Duke University, Durham; WorldFish, Penang.</w:t>
      </w:r>
    </w:p>
    <w:p w14:paraId="16110DC8" w14:textId="77777777" w:rsidR="00A0482C" w:rsidRDefault="00000000">
      <w:pPr>
        <w:spacing w:after="40"/>
        <w:ind w:left="340" w:hanging="340"/>
      </w:pPr>
      <w:r>
        <w:rPr>
          <w:sz w:val="19"/>
          <w:szCs w:val="19"/>
        </w:rPr>
        <w:t>Fletcher, R.I., 1978. On the restructuring of the Pella–Tomlinson system. Fishery Bulletin 76, 515–521.</w:t>
      </w:r>
    </w:p>
    <w:p w14:paraId="274A704C" w14:textId="77777777" w:rsidR="00A0482C" w:rsidRDefault="00000000">
      <w:pPr>
        <w:spacing w:after="40"/>
        <w:ind w:left="340" w:hanging="340"/>
      </w:pPr>
      <w:r>
        <w:rPr>
          <w:sz w:val="19"/>
          <w:szCs w:val="19"/>
        </w:rPr>
        <w:t>Fox, W.W., 1970. An exponential surplus-yield model for optimizing exploited fish populations. Transactions of the American Fisheries Society 99, 80–88.</w:t>
      </w:r>
    </w:p>
    <w:p w14:paraId="6DC2E7C0" w14:textId="77777777" w:rsidR="00A0482C" w:rsidRDefault="00000000">
      <w:pPr>
        <w:spacing w:after="40"/>
        <w:ind w:left="340" w:hanging="340"/>
      </w:pPr>
      <w:r>
        <w:rPr>
          <w:sz w:val="19"/>
          <w:szCs w:val="19"/>
        </w:rPr>
        <w:lastRenderedPageBreak/>
        <w:t>Free, C.M., 2018. datalimited2: more stock assessment methods for data-limited fisheries. R package version 0.1.0. https://github.com/cfree14/datalimited2</w:t>
      </w:r>
    </w:p>
    <w:p w14:paraId="6941B047" w14:textId="77777777" w:rsidR="00A0482C" w:rsidRDefault="00000000">
      <w:pPr>
        <w:spacing w:after="40"/>
        <w:ind w:left="340" w:hanging="340"/>
      </w:pPr>
      <w:r>
        <w:rPr>
          <w:sz w:val="19"/>
          <w:szCs w:val="19"/>
        </w:rPr>
        <w:t>Free, C.M., Jensen, O.P., Anderson, S.C., Gutierrez, N.L., Kleisner, K.M., Longo, C., Minto, C., Osio, G.C., Walsh, J.C., 2020. Blood from a stone: performance of catch-only methods in estimating stock biomass status. Fisheries Research 223, 105452.</w:t>
      </w:r>
    </w:p>
    <w:p w14:paraId="181473A1" w14:textId="77777777" w:rsidR="00A0482C" w:rsidRDefault="00000000">
      <w:pPr>
        <w:spacing w:after="40"/>
        <w:ind w:left="340" w:hanging="340"/>
      </w:pPr>
      <w:r>
        <w:rPr>
          <w:sz w:val="19"/>
          <w:szCs w:val="19"/>
        </w:rPr>
        <w:t xml:space="preserve">Fritsch, S., Guenther, F., Wright, M.N., 2019. </w:t>
      </w:r>
      <w:proofErr w:type="spellStart"/>
      <w:r>
        <w:rPr>
          <w:sz w:val="19"/>
          <w:szCs w:val="19"/>
        </w:rPr>
        <w:t>neuralnet</w:t>
      </w:r>
      <w:proofErr w:type="spellEnd"/>
      <w:r>
        <w:rPr>
          <w:sz w:val="19"/>
          <w:szCs w:val="19"/>
        </w:rPr>
        <w:t>: training of neural networks. R package. https://CRAN.R-project.org/package=neuralnet</w:t>
      </w:r>
    </w:p>
    <w:p w14:paraId="63A4A72D" w14:textId="77777777" w:rsidR="00A0482C" w:rsidRDefault="00000000">
      <w:pPr>
        <w:spacing w:after="40"/>
        <w:ind w:left="340" w:hanging="340"/>
      </w:pPr>
      <w:r>
        <w:rPr>
          <w:sz w:val="19"/>
          <w:szCs w:val="19"/>
        </w:rPr>
        <w:t>Froese, R., Demirel, N., Coro, G., Kleisner, K.M., Winker, H., 2017. Estimating fisheries reference points from catch and resilience. Fish and Fisheries 18, 506–526.</w:t>
      </w:r>
    </w:p>
    <w:p w14:paraId="3EAE5253" w14:textId="77777777" w:rsidR="00A0482C" w:rsidRDefault="00000000">
      <w:pPr>
        <w:spacing w:after="40"/>
        <w:ind w:left="340" w:hanging="340"/>
      </w:pPr>
      <w:r>
        <w:rPr>
          <w:sz w:val="19"/>
          <w:szCs w:val="19"/>
        </w:rPr>
        <w:t xml:space="preserve">Froese, R., Pauly, D. (Eds.), 2026. </w:t>
      </w:r>
      <w:proofErr w:type="spellStart"/>
      <w:r>
        <w:rPr>
          <w:sz w:val="19"/>
          <w:szCs w:val="19"/>
        </w:rPr>
        <w:t>FishBase</w:t>
      </w:r>
      <w:proofErr w:type="spellEnd"/>
      <w:r>
        <w:rPr>
          <w:sz w:val="19"/>
          <w:szCs w:val="19"/>
        </w:rPr>
        <w:t>. World Wide Web electronic publication. www.fishbase.org (accessed 8 October 2026).</w:t>
      </w:r>
    </w:p>
    <w:p w14:paraId="4098FFFC" w14:textId="77777777" w:rsidR="00A0482C" w:rsidRDefault="00000000">
      <w:pPr>
        <w:spacing w:after="40"/>
        <w:ind w:left="340" w:hanging="340"/>
      </w:pPr>
      <w:r>
        <w:rPr>
          <w:sz w:val="19"/>
          <w:szCs w:val="19"/>
        </w:rPr>
        <w:t xml:space="preserve">Froese, R., Winker, H., Coro, G., Palomares, M.L.D., </w:t>
      </w:r>
      <w:proofErr w:type="spellStart"/>
      <w:r>
        <w:rPr>
          <w:sz w:val="19"/>
          <w:szCs w:val="19"/>
        </w:rPr>
        <w:t>Tsikliras</w:t>
      </w:r>
      <w:proofErr w:type="spellEnd"/>
      <w:r>
        <w:rPr>
          <w:sz w:val="19"/>
          <w:szCs w:val="19"/>
        </w:rPr>
        <w:t xml:space="preserve">, A.C., </w:t>
      </w:r>
      <w:proofErr w:type="spellStart"/>
      <w:r>
        <w:rPr>
          <w:sz w:val="19"/>
          <w:szCs w:val="19"/>
        </w:rPr>
        <w:t>Dimarchopoulou</w:t>
      </w:r>
      <w:proofErr w:type="spellEnd"/>
      <w:r>
        <w:rPr>
          <w:sz w:val="19"/>
          <w:szCs w:val="19"/>
        </w:rPr>
        <w:t xml:space="preserve">, D., </w:t>
      </w:r>
      <w:proofErr w:type="spellStart"/>
      <w:r>
        <w:rPr>
          <w:sz w:val="19"/>
          <w:szCs w:val="19"/>
        </w:rPr>
        <w:t>Touloumis</w:t>
      </w:r>
      <w:proofErr w:type="spellEnd"/>
      <w:r>
        <w:rPr>
          <w:sz w:val="19"/>
          <w:szCs w:val="19"/>
        </w:rPr>
        <w:t xml:space="preserve">, K., Demirel, N., Vianna, G.M.S., Scarcella, G., Schijns, R., Liang, C., Pauly, D., 2023. New developments in the analysis of catch time series as the basis for fish stock assessments: the CMSY++ method. Acta </w:t>
      </w:r>
      <w:proofErr w:type="spellStart"/>
      <w:r>
        <w:rPr>
          <w:sz w:val="19"/>
          <w:szCs w:val="19"/>
        </w:rPr>
        <w:t>Ichthyologica</w:t>
      </w:r>
      <w:proofErr w:type="spellEnd"/>
      <w:r>
        <w:rPr>
          <w:sz w:val="19"/>
          <w:szCs w:val="19"/>
        </w:rPr>
        <w:t xml:space="preserve"> et </w:t>
      </w:r>
      <w:proofErr w:type="spellStart"/>
      <w:r>
        <w:rPr>
          <w:sz w:val="19"/>
          <w:szCs w:val="19"/>
        </w:rPr>
        <w:t>Piscatoria</w:t>
      </w:r>
      <w:proofErr w:type="spellEnd"/>
      <w:r>
        <w:rPr>
          <w:sz w:val="19"/>
          <w:szCs w:val="19"/>
        </w:rPr>
        <w:t xml:space="preserve"> 53, 173–189.</w:t>
      </w:r>
    </w:p>
    <w:p w14:paraId="48A14B7A" w14:textId="77777777" w:rsidR="00A0482C" w:rsidRDefault="00000000">
      <w:pPr>
        <w:spacing w:after="40"/>
        <w:ind w:left="340" w:hanging="340"/>
      </w:pPr>
      <w:r>
        <w:rPr>
          <w:sz w:val="19"/>
          <w:szCs w:val="19"/>
        </w:rPr>
        <w:t xml:space="preserve">Fujiwara, S., Ramos, V., n.d. Biology and resource management of </w:t>
      </w:r>
      <w:proofErr w:type="spellStart"/>
      <w:r>
        <w:rPr>
          <w:sz w:val="19"/>
          <w:szCs w:val="19"/>
        </w:rPr>
        <w:t>cavala</w:t>
      </w:r>
      <w:proofErr w:type="spellEnd"/>
      <w:r>
        <w:rPr>
          <w:sz w:val="19"/>
          <w:szCs w:val="19"/>
        </w:rPr>
        <w:t xml:space="preserve"> preta, </w:t>
      </w:r>
      <w:proofErr w:type="spellStart"/>
      <w:r>
        <w:rPr>
          <w:i/>
          <w:iCs/>
          <w:sz w:val="19"/>
          <w:szCs w:val="19"/>
        </w:rPr>
        <w:t>Decapterus</w:t>
      </w:r>
      <w:proofErr w:type="spellEnd"/>
      <w:r>
        <w:rPr>
          <w:i/>
          <w:iCs/>
          <w:sz w:val="19"/>
          <w:szCs w:val="19"/>
        </w:rPr>
        <w:t xml:space="preserve"> </w:t>
      </w:r>
      <w:proofErr w:type="spellStart"/>
      <w:r>
        <w:rPr>
          <w:i/>
          <w:iCs/>
          <w:sz w:val="19"/>
          <w:szCs w:val="19"/>
        </w:rPr>
        <w:t>macarellus</w:t>
      </w:r>
      <w:proofErr w:type="spellEnd"/>
      <w:r>
        <w:rPr>
          <w:sz w:val="19"/>
          <w:szCs w:val="19"/>
        </w:rPr>
        <w:t>, in Cabo Verde waters. INDP/OFCF Technical Cooperation Project (data from 2002–2003), Mindelo.</w:t>
      </w:r>
    </w:p>
    <w:p w14:paraId="6ED9547E" w14:textId="77777777" w:rsidR="00A0482C" w:rsidRDefault="00000000">
      <w:pPr>
        <w:spacing w:after="40"/>
        <w:ind w:left="340" w:hanging="340"/>
      </w:pPr>
      <w:proofErr w:type="spellStart"/>
      <w:r>
        <w:rPr>
          <w:sz w:val="19"/>
          <w:szCs w:val="19"/>
        </w:rPr>
        <w:t>Funtowicz</w:t>
      </w:r>
      <w:proofErr w:type="spellEnd"/>
      <w:r>
        <w:rPr>
          <w:sz w:val="19"/>
          <w:szCs w:val="19"/>
        </w:rPr>
        <w:t xml:space="preserve">, S.O., </w:t>
      </w:r>
      <w:proofErr w:type="spellStart"/>
      <w:r>
        <w:rPr>
          <w:sz w:val="19"/>
          <w:szCs w:val="19"/>
        </w:rPr>
        <w:t>Ravetz</w:t>
      </w:r>
      <w:proofErr w:type="spellEnd"/>
      <w:r>
        <w:rPr>
          <w:sz w:val="19"/>
          <w:szCs w:val="19"/>
        </w:rPr>
        <w:t>, J.R., 1990. Uncertainty and quality in science for policy. Kluwer Academic Publishers, Dordrecht.</w:t>
      </w:r>
    </w:p>
    <w:p w14:paraId="228B696D" w14:textId="77777777" w:rsidR="00A0482C" w:rsidRDefault="00000000">
      <w:pPr>
        <w:spacing w:after="40"/>
        <w:ind w:left="340" w:hanging="340"/>
      </w:pPr>
      <w:r>
        <w:rPr>
          <w:sz w:val="19"/>
          <w:szCs w:val="19"/>
        </w:rPr>
        <w:t>Genz, A., Bretz, F., 2009. Computation of multivariate normal and t probabilities. Lecture Notes in Statistics 195. Springer, Heidelberg.</w:t>
      </w:r>
    </w:p>
    <w:p w14:paraId="5958339E" w14:textId="77777777" w:rsidR="00A0482C" w:rsidRDefault="00000000">
      <w:pPr>
        <w:spacing w:after="40"/>
        <w:ind w:left="340" w:hanging="340"/>
      </w:pPr>
      <w:r>
        <w:rPr>
          <w:sz w:val="19"/>
          <w:szCs w:val="19"/>
        </w:rPr>
        <w:t>Geweke, J., 1992. Evaluating the accuracy of sampling-based approaches to the calculation of posterior moments. In: Bernardo, J.M., Berger, J.O., Dawid, A.P., Smith, A.F.M. (Eds.), Bayesian Statistics 4. Oxford University Press, Oxford, pp. 169–193.</w:t>
      </w:r>
    </w:p>
    <w:p w14:paraId="27C11702" w14:textId="77777777" w:rsidR="00A0482C" w:rsidRDefault="00000000">
      <w:pPr>
        <w:spacing w:after="40"/>
        <w:ind w:left="340" w:hanging="340"/>
      </w:pPr>
      <w:r>
        <w:rPr>
          <w:sz w:val="19"/>
          <w:szCs w:val="19"/>
        </w:rPr>
        <w:t>Harley, S.J., Myers, R.A., Dunn, A., 2001. Is catch-per-unit-effort proportional to abundance? Canadian Journal of Fisheries and Aquatic Sciences 58, 1760–1772.</w:t>
      </w:r>
    </w:p>
    <w:p w14:paraId="359C5CB4" w14:textId="77777777" w:rsidR="00A0482C" w:rsidRDefault="00000000">
      <w:pPr>
        <w:spacing w:after="40"/>
        <w:ind w:left="340" w:hanging="340"/>
      </w:pPr>
      <w:r>
        <w:rPr>
          <w:sz w:val="19"/>
          <w:szCs w:val="19"/>
        </w:rPr>
        <w:t xml:space="preserve">Hartig, F., 2022. </w:t>
      </w:r>
      <w:proofErr w:type="spellStart"/>
      <w:r>
        <w:rPr>
          <w:sz w:val="19"/>
          <w:szCs w:val="19"/>
        </w:rPr>
        <w:t>DHARMa</w:t>
      </w:r>
      <w:proofErr w:type="spellEnd"/>
      <w:r>
        <w:rPr>
          <w:sz w:val="19"/>
          <w:szCs w:val="19"/>
        </w:rPr>
        <w:t>: residual diagnostics for hierarchical (multi-level/mixed) regression models. R package. https://CRAN.R-project.org/package=DHARMa</w:t>
      </w:r>
    </w:p>
    <w:p w14:paraId="4A9D28FA" w14:textId="77777777" w:rsidR="00A0482C" w:rsidRDefault="00000000">
      <w:pPr>
        <w:spacing w:after="40"/>
        <w:ind w:left="340" w:hanging="340"/>
      </w:pPr>
      <w:r>
        <w:rPr>
          <w:sz w:val="19"/>
          <w:szCs w:val="19"/>
        </w:rPr>
        <w:t>He, X., Bigelow, K.A., Boggs, C.H., 1997. Cluster analysis of longline sets and fishing strategies within the Hawaii-based fishery. Fisheries Research 31, 147–158.</w:t>
      </w:r>
    </w:p>
    <w:p w14:paraId="0A39D285" w14:textId="77777777" w:rsidR="00A0482C" w:rsidRDefault="00000000">
      <w:pPr>
        <w:spacing w:after="40"/>
        <w:ind w:left="340" w:hanging="340"/>
      </w:pPr>
      <w:r>
        <w:rPr>
          <w:sz w:val="19"/>
          <w:szCs w:val="19"/>
        </w:rPr>
        <w:t>Heidelberger, P., Welch, P.D., 1983. Simulation run length control in the presence of an initial transient. Operations Research 31, 1109–1144.</w:t>
      </w:r>
    </w:p>
    <w:p w14:paraId="674DE7AB" w14:textId="77777777" w:rsidR="00A0482C" w:rsidRDefault="00000000">
      <w:pPr>
        <w:spacing w:after="40"/>
        <w:ind w:left="340" w:hanging="340"/>
      </w:pPr>
      <w:r>
        <w:rPr>
          <w:sz w:val="19"/>
          <w:szCs w:val="19"/>
        </w:rPr>
        <w:t xml:space="preserve">Hilborn, R., Amoroso, R.O., Anderson, C.M., Baum, J.K., Branch, T.A., Costello, C., de Moor, C.L., Faraj, A., Hively, D., Jensen, O.P., </w:t>
      </w:r>
      <w:proofErr w:type="spellStart"/>
      <w:r>
        <w:rPr>
          <w:sz w:val="19"/>
          <w:szCs w:val="19"/>
        </w:rPr>
        <w:t>Kurota</w:t>
      </w:r>
      <w:proofErr w:type="spellEnd"/>
      <w:r>
        <w:rPr>
          <w:sz w:val="19"/>
          <w:szCs w:val="19"/>
        </w:rPr>
        <w:t xml:space="preserve">, H., Little, L.R., Mace, P., McClanahan, T., Melnychuk, M.C., Minto, C., Osio, G.C., Parma, A.M., Pons, M., </w:t>
      </w:r>
      <w:proofErr w:type="spellStart"/>
      <w:r>
        <w:rPr>
          <w:sz w:val="19"/>
          <w:szCs w:val="19"/>
        </w:rPr>
        <w:t>Segurado</w:t>
      </w:r>
      <w:proofErr w:type="spellEnd"/>
      <w:r>
        <w:rPr>
          <w:sz w:val="19"/>
          <w:szCs w:val="19"/>
        </w:rPr>
        <w:t>, S., Szuwalski, C.S., Wilson, J.R., Ye, Y., 2020. Effective fisheries management instrumental in improving fish stock status. Proceedings of the National Academy of Sciences 117, 2218–2224.</w:t>
      </w:r>
    </w:p>
    <w:p w14:paraId="32BD8388" w14:textId="77777777" w:rsidR="00A0482C" w:rsidRDefault="00000000">
      <w:pPr>
        <w:spacing w:after="40"/>
        <w:ind w:left="340" w:hanging="340"/>
      </w:pPr>
      <w:r>
        <w:rPr>
          <w:sz w:val="19"/>
          <w:szCs w:val="19"/>
        </w:rPr>
        <w:t>Hinton, M.G., Maunder, M.N., 2004. Methods for standardizing CPUE and how to select among them. Collective Volume of Scientific Papers ICCAT 56, 169–177.</w:t>
      </w:r>
    </w:p>
    <w:p w14:paraId="2B6BCE47" w14:textId="77777777" w:rsidR="00A0482C" w:rsidRDefault="00000000">
      <w:pPr>
        <w:spacing w:after="40"/>
        <w:ind w:left="340" w:hanging="340"/>
      </w:pPr>
      <w:r>
        <w:rPr>
          <w:sz w:val="19"/>
          <w:szCs w:val="19"/>
        </w:rPr>
        <w:t xml:space="preserve">Hoyle, S.D., Campbell, R.A., Ducharme-Barth, N.D., </w:t>
      </w:r>
      <w:proofErr w:type="spellStart"/>
      <w:r>
        <w:rPr>
          <w:sz w:val="19"/>
          <w:szCs w:val="19"/>
        </w:rPr>
        <w:t>Grüss</w:t>
      </w:r>
      <w:proofErr w:type="spellEnd"/>
      <w:r>
        <w:rPr>
          <w:sz w:val="19"/>
          <w:szCs w:val="19"/>
        </w:rPr>
        <w:t>, A., Moore, B.R., Thorson, J.T., Tremblay-Boyer, L., Winker, H., Zhou, S., Maunder, M.N., 2024. Catch per unit effort modelling for stock assessment: a summary of good practices. Fisheries Research 269, 106860.</w:t>
      </w:r>
    </w:p>
    <w:p w14:paraId="61D53369" w14:textId="77777777" w:rsidR="00A0482C" w:rsidRPr="00621BD1" w:rsidRDefault="00000000">
      <w:pPr>
        <w:spacing w:after="40"/>
        <w:ind w:left="340" w:hanging="340"/>
        <w:rPr>
          <w:lang w:val="pt-BR"/>
        </w:rPr>
      </w:pPr>
      <w:r>
        <w:rPr>
          <w:sz w:val="19"/>
          <w:szCs w:val="19"/>
        </w:rPr>
        <w:t xml:space="preserve">Hyndman, R.J., Koehler, A.B., 2006. Another look at measures of forecast accuracy. </w:t>
      </w:r>
      <w:proofErr w:type="spellStart"/>
      <w:r w:rsidRPr="00621BD1">
        <w:rPr>
          <w:sz w:val="19"/>
          <w:szCs w:val="19"/>
          <w:lang w:val="pt-BR"/>
        </w:rPr>
        <w:t>International</w:t>
      </w:r>
      <w:proofErr w:type="spellEnd"/>
      <w:r w:rsidRPr="00621BD1">
        <w:rPr>
          <w:sz w:val="19"/>
          <w:szCs w:val="19"/>
          <w:lang w:val="pt-BR"/>
        </w:rPr>
        <w:t xml:space="preserve"> </w:t>
      </w:r>
      <w:proofErr w:type="spellStart"/>
      <w:r w:rsidRPr="00621BD1">
        <w:rPr>
          <w:sz w:val="19"/>
          <w:szCs w:val="19"/>
          <w:lang w:val="pt-BR"/>
        </w:rPr>
        <w:t>Journal</w:t>
      </w:r>
      <w:proofErr w:type="spellEnd"/>
      <w:r w:rsidRPr="00621BD1">
        <w:rPr>
          <w:sz w:val="19"/>
          <w:szCs w:val="19"/>
          <w:lang w:val="pt-BR"/>
        </w:rPr>
        <w:t xml:space="preserve"> </w:t>
      </w:r>
      <w:proofErr w:type="spellStart"/>
      <w:r w:rsidRPr="00621BD1">
        <w:rPr>
          <w:sz w:val="19"/>
          <w:szCs w:val="19"/>
          <w:lang w:val="pt-BR"/>
        </w:rPr>
        <w:t>of</w:t>
      </w:r>
      <w:proofErr w:type="spellEnd"/>
      <w:r w:rsidRPr="00621BD1">
        <w:rPr>
          <w:sz w:val="19"/>
          <w:szCs w:val="19"/>
          <w:lang w:val="pt-BR"/>
        </w:rPr>
        <w:t xml:space="preserve"> </w:t>
      </w:r>
      <w:proofErr w:type="spellStart"/>
      <w:r w:rsidRPr="00621BD1">
        <w:rPr>
          <w:sz w:val="19"/>
          <w:szCs w:val="19"/>
          <w:lang w:val="pt-BR"/>
        </w:rPr>
        <w:t>Forecasting</w:t>
      </w:r>
      <w:proofErr w:type="spellEnd"/>
      <w:r w:rsidRPr="00621BD1">
        <w:rPr>
          <w:sz w:val="19"/>
          <w:szCs w:val="19"/>
          <w:lang w:val="pt-BR"/>
        </w:rPr>
        <w:t xml:space="preserve"> 22, 679–688.</w:t>
      </w:r>
    </w:p>
    <w:p w14:paraId="4B223722" w14:textId="77777777" w:rsidR="00A0482C" w:rsidRDefault="00000000">
      <w:pPr>
        <w:spacing w:after="40"/>
        <w:ind w:left="340" w:hanging="340"/>
      </w:pPr>
      <w:r w:rsidRPr="00621BD1">
        <w:rPr>
          <w:sz w:val="19"/>
          <w:szCs w:val="19"/>
          <w:lang w:val="pt-BR"/>
        </w:rPr>
        <w:t>Jardim, J.E., 1999. Contribuição para o estudo da pescaria de cavala preta (</w:t>
      </w:r>
      <w:proofErr w:type="spellStart"/>
      <w:r w:rsidRPr="00621BD1">
        <w:rPr>
          <w:i/>
          <w:iCs/>
          <w:sz w:val="19"/>
          <w:szCs w:val="19"/>
          <w:lang w:val="pt-BR"/>
        </w:rPr>
        <w:t>Decapterus</w:t>
      </w:r>
      <w:proofErr w:type="spellEnd"/>
      <w:r w:rsidRPr="00621BD1">
        <w:rPr>
          <w:i/>
          <w:iCs/>
          <w:sz w:val="19"/>
          <w:szCs w:val="19"/>
          <w:lang w:val="pt-BR"/>
        </w:rPr>
        <w:t xml:space="preserve"> </w:t>
      </w:r>
      <w:proofErr w:type="spellStart"/>
      <w:r w:rsidRPr="00621BD1">
        <w:rPr>
          <w:i/>
          <w:iCs/>
          <w:sz w:val="19"/>
          <w:szCs w:val="19"/>
          <w:lang w:val="pt-BR"/>
        </w:rPr>
        <w:t>macarellus</w:t>
      </w:r>
      <w:proofErr w:type="spellEnd"/>
      <w:r w:rsidRPr="00621BD1">
        <w:rPr>
          <w:sz w:val="19"/>
          <w:szCs w:val="19"/>
          <w:lang w:val="pt-BR"/>
        </w:rPr>
        <w:t xml:space="preserve">) no Arquipélago de Cabo Verde no período de 1981 a 1992. In: Carvalho, E.M., Morais, J., Nascimento, J. (Eds.), Investigação e Gestão Haliêuticas em Cabo Verde. </w:t>
      </w:r>
      <w:r>
        <w:rPr>
          <w:sz w:val="19"/>
          <w:szCs w:val="19"/>
        </w:rPr>
        <w:t>INDP, Mindelo, pp. 215–233.</w:t>
      </w:r>
    </w:p>
    <w:p w14:paraId="7AA9F415" w14:textId="77777777" w:rsidR="00A0482C" w:rsidRDefault="00000000">
      <w:pPr>
        <w:spacing w:after="40"/>
        <w:ind w:left="340" w:hanging="340"/>
      </w:pPr>
      <w:r>
        <w:rPr>
          <w:sz w:val="19"/>
          <w:szCs w:val="19"/>
        </w:rPr>
        <w:t xml:space="preserve">Kell, L.T., Kimoto, A., </w:t>
      </w:r>
      <w:proofErr w:type="spellStart"/>
      <w:r>
        <w:rPr>
          <w:sz w:val="19"/>
          <w:szCs w:val="19"/>
        </w:rPr>
        <w:t>Kitakado</w:t>
      </w:r>
      <w:proofErr w:type="spellEnd"/>
      <w:r>
        <w:rPr>
          <w:sz w:val="19"/>
          <w:szCs w:val="19"/>
        </w:rPr>
        <w:t>, T., 2016. Evaluation of the prediction skill of stock assessment using hindcasting. Fisheries Research 183, 119–127.</w:t>
      </w:r>
    </w:p>
    <w:p w14:paraId="6505B693" w14:textId="77777777" w:rsidR="00A0482C" w:rsidRPr="00621BD1" w:rsidRDefault="00000000">
      <w:pPr>
        <w:spacing w:after="40"/>
        <w:ind w:left="340" w:hanging="340"/>
        <w:rPr>
          <w:lang w:val="pt-BR"/>
        </w:rPr>
      </w:pPr>
      <w:r>
        <w:rPr>
          <w:sz w:val="19"/>
          <w:szCs w:val="19"/>
        </w:rPr>
        <w:t xml:space="preserve">Lenth, R.V., 2024. </w:t>
      </w:r>
      <w:proofErr w:type="spellStart"/>
      <w:r>
        <w:rPr>
          <w:sz w:val="19"/>
          <w:szCs w:val="19"/>
        </w:rPr>
        <w:t>emmeans</w:t>
      </w:r>
      <w:proofErr w:type="spellEnd"/>
      <w:r>
        <w:rPr>
          <w:sz w:val="19"/>
          <w:szCs w:val="19"/>
        </w:rPr>
        <w:t xml:space="preserve">: estimated marginal means, aka least-squares means. </w:t>
      </w:r>
      <w:r w:rsidRPr="00621BD1">
        <w:rPr>
          <w:sz w:val="19"/>
          <w:szCs w:val="19"/>
          <w:lang w:val="pt-BR"/>
        </w:rPr>
        <w:t xml:space="preserve">R </w:t>
      </w:r>
      <w:proofErr w:type="spellStart"/>
      <w:r w:rsidRPr="00621BD1">
        <w:rPr>
          <w:sz w:val="19"/>
          <w:szCs w:val="19"/>
          <w:lang w:val="pt-BR"/>
        </w:rPr>
        <w:t>package</w:t>
      </w:r>
      <w:proofErr w:type="spellEnd"/>
      <w:r w:rsidRPr="00621BD1">
        <w:rPr>
          <w:sz w:val="19"/>
          <w:szCs w:val="19"/>
          <w:lang w:val="pt-BR"/>
        </w:rPr>
        <w:t>. https://CRAN.R-project.org/package=emmeans</w:t>
      </w:r>
    </w:p>
    <w:p w14:paraId="273A0370" w14:textId="77777777" w:rsidR="00A0482C" w:rsidRDefault="00000000">
      <w:pPr>
        <w:spacing w:after="40"/>
        <w:ind w:left="340" w:hanging="340"/>
      </w:pPr>
      <w:r w:rsidRPr="00621BD1">
        <w:rPr>
          <w:sz w:val="19"/>
          <w:szCs w:val="19"/>
          <w:lang w:val="pt-BR"/>
        </w:rPr>
        <w:t xml:space="preserve">Lopes, E.P., Monteiro, V., Martins, A., Coelho, R., Freitas, R., </w:t>
      </w:r>
      <w:proofErr w:type="spellStart"/>
      <w:r w:rsidRPr="00621BD1">
        <w:rPr>
          <w:sz w:val="19"/>
          <w:szCs w:val="19"/>
          <w:lang w:val="pt-BR"/>
        </w:rPr>
        <w:t>Blancke</w:t>
      </w:r>
      <w:proofErr w:type="spellEnd"/>
      <w:r w:rsidRPr="00621BD1">
        <w:rPr>
          <w:sz w:val="19"/>
          <w:szCs w:val="19"/>
          <w:lang w:val="pt-BR"/>
        </w:rPr>
        <w:t xml:space="preserve">, T., Hanel, R., 2021. </w:t>
      </w:r>
      <w:r>
        <w:rPr>
          <w:sz w:val="19"/>
          <w:szCs w:val="19"/>
        </w:rPr>
        <w:t xml:space="preserve">Confirmed record of the </w:t>
      </w:r>
      <w:proofErr w:type="spellStart"/>
      <w:r>
        <w:rPr>
          <w:sz w:val="19"/>
          <w:szCs w:val="19"/>
        </w:rPr>
        <w:t>roughear</w:t>
      </w:r>
      <w:proofErr w:type="spellEnd"/>
      <w:r>
        <w:rPr>
          <w:sz w:val="19"/>
          <w:szCs w:val="19"/>
        </w:rPr>
        <w:t xml:space="preserve"> scad </w:t>
      </w:r>
      <w:proofErr w:type="spellStart"/>
      <w:r>
        <w:rPr>
          <w:i/>
          <w:iCs/>
          <w:sz w:val="19"/>
          <w:szCs w:val="19"/>
        </w:rPr>
        <w:t>Decapterus</w:t>
      </w:r>
      <w:proofErr w:type="spellEnd"/>
      <w:r>
        <w:rPr>
          <w:i/>
          <w:iCs/>
          <w:sz w:val="19"/>
          <w:szCs w:val="19"/>
        </w:rPr>
        <w:t xml:space="preserve"> </w:t>
      </w:r>
      <w:proofErr w:type="spellStart"/>
      <w:r>
        <w:rPr>
          <w:i/>
          <w:iCs/>
          <w:sz w:val="19"/>
          <w:szCs w:val="19"/>
        </w:rPr>
        <w:t>tabl</w:t>
      </w:r>
      <w:proofErr w:type="spellEnd"/>
      <w:r>
        <w:rPr>
          <w:sz w:val="19"/>
          <w:szCs w:val="19"/>
        </w:rPr>
        <w:t xml:space="preserve"> in the Cabo Verde Archipelago based on morphological and genetic data. </w:t>
      </w:r>
      <w:proofErr w:type="spellStart"/>
      <w:r>
        <w:rPr>
          <w:sz w:val="19"/>
          <w:szCs w:val="19"/>
        </w:rPr>
        <w:t>Zoologia</w:t>
      </w:r>
      <w:proofErr w:type="spellEnd"/>
      <w:r>
        <w:rPr>
          <w:sz w:val="19"/>
          <w:szCs w:val="19"/>
        </w:rPr>
        <w:t xml:space="preserve"> </w:t>
      </w:r>
      <w:proofErr w:type="spellStart"/>
      <w:r>
        <w:rPr>
          <w:sz w:val="19"/>
          <w:szCs w:val="19"/>
        </w:rPr>
        <w:t>Caboverdiana</w:t>
      </w:r>
      <w:proofErr w:type="spellEnd"/>
      <w:r>
        <w:rPr>
          <w:sz w:val="19"/>
          <w:szCs w:val="19"/>
        </w:rPr>
        <w:t xml:space="preserve"> 9, 3–13.</w:t>
      </w:r>
    </w:p>
    <w:p w14:paraId="77A2B7F3" w14:textId="77777777" w:rsidR="00A0482C" w:rsidRDefault="00000000">
      <w:pPr>
        <w:spacing w:after="40"/>
        <w:ind w:left="340" w:hanging="340"/>
      </w:pPr>
      <w:r>
        <w:rPr>
          <w:sz w:val="19"/>
          <w:szCs w:val="19"/>
        </w:rPr>
        <w:t>MacCall, A.D., 2009. Depletion-corrected average catch: a simple formula for estimating sustainable yields in data-poor situations. ICES Journal of Marine Science 66, 2267–2271.</w:t>
      </w:r>
    </w:p>
    <w:p w14:paraId="3877E46E" w14:textId="77777777" w:rsidR="00A0482C" w:rsidRDefault="00000000">
      <w:pPr>
        <w:spacing w:after="40"/>
        <w:ind w:left="340" w:hanging="340"/>
      </w:pPr>
      <w:r>
        <w:rPr>
          <w:sz w:val="19"/>
          <w:szCs w:val="19"/>
        </w:rPr>
        <w:t>Martell, S., Froese, R., 2013. A simple method for estimating MSY from catch and resilience. Fish and Fisheries 14, 504–514.</w:t>
      </w:r>
    </w:p>
    <w:p w14:paraId="6A83333D" w14:textId="77777777" w:rsidR="00A0482C" w:rsidRDefault="00000000">
      <w:pPr>
        <w:spacing w:after="40"/>
        <w:ind w:left="340" w:hanging="340"/>
      </w:pPr>
      <w:r>
        <w:rPr>
          <w:sz w:val="19"/>
          <w:szCs w:val="19"/>
        </w:rPr>
        <w:t>Maunder, M.N., Punt, A.E., 2004. Standardizing catch and effort data: a review of recent approaches. Fisheries Research 70, 141–159.</w:t>
      </w:r>
    </w:p>
    <w:p w14:paraId="46519ED9" w14:textId="77777777" w:rsidR="00A0482C" w:rsidRDefault="00000000">
      <w:pPr>
        <w:spacing w:after="40"/>
        <w:ind w:left="340" w:hanging="340"/>
      </w:pPr>
      <w:r>
        <w:rPr>
          <w:sz w:val="19"/>
          <w:szCs w:val="19"/>
        </w:rPr>
        <w:t>Maunder, M.N., Sibert, J.R., Fonteneau, A., Hampton, J., Kleiber, P., Harley, S.J., 2006. Interpreting catch per unit effort data to assess the status of individual stocks and communities. ICES Journal of Marine Science 63, 1373–1385.</w:t>
      </w:r>
    </w:p>
    <w:p w14:paraId="4447D60E" w14:textId="77777777" w:rsidR="00A0482C" w:rsidRDefault="00000000">
      <w:pPr>
        <w:spacing w:after="40"/>
        <w:ind w:left="340" w:hanging="340"/>
      </w:pPr>
      <w:r>
        <w:rPr>
          <w:sz w:val="19"/>
          <w:szCs w:val="19"/>
        </w:rPr>
        <w:t>Meyer, R., Millar, R.B., 1999. BUGS in Bayesian stock assessments. Canadian Journal of Fisheries and Aquatic Sciences 56, 1078–1086.</w:t>
      </w:r>
    </w:p>
    <w:p w14:paraId="12EBAE28" w14:textId="77777777" w:rsidR="00A0482C" w:rsidRDefault="00000000">
      <w:pPr>
        <w:spacing w:after="40"/>
        <w:ind w:left="340" w:hanging="340"/>
      </w:pPr>
      <w:proofErr w:type="spellStart"/>
      <w:r>
        <w:rPr>
          <w:sz w:val="19"/>
          <w:szCs w:val="19"/>
        </w:rPr>
        <w:t>Mirrasouli</w:t>
      </w:r>
      <w:proofErr w:type="spellEnd"/>
      <w:r>
        <w:rPr>
          <w:sz w:val="19"/>
          <w:szCs w:val="19"/>
        </w:rPr>
        <w:t xml:space="preserve">, E., Ghorbani, R., Gorgin, S., Jalali, A., </w:t>
      </w:r>
      <w:proofErr w:type="spellStart"/>
      <w:r>
        <w:rPr>
          <w:sz w:val="19"/>
          <w:szCs w:val="19"/>
        </w:rPr>
        <w:t>Aghilinejhad</w:t>
      </w:r>
      <w:proofErr w:type="spellEnd"/>
      <w:r>
        <w:rPr>
          <w:sz w:val="19"/>
          <w:szCs w:val="19"/>
        </w:rPr>
        <w:t>, S.M., 2023. Forecasting the catch of the stocks of Persian sturgeon (</w:t>
      </w:r>
      <w:r>
        <w:rPr>
          <w:i/>
          <w:iCs/>
          <w:sz w:val="19"/>
          <w:szCs w:val="19"/>
        </w:rPr>
        <w:t xml:space="preserve">Acipenser </w:t>
      </w:r>
      <w:proofErr w:type="spellStart"/>
      <w:r>
        <w:rPr>
          <w:i/>
          <w:iCs/>
          <w:sz w:val="19"/>
          <w:szCs w:val="19"/>
        </w:rPr>
        <w:t>persicus</w:t>
      </w:r>
      <w:proofErr w:type="spellEnd"/>
      <w:r>
        <w:rPr>
          <w:sz w:val="19"/>
          <w:szCs w:val="19"/>
        </w:rPr>
        <w:t>, Borodin 1897) in the southern shores of the Caspian Sea using DB-SRA and dynamic model. Iranian Journal of Ichthyology 10, 225–235. https://doi.org/10.22034/iji.v10i4.990</w:t>
      </w:r>
    </w:p>
    <w:p w14:paraId="7684EA8D" w14:textId="77777777" w:rsidR="00A0482C" w:rsidRDefault="00000000">
      <w:pPr>
        <w:spacing w:after="40"/>
        <w:ind w:left="340" w:hanging="340"/>
      </w:pPr>
      <w:r>
        <w:rPr>
          <w:sz w:val="19"/>
          <w:szCs w:val="19"/>
        </w:rPr>
        <w:t>Mohn, R., 1999. The retrospective problem in sequential population analysis: an investigation using cod fishery and simulated data. ICES Journal of Marine Science 56, 473–488.</w:t>
      </w:r>
    </w:p>
    <w:p w14:paraId="64272200" w14:textId="77777777" w:rsidR="00A0482C" w:rsidRDefault="00000000">
      <w:pPr>
        <w:spacing w:after="40"/>
        <w:ind w:left="340" w:hanging="340"/>
      </w:pPr>
      <w:r>
        <w:rPr>
          <w:sz w:val="19"/>
          <w:szCs w:val="19"/>
        </w:rPr>
        <w:t xml:space="preserve">Myers, R.A., Mertz, G., </w:t>
      </w:r>
      <w:proofErr w:type="spellStart"/>
      <w:r>
        <w:rPr>
          <w:sz w:val="19"/>
          <w:szCs w:val="19"/>
        </w:rPr>
        <w:t>Fowlow</w:t>
      </w:r>
      <w:proofErr w:type="spellEnd"/>
      <w:r>
        <w:rPr>
          <w:sz w:val="19"/>
          <w:szCs w:val="19"/>
        </w:rPr>
        <w:t xml:space="preserve">, P.S., 1997. Maximum population growth rates and recovery times for Atlantic cod, </w:t>
      </w:r>
      <w:r>
        <w:rPr>
          <w:i/>
          <w:iCs/>
          <w:sz w:val="19"/>
          <w:szCs w:val="19"/>
        </w:rPr>
        <w:t xml:space="preserve">Gadus </w:t>
      </w:r>
      <w:proofErr w:type="spellStart"/>
      <w:r>
        <w:rPr>
          <w:i/>
          <w:iCs/>
          <w:sz w:val="19"/>
          <w:szCs w:val="19"/>
        </w:rPr>
        <w:t>morhua</w:t>
      </w:r>
      <w:proofErr w:type="spellEnd"/>
      <w:r>
        <w:rPr>
          <w:sz w:val="19"/>
          <w:szCs w:val="19"/>
        </w:rPr>
        <w:t>. Fishery Bulletin 95, 762–772.</w:t>
      </w:r>
    </w:p>
    <w:p w14:paraId="4C5040BA" w14:textId="77777777" w:rsidR="00A0482C" w:rsidRPr="00621BD1" w:rsidRDefault="00000000">
      <w:pPr>
        <w:spacing w:after="40"/>
        <w:ind w:left="340" w:hanging="340"/>
        <w:rPr>
          <w:lang w:val="pt-BR"/>
        </w:rPr>
      </w:pPr>
      <w:r>
        <w:rPr>
          <w:sz w:val="19"/>
          <w:szCs w:val="19"/>
        </w:rPr>
        <w:lastRenderedPageBreak/>
        <w:t xml:space="preserve">Nelson, G.A., 2023. </w:t>
      </w:r>
      <w:proofErr w:type="spellStart"/>
      <w:r>
        <w:rPr>
          <w:sz w:val="19"/>
          <w:szCs w:val="19"/>
        </w:rPr>
        <w:t>fishmethods</w:t>
      </w:r>
      <w:proofErr w:type="spellEnd"/>
      <w:r>
        <w:rPr>
          <w:sz w:val="19"/>
          <w:szCs w:val="19"/>
        </w:rPr>
        <w:t xml:space="preserve">: fishery science methods and models. </w:t>
      </w:r>
      <w:r w:rsidRPr="00621BD1">
        <w:rPr>
          <w:sz w:val="19"/>
          <w:szCs w:val="19"/>
          <w:lang w:val="pt-BR"/>
        </w:rPr>
        <w:t xml:space="preserve">R </w:t>
      </w:r>
      <w:proofErr w:type="spellStart"/>
      <w:r w:rsidRPr="00621BD1">
        <w:rPr>
          <w:sz w:val="19"/>
          <w:szCs w:val="19"/>
          <w:lang w:val="pt-BR"/>
        </w:rPr>
        <w:t>package</w:t>
      </w:r>
      <w:proofErr w:type="spellEnd"/>
      <w:r w:rsidRPr="00621BD1">
        <w:rPr>
          <w:sz w:val="19"/>
          <w:szCs w:val="19"/>
          <w:lang w:val="pt-BR"/>
        </w:rPr>
        <w:t>. https://CRAN.R-project.org/package=fishmethods</w:t>
      </w:r>
    </w:p>
    <w:p w14:paraId="3DCFFA89" w14:textId="77777777" w:rsidR="00A0482C" w:rsidRDefault="00000000">
      <w:pPr>
        <w:spacing w:after="40"/>
        <w:ind w:left="340" w:hanging="340"/>
      </w:pPr>
      <w:r w:rsidRPr="00621BD1">
        <w:rPr>
          <w:sz w:val="19"/>
          <w:szCs w:val="19"/>
          <w:lang w:val="pt-BR"/>
        </w:rPr>
        <w:t xml:space="preserve">Niel, C., Lebreton, J.-D., 2005. </w:t>
      </w:r>
      <w:r>
        <w:rPr>
          <w:sz w:val="19"/>
          <w:szCs w:val="19"/>
        </w:rPr>
        <w:t>Using demographic invariants to detect overharvested bird populations from incomplete data. Conservation Biology 19, 826–835.</w:t>
      </w:r>
    </w:p>
    <w:p w14:paraId="6ECB20E0" w14:textId="77777777" w:rsidR="00A0482C" w:rsidRDefault="00000000">
      <w:pPr>
        <w:spacing w:after="40"/>
        <w:ind w:left="340" w:hanging="340"/>
      </w:pPr>
      <w:r>
        <w:rPr>
          <w:sz w:val="19"/>
          <w:szCs w:val="19"/>
        </w:rPr>
        <w:t xml:space="preserve">Okamura, H., Morita, S.H., </w:t>
      </w:r>
      <w:proofErr w:type="spellStart"/>
      <w:r>
        <w:rPr>
          <w:sz w:val="19"/>
          <w:szCs w:val="19"/>
        </w:rPr>
        <w:t>Funamoto</w:t>
      </w:r>
      <w:proofErr w:type="spellEnd"/>
      <w:r>
        <w:rPr>
          <w:sz w:val="19"/>
          <w:szCs w:val="19"/>
        </w:rPr>
        <w:t xml:space="preserve">, T., </w:t>
      </w:r>
      <w:proofErr w:type="spellStart"/>
      <w:r>
        <w:rPr>
          <w:sz w:val="19"/>
          <w:szCs w:val="19"/>
        </w:rPr>
        <w:t>Ichinokawa</w:t>
      </w:r>
      <w:proofErr w:type="spellEnd"/>
      <w:r>
        <w:rPr>
          <w:sz w:val="19"/>
          <w:szCs w:val="19"/>
        </w:rPr>
        <w:t>, M., Eguchi, S., 2018. Target-based catch-per-unit-effort standardization in multispecies fisheries. Canadian Journal of Fisheries and Aquatic Sciences 75, 452–463.</w:t>
      </w:r>
    </w:p>
    <w:p w14:paraId="01B919AE" w14:textId="77777777" w:rsidR="00A0482C" w:rsidRDefault="00000000">
      <w:pPr>
        <w:spacing w:after="40"/>
        <w:ind w:left="340" w:hanging="340"/>
      </w:pPr>
      <w:r>
        <w:rPr>
          <w:sz w:val="19"/>
          <w:szCs w:val="19"/>
        </w:rPr>
        <w:t xml:space="preserve">Ortiz, M., Taylor, N., Kimoto, A., </w:t>
      </w:r>
      <w:proofErr w:type="spellStart"/>
      <w:r>
        <w:rPr>
          <w:sz w:val="19"/>
          <w:szCs w:val="19"/>
        </w:rPr>
        <w:t>Forselledo</w:t>
      </w:r>
      <w:proofErr w:type="spellEnd"/>
      <w:r>
        <w:rPr>
          <w:sz w:val="19"/>
          <w:szCs w:val="19"/>
        </w:rPr>
        <w:t>, R., 2022. Preliminary stock assessment of Northeastern Atlantic porbeagle (</w:t>
      </w:r>
      <w:r>
        <w:rPr>
          <w:i/>
          <w:iCs/>
          <w:sz w:val="19"/>
          <w:szCs w:val="19"/>
        </w:rPr>
        <w:t>Lamna nasus</w:t>
      </w:r>
      <w:r>
        <w:rPr>
          <w:sz w:val="19"/>
          <w:szCs w:val="19"/>
        </w:rPr>
        <w:t>) using the Bayesian state-space surplus production model JABBA. Collective Volume of Scientific Papers ICCAT 79(4), 144–166.</w:t>
      </w:r>
    </w:p>
    <w:p w14:paraId="351AD5B2" w14:textId="77777777" w:rsidR="00A0482C" w:rsidRDefault="00000000">
      <w:pPr>
        <w:spacing w:after="40"/>
        <w:ind w:left="340" w:hanging="340"/>
      </w:pPr>
      <w:r>
        <w:rPr>
          <w:sz w:val="19"/>
          <w:szCs w:val="19"/>
        </w:rPr>
        <w:t>Ovando, D., Free, C.M., Jensen, O.P., Hilborn, R., 2022. A history and evaluation of catch-only stock assessment models. Fish and Fisheries 23, 616–630.</w:t>
      </w:r>
    </w:p>
    <w:p w14:paraId="6184CAF5" w14:textId="77777777" w:rsidR="00A0482C" w:rsidRDefault="00000000">
      <w:pPr>
        <w:spacing w:after="40"/>
        <w:ind w:left="340" w:hanging="340"/>
      </w:pPr>
      <w:r>
        <w:rPr>
          <w:sz w:val="19"/>
          <w:szCs w:val="19"/>
        </w:rPr>
        <w:t>Patrick, W.S., Spencer, P., Link, J., Cope, J., Field, J., Kobayashi, D., Lawson, P., Gedamke, T., Cortés, E., Ormseth, O., Bigelow, K., Overholtz, W., 2010. Using productivity and susceptibility indices to assess the vulnerability of United States fish stocks to overfishing. Fishery Bulletin 108, 305–322.</w:t>
      </w:r>
    </w:p>
    <w:p w14:paraId="3E6AF9D0" w14:textId="77777777" w:rsidR="00A0482C" w:rsidRDefault="00000000">
      <w:pPr>
        <w:spacing w:after="40"/>
        <w:ind w:left="340" w:hanging="340"/>
      </w:pPr>
      <w:r>
        <w:rPr>
          <w:sz w:val="19"/>
          <w:szCs w:val="19"/>
        </w:rPr>
        <w:t>Pella, J.J., Tomlinson, P.K., 1969. A generalized stock production model. Bulletin of the Inter-American Tropical Tuna Commission 13, 419–496.</w:t>
      </w:r>
    </w:p>
    <w:p w14:paraId="28FE6E1D" w14:textId="77777777" w:rsidR="00A0482C" w:rsidRDefault="00000000">
      <w:pPr>
        <w:spacing w:after="40"/>
        <w:ind w:left="340" w:hanging="340"/>
      </w:pPr>
      <w:r>
        <w:rPr>
          <w:sz w:val="19"/>
          <w:szCs w:val="19"/>
        </w:rPr>
        <w:t xml:space="preserve">Phillips, G.A.C., 2026. Stock assessment of Indian Ocean </w:t>
      </w:r>
      <w:proofErr w:type="spellStart"/>
      <w:r>
        <w:rPr>
          <w:sz w:val="19"/>
          <w:szCs w:val="19"/>
        </w:rPr>
        <w:t>kawakawa</w:t>
      </w:r>
      <w:proofErr w:type="spellEnd"/>
      <w:r>
        <w:rPr>
          <w:sz w:val="19"/>
          <w:szCs w:val="19"/>
        </w:rPr>
        <w:t xml:space="preserve"> (</w:t>
      </w:r>
      <w:proofErr w:type="spellStart"/>
      <w:r>
        <w:rPr>
          <w:i/>
          <w:iCs/>
          <w:sz w:val="19"/>
          <w:szCs w:val="19"/>
        </w:rPr>
        <w:t>Euthynnus</w:t>
      </w:r>
      <w:proofErr w:type="spellEnd"/>
      <w:r>
        <w:rPr>
          <w:i/>
          <w:iCs/>
          <w:sz w:val="19"/>
          <w:szCs w:val="19"/>
        </w:rPr>
        <w:t xml:space="preserve"> </w:t>
      </w:r>
      <w:proofErr w:type="spellStart"/>
      <w:r>
        <w:rPr>
          <w:i/>
          <w:iCs/>
          <w:sz w:val="19"/>
          <w:szCs w:val="19"/>
        </w:rPr>
        <w:t>affinis</w:t>
      </w:r>
      <w:proofErr w:type="spellEnd"/>
      <w:r>
        <w:rPr>
          <w:sz w:val="19"/>
          <w:szCs w:val="19"/>
        </w:rPr>
        <w:t>) using data-limited methods. IOTC-2026-WPNT16-15. Indian Ocean Tuna Commission, Victoria, Seychelles.</w:t>
      </w:r>
    </w:p>
    <w:p w14:paraId="43D3284D" w14:textId="77777777" w:rsidR="00A0482C" w:rsidRDefault="00000000">
      <w:pPr>
        <w:spacing w:after="40"/>
        <w:ind w:left="340" w:hanging="340"/>
      </w:pPr>
      <w:proofErr w:type="spellStart"/>
      <w:r>
        <w:rPr>
          <w:sz w:val="19"/>
          <w:szCs w:val="19"/>
        </w:rPr>
        <w:t>Pikitch</w:t>
      </w:r>
      <w:proofErr w:type="spellEnd"/>
      <w:r>
        <w:rPr>
          <w:sz w:val="19"/>
          <w:szCs w:val="19"/>
        </w:rPr>
        <w:t xml:space="preserve">, E.K., </w:t>
      </w:r>
      <w:proofErr w:type="spellStart"/>
      <w:r>
        <w:rPr>
          <w:sz w:val="19"/>
          <w:szCs w:val="19"/>
        </w:rPr>
        <w:t>Rountos</w:t>
      </w:r>
      <w:proofErr w:type="spellEnd"/>
      <w:r>
        <w:rPr>
          <w:sz w:val="19"/>
          <w:szCs w:val="19"/>
        </w:rPr>
        <w:t xml:space="preserve">, K.J., Essington, T.E., Santora, C., Pauly, D., Watson, R., Sumaila, U.R., Boersma, P.D., Boyd, I.L., Conover, D.O., Cury, P., Heppell, S.S., Houde, E.D., Mangel, M., </w:t>
      </w:r>
      <w:proofErr w:type="spellStart"/>
      <w:r>
        <w:rPr>
          <w:sz w:val="19"/>
          <w:szCs w:val="19"/>
        </w:rPr>
        <w:t>Plagányi</w:t>
      </w:r>
      <w:proofErr w:type="spellEnd"/>
      <w:r>
        <w:rPr>
          <w:sz w:val="19"/>
          <w:szCs w:val="19"/>
        </w:rPr>
        <w:t xml:space="preserve">, É., Sainsbury, K., Steneck, R.S., Geers, T.M., </w:t>
      </w:r>
      <w:proofErr w:type="spellStart"/>
      <w:r>
        <w:rPr>
          <w:sz w:val="19"/>
          <w:szCs w:val="19"/>
        </w:rPr>
        <w:t>Gownaris</w:t>
      </w:r>
      <w:proofErr w:type="spellEnd"/>
      <w:r>
        <w:rPr>
          <w:sz w:val="19"/>
          <w:szCs w:val="19"/>
        </w:rPr>
        <w:t>, N., Munch, S.B., 2014. The global contribution of forage fish to marine fisheries and ecosystems. Fish and Fisheries 15, 43–64. https://doi.org/10.1111/faf.12004</w:t>
      </w:r>
    </w:p>
    <w:p w14:paraId="16BDDCAE" w14:textId="77777777" w:rsidR="00A0482C" w:rsidRDefault="00000000">
      <w:pPr>
        <w:spacing w:after="40"/>
        <w:ind w:left="340" w:hanging="340"/>
      </w:pPr>
      <w:r>
        <w:rPr>
          <w:sz w:val="19"/>
          <w:szCs w:val="19"/>
        </w:rPr>
        <w:t xml:space="preserve">Plummer, M., 2003. JAGS: a program for analysis of Bayesian graphical models using </w:t>
      </w:r>
      <w:proofErr w:type="gramStart"/>
      <w:r>
        <w:rPr>
          <w:sz w:val="19"/>
          <w:szCs w:val="19"/>
        </w:rPr>
        <w:t>Gibbs</w:t>
      </w:r>
      <w:proofErr w:type="gramEnd"/>
      <w:r>
        <w:rPr>
          <w:sz w:val="19"/>
          <w:szCs w:val="19"/>
        </w:rPr>
        <w:t xml:space="preserve"> sampling. In: Hornik, K., Leisch, F., </w:t>
      </w:r>
      <w:proofErr w:type="spellStart"/>
      <w:r>
        <w:rPr>
          <w:sz w:val="19"/>
          <w:szCs w:val="19"/>
        </w:rPr>
        <w:t>Zeileis</w:t>
      </w:r>
      <w:proofErr w:type="spellEnd"/>
      <w:r>
        <w:rPr>
          <w:sz w:val="19"/>
          <w:szCs w:val="19"/>
        </w:rPr>
        <w:t>, A. (Eds.), Proceedings of the 3rd International Workshop on Distributed Statistical Computing (DSC 2003). Vienna, pp. 1–10.</w:t>
      </w:r>
    </w:p>
    <w:p w14:paraId="0CC7B65D" w14:textId="77777777" w:rsidR="00A0482C" w:rsidRDefault="00000000">
      <w:pPr>
        <w:spacing w:after="40"/>
        <w:ind w:left="340" w:hanging="340"/>
      </w:pPr>
      <w:r>
        <w:rPr>
          <w:sz w:val="19"/>
          <w:szCs w:val="19"/>
        </w:rPr>
        <w:t>R Core Team, 2025. R: a language and environment for statistical computing. R Foundation for Statistical Computing, Vienna. https://www.R-project.org</w:t>
      </w:r>
    </w:p>
    <w:p w14:paraId="64ABB545" w14:textId="77777777" w:rsidR="00A0482C" w:rsidRDefault="00000000">
      <w:pPr>
        <w:spacing w:after="40"/>
        <w:ind w:left="340" w:hanging="340"/>
      </w:pPr>
      <w:r>
        <w:rPr>
          <w:sz w:val="19"/>
          <w:szCs w:val="19"/>
        </w:rPr>
        <w:t xml:space="preserve">Ramos, V., Fujiwara, S., n.d. Preliminary analysis concerning morphometric data and application for fishery management on </w:t>
      </w:r>
      <w:proofErr w:type="spellStart"/>
      <w:r>
        <w:rPr>
          <w:sz w:val="19"/>
          <w:szCs w:val="19"/>
        </w:rPr>
        <w:t>cavala</w:t>
      </w:r>
      <w:proofErr w:type="spellEnd"/>
      <w:r>
        <w:rPr>
          <w:sz w:val="19"/>
          <w:szCs w:val="19"/>
        </w:rPr>
        <w:t xml:space="preserve"> preta </w:t>
      </w:r>
      <w:proofErr w:type="spellStart"/>
      <w:r>
        <w:rPr>
          <w:i/>
          <w:iCs/>
          <w:sz w:val="19"/>
          <w:szCs w:val="19"/>
        </w:rPr>
        <w:t>Decapterus</w:t>
      </w:r>
      <w:proofErr w:type="spellEnd"/>
      <w:r>
        <w:rPr>
          <w:i/>
          <w:iCs/>
          <w:sz w:val="19"/>
          <w:szCs w:val="19"/>
        </w:rPr>
        <w:t xml:space="preserve"> </w:t>
      </w:r>
      <w:proofErr w:type="spellStart"/>
      <w:r>
        <w:rPr>
          <w:i/>
          <w:iCs/>
          <w:sz w:val="19"/>
          <w:szCs w:val="19"/>
        </w:rPr>
        <w:t>macarellus</w:t>
      </w:r>
      <w:proofErr w:type="spellEnd"/>
      <w:r>
        <w:rPr>
          <w:sz w:val="19"/>
          <w:szCs w:val="19"/>
        </w:rPr>
        <w:t xml:space="preserve"> in Cabo Verde waters. INDP/OFCF Technical Cooperation Project (data from 2002), Mindelo.</w:t>
      </w:r>
    </w:p>
    <w:p w14:paraId="2A560DB5" w14:textId="77777777" w:rsidR="00A0482C" w:rsidRDefault="00000000">
      <w:pPr>
        <w:spacing w:after="40"/>
        <w:ind w:left="340" w:hanging="340"/>
      </w:pPr>
      <w:r>
        <w:rPr>
          <w:sz w:val="19"/>
          <w:szCs w:val="19"/>
        </w:rPr>
        <w:t xml:space="preserve">Ramos, V., n.d. Early life history of </w:t>
      </w:r>
      <w:proofErr w:type="spellStart"/>
      <w:r>
        <w:rPr>
          <w:sz w:val="19"/>
          <w:szCs w:val="19"/>
        </w:rPr>
        <w:t>cavala</w:t>
      </w:r>
      <w:proofErr w:type="spellEnd"/>
      <w:r>
        <w:rPr>
          <w:sz w:val="19"/>
          <w:szCs w:val="19"/>
        </w:rPr>
        <w:t xml:space="preserve"> preta, </w:t>
      </w:r>
      <w:proofErr w:type="spellStart"/>
      <w:r>
        <w:rPr>
          <w:i/>
          <w:iCs/>
          <w:sz w:val="19"/>
          <w:szCs w:val="19"/>
        </w:rPr>
        <w:t>Decapterus</w:t>
      </w:r>
      <w:proofErr w:type="spellEnd"/>
      <w:r>
        <w:rPr>
          <w:i/>
          <w:iCs/>
          <w:sz w:val="19"/>
          <w:szCs w:val="19"/>
        </w:rPr>
        <w:t xml:space="preserve"> </w:t>
      </w:r>
      <w:proofErr w:type="spellStart"/>
      <w:r>
        <w:rPr>
          <w:i/>
          <w:iCs/>
          <w:sz w:val="19"/>
          <w:szCs w:val="19"/>
        </w:rPr>
        <w:t>macarellus</w:t>
      </w:r>
      <w:proofErr w:type="spellEnd"/>
      <w:r>
        <w:rPr>
          <w:sz w:val="19"/>
          <w:szCs w:val="19"/>
        </w:rPr>
        <w:t>, by the larval net sampling. In: Final Report, Technical Cooperation Project on Scientific Research on Fishery Resources in the EEZ of Cabo Verde (INDP/OFCF), Mindelo.</w:t>
      </w:r>
    </w:p>
    <w:p w14:paraId="425892F9" w14:textId="77777777" w:rsidR="00A0482C" w:rsidRDefault="00000000">
      <w:pPr>
        <w:spacing w:after="40"/>
        <w:ind w:left="340" w:hanging="340"/>
      </w:pPr>
      <w:r>
        <w:rPr>
          <w:sz w:val="19"/>
          <w:szCs w:val="19"/>
        </w:rPr>
        <w:t xml:space="preserve">Robinson, J.P.W., Mills, D.J., Asiedu, G.A., Byrd, K., Mancha Cisneros, M. del M., Cohen, P.J., Fiorella, K.J., Graham, N.A.J., MacNeil, M.A., Maire, E., </w:t>
      </w:r>
      <w:proofErr w:type="spellStart"/>
      <w:r>
        <w:rPr>
          <w:sz w:val="19"/>
          <w:szCs w:val="19"/>
        </w:rPr>
        <w:t>Mbaru</w:t>
      </w:r>
      <w:proofErr w:type="spellEnd"/>
      <w:r>
        <w:rPr>
          <w:sz w:val="19"/>
          <w:szCs w:val="19"/>
        </w:rPr>
        <w:t xml:space="preserve">, E.K., Nico, G., </w:t>
      </w:r>
      <w:proofErr w:type="spellStart"/>
      <w:r>
        <w:rPr>
          <w:sz w:val="19"/>
          <w:szCs w:val="19"/>
        </w:rPr>
        <w:t>Omukoto</w:t>
      </w:r>
      <w:proofErr w:type="spellEnd"/>
      <w:r>
        <w:rPr>
          <w:sz w:val="19"/>
          <w:szCs w:val="19"/>
        </w:rPr>
        <w:t xml:space="preserve">, J.O., </w:t>
      </w:r>
      <w:proofErr w:type="spellStart"/>
      <w:r>
        <w:rPr>
          <w:sz w:val="19"/>
          <w:szCs w:val="19"/>
        </w:rPr>
        <w:t>Simmance</w:t>
      </w:r>
      <w:proofErr w:type="spellEnd"/>
      <w:r>
        <w:rPr>
          <w:sz w:val="19"/>
          <w:szCs w:val="19"/>
        </w:rPr>
        <w:t>, F., Hicks, C.C., 2022. Small pelagic fish supply abundant and affordable micronutrients to low- and middle-income countries. Nature Food 3, 1075–1084.</w:t>
      </w:r>
    </w:p>
    <w:p w14:paraId="5B0B3977" w14:textId="77777777" w:rsidR="00A0482C" w:rsidRPr="00621BD1" w:rsidRDefault="00000000">
      <w:pPr>
        <w:spacing w:after="40"/>
        <w:ind w:left="340" w:hanging="340"/>
        <w:rPr>
          <w:lang w:val="pt-BR"/>
        </w:rPr>
      </w:pPr>
      <w:proofErr w:type="spellStart"/>
      <w:r>
        <w:rPr>
          <w:sz w:val="19"/>
          <w:szCs w:val="19"/>
        </w:rPr>
        <w:t>Rousseeuw</w:t>
      </w:r>
      <w:proofErr w:type="spellEnd"/>
      <w:r>
        <w:rPr>
          <w:sz w:val="19"/>
          <w:szCs w:val="19"/>
        </w:rPr>
        <w:t xml:space="preserve">, P.J., 1987. Silhouettes: a graphical aid to the interpretation and validation of cluster analysis. </w:t>
      </w:r>
      <w:proofErr w:type="spellStart"/>
      <w:r w:rsidRPr="00621BD1">
        <w:rPr>
          <w:sz w:val="19"/>
          <w:szCs w:val="19"/>
          <w:lang w:val="pt-BR"/>
        </w:rPr>
        <w:t>Journal</w:t>
      </w:r>
      <w:proofErr w:type="spellEnd"/>
      <w:r w:rsidRPr="00621BD1">
        <w:rPr>
          <w:sz w:val="19"/>
          <w:szCs w:val="19"/>
          <w:lang w:val="pt-BR"/>
        </w:rPr>
        <w:t xml:space="preserve"> </w:t>
      </w:r>
      <w:proofErr w:type="spellStart"/>
      <w:r w:rsidRPr="00621BD1">
        <w:rPr>
          <w:sz w:val="19"/>
          <w:szCs w:val="19"/>
          <w:lang w:val="pt-BR"/>
        </w:rPr>
        <w:t>of</w:t>
      </w:r>
      <w:proofErr w:type="spellEnd"/>
      <w:r w:rsidRPr="00621BD1">
        <w:rPr>
          <w:sz w:val="19"/>
          <w:szCs w:val="19"/>
          <w:lang w:val="pt-BR"/>
        </w:rPr>
        <w:t xml:space="preserve"> </w:t>
      </w:r>
      <w:proofErr w:type="spellStart"/>
      <w:r w:rsidRPr="00621BD1">
        <w:rPr>
          <w:sz w:val="19"/>
          <w:szCs w:val="19"/>
          <w:lang w:val="pt-BR"/>
        </w:rPr>
        <w:t>Computational</w:t>
      </w:r>
      <w:proofErr w:type="spellEnd"/>
      <w:r w:rsidRPr="00621BD1">
        <w:rPr>
          <w:sz w:val="19"/>
          <w:szCs w:val="19"/>
          <w:lang w:val="pt-BR"/>
        </w:rPr>
        <w:t xml:space="preserve"> </w:t>
      </w:r>
      <w:proofErr w:type="spellStart"/>
      <w:r w:rsidRPr="00621BD1">
        <w:rPr>
          <w:sz w:val="19"/>
          <w:szCs w:val="19"/>
          <w:lang w:val="pt-BR"/>
        </w:rPr>
        <w:t>and</w:t>
      </w:r>
      <w:proofErr w:type="spellEnd"/>
      <w:r w:rsidRPr="00621BD1">
        <w:rPr>
          <w:sz w:val="19"/>
          <w:szCs w:val="19"/>
          <w:lang w:val="pt-BR"/>
        </w:rPr>
        <w:t xml:space="preserve"> Applied </w:t>
      </w:r>
      <w:proofErr w:type="spellStart"/>
      <w:r w:rsidRPr="00621BD1">
        <w:rPr>
          <w:sz w:val="19"/>
          <w:szCs w:val="19"/>
          <w:lang w:val="pt-BR"/>
        </w:rPr>
        <w:t>Mathematics</w:t>
      </w:r>
      <w:proofErr w:type="spellEnd"/>
      <w:r w:rsidRPr="00621BD1">
        <w:rPr>
          <w:sz w:val="19"/>
          <w:szCs w:val="19"/>
          <w:lang w:val="pt-BR"/>
        </w:rPr>
        <w:t xml:space="preserve"> 20, 53–65.</w:t>
      </w:r>
    </w:p>
    <w:p w14:paraId="58A8705B" w14:textId="77777777" w:rsidR="00A0482C" w:rsidRPr="00621BD1" w:rsidRDefault="00000000">
      <w:pPr>
        <w:spacing w:after="40"/>
        <w:ind w:left="340" w:hanging="340"/>
        <w:rPr>
          <w:lang w:val="pt-BR"/>
        </w:rPr>
      </w:pPr>
      <w:r w:rsidRPr="00621BD1">
        <w:rPr>
          <w:sz w:val="19"/>
          <w:szCs w:val="19"/>
          <w:lang w:val="pt-BR"/>
        </w:rPr>
        <w:t>Santos, M.G., 2018. Dinâmica populacional da cavala preta (</w:t>
      </w:r>
      <w:proofErr w:type="spellStart"/>
      <w:r w:rsidRPr="00621BD1">
        <w:rPr>
          <w:i/>
          <w:iCs/>
          <w:sz w:val="19"/>
          <w:szCs w:val="19"/>
          <w:lang w:val="pt-BR"/>
        </w:rPr>
        <w:t>Decapterus</w:t>
      </w:r>
      <w:proofErr w:type="spellEnd"/>
      <w:r w:rsidRPr="00621BD1">
        <w:rPr>
          <w:i/>
          <w:iCs/>
          <w:sz w:val="19"/>
          <w:szCs w:val="19"/>
          <w:lang w:val="pt-BR"/>
        </w:rPr>
        <w:t xml:space="preserve"> </w:t>
      </w:r>
      <w:proofErr w:type="spellStart"/>
      <w:r w:rsidRPr="00621BD1">
        <w:rPr>
          <w:i/>
          <w:iCs/>
          <w:sz w:val="19"/>
          <w:szCs w:val="19"/>
          <w:lang w:val="pt-BR"/>
        </w:rPr>
        <w:t>macarellus</w:t>
      </w:r>
      <w:proofErr w:type="spellEnd"/>
      <w:r w:rsidRPr="00621BD1">
        <w:rPr>
          <w:sz w:val="19"/>
          <w:szCs w:val="19"/>
          <w:lang w:val="pt-BR"/>
        </w:rPr>
        <w:t xml:space="preserve">) na região norte de Cabo Verde: diagnóstico do período de 2005–2018. </w:t>
      </w:r>
      <w:proofErr w:type="spellStart"/>
      <w:r w:rsidRPr="00621BD1">
        <w:rPr>
          <w:sz w:val="19"/>
          <w:szCs w:val="19"/>
          <w:lang w:val="pt-BR"/>
        </w:rPr>
        <w:t>BSc</w:t>
      </w:r>
      <w:proofErr w:type="spellEnd"/>
      <w:r w:rsidRPr="00621BD1">
        <w:rPr>
          <w:sz w:val="19"/>
          <w:szCs w:val="19"/>
          <w:lang w:val="pt-BR"/>
        </w:rPr>
        <w:t xml:space="preserve"> </w:t>
      </w:r>
      <w:proofErr w:type="spellStart"/>
      <w:r w:rsidRPr="00621BD1">
        <w:rPr>
          <w:sz w:val="19"/>
          <w:szCs w:val="19"/>
          <w:lang w:val="pt-BR"/>
        </w:rPr>
        <w:t>report</w:t>
      </w:r>
      <w:proofErr w:type="spellEnd"/>
      <w:r w:rsidRPr="00621BD1">
        <w:rPr>
          <w:sz w:val="19"/>
          <w:szCs w:val="19"/>
          <w:lang w:val="pt-BR"/>
        </w:rPr>
        <w:t>, Universidade de Cabo Verde / INDP, Mindelo.</w:t>
      </w:r>
    </w:p>
    <w:p w14:paraId="50EB4300" w14:textId="77777777" w:rsidR="00A0482C" w:rsidRDefault="00000000">
      <w:pPr>
        <w:spacing w:after="40"/>
        <w:ind w:left="340" w:hanging="340"/>
      </w:pPr>
      <w:r w:rsidRPr="00621BD1">
        <w:rPr>
          <w:sz w:val="19"/>
          <w:szCs w:val="19"/>
          <w:lang w:val="pt-BR"/>
        </w:rPr>
        <w:t xml:space="preserve">Schaefer, M.B., 1954. </w:t>
      </w:r>
      <w:r>
        <w:rPr>
          <w:sz w:val="19"/>
          <w:szCs w:val="19"/>
        </w:rPr>
        <w:t>Some aspects of the dynamics of populations important to the management of the commercial marine fisheries. Bulletin of the Inter-American Tropical Tuna Commission 1, 27–56.</w:t>
      </w:r>
    </w:p>
    <w:p w14:paraId="6C763F13" w14:textId="77777777" w:rsidR="00A0482C" w:rsidRDefault="00000000">
      <w:pPr>
        <w:spacing w:after="40"/>
        <w:ind w:left="340" w:hanging="340"/>
      </w:pPr>
      <w:r>
        <w:rPr>
          <w:sz w:val="19"/>
          <w:szCs w:val="19"/>
        </w:rPr>
        <w:t>Searle, S.R., Speed, F.M., Milliken, G.A., 1980. Population marginal means in the linear model: an alternative to least squares means. The American Statistician 34, 216–221.</w:t>
      </w:r>
    </w:p>
    <w:p w14:paraId="0F5EA135" w14:textId="77777777" w:rsidR="00A0482C" w:rsidRDefault="00000000">
      <w:pPr>
        <w:spacing w:after="40"/>
        <w:ind w:left="340" w:hanging="340"/>
      </w:pPr>
      <w:r>
        <w:rPr>
          <w:sz w:val="19"/>
          <w:szCs w:val="19"/>
        </w:rPr>
        <w:t>Shono, H., 2008. Application of the Tweedie distribution to zero-catch data in CPUE analysis. Fisheries Research 93, 154–162.</w:t>
      </w:r>
    </w:p>
    <w:p w14:paraId="3C5B37E9" w14:textId="77777777" w:rsidR="00A0482C" w:rsidRDefault="00000000">
      <w:pPr>
        <w:spacing w:after="40"/>
        <w:ind w:left="340" w:hanging="340"/>
      </w:pPr>
      <w:r>
        <w:rPr>
          <w:sz w:val="19"/>
          <w:szCs w:val="19"/>
        </w:rPr>
        <w:t>Smith, S.E., Au, D.W., Show, C., 1998. Intrinsic rebound potentials of 26 species of Pacific sharks. Marine and Freshwater Research 49, 663–678.</w:t>
      </w:r>
    </w:p>
    <w:p w14:paraId="127CAE54" w14:textId="77777777" w:rsidR="00A0482C" w:rsidRDefault="00000000">
      <w:pPr>
        <w:spacing w:after="40"/>
        <w:ind w:left="340" w:hanging="340"/>
      </w:pPr>
      <w:r>
        <w:rPr>
          <w:sz w:val="19"/>
          <w:szCs w:val="19"/>
        </w:rPr>
        <w:t>Spiegelhalter, D.J., Best, N.G., Carlin, B.P., van der Linde, A., 2002. Bayesian measures of model complexity and fit. Journal of the Royal Statistical Society: Series B 64, 583–639.</w:t>
      </w:r>
    </w:p>
    <w:p w14:paraId="54388755" w14:textId="77777777" w:rsidR="00A0482C" w:rsidRDefault="00000000">
      <w:pPr>
        <w:spacing w:after="40"/>
        <w:ind w:left="340" w:hanging="340"/>
      </w:pPr>
      <w:r>
        <w:rPr>
          <w:sz w:val="19"/>
          <w:szCs w:val="19"/>
        </w:rPr>
        <w:t xml:space="preserve">Stephens, A., MacCall, A., 2004. A multispecies approach to </w:t>
      </w:r>
      <w:proofErr w:type="spellStart"/>
      <w:r>
        <w:rPr>
          <w:sz w:val="19"/>
          <w:szCs w:val="19"/>
        </w:rPr>
        <w:t>subsetting</w:t>
      </w:r>
      <w:proofErr w:type="spellEnd"/>
      <w:r>
        <w:rPr>
          <w:sz w:val="19"/>
          <w:szCs w:val="19"/>
        </w:rPr>
        <w:t xml:space="preserve"> logbook data for purposes of estimating CPUE. Fisheries Research 70, 299–310.</w:t>
      </w:r>
    </w:p>
    <w:p w14:paraId="17ACB846" w14:textId="77777777" w:rsidR="00A0482C" w:rsidRDefault="00000000">
      <w:pPr>
        <w:spacing w:after="40"/>
        <w:ind w:left="340" w:hanging="340"/>
      </w:pPr>
      <w:r>
        <w:rPr>
          <w:sz w:val="19"/>
          <w:szCs w:val="19"/>
        </w:rPr>
        <w:t xml:space="preserve">Stobberup, K.A., Erzini, K., 2006. Assessing mackerel scad, </w:t>
      </w:r>
      <w:proofErr w:type="spellStart"/>
      <w:r>
        <w:rPr>
          <w:i/>
          <w:iCs/>
          <w:sz w:val="19"/>
          <w:szCs w:val="19"/>
        </w:rPr>
        <w:t>Decapterus</w:t>
      </w:r>
      <w:proofErr w:type="spellEnd"/>
      <w:r>
        <w:rPr>
          <w:i/>
          <w:iCs/>
          <w:sz w:val="19"/>
          <w:szCs w:val="19"/>
        </w:rPr>
        <w:t xml:space="preserve"> </w:t>
      </w:r>
      <w:proofErr w:type="spellStart"/>
      <w:r>
        <w:rPr>
          <w:i/>
          <w:iCs/>
          <w:sz w:val="19"/>
          <w:szCs w:val="19"/>
        </w:rPr>
        <w:t>macarellus</w:t>
      </w:r>
      <w:proofErr w:type="spellEnd"/>
      <w:r>
        <w:rPr>
          <w:sz w:val="19"/>
          <w:szCs w:val="19"/>
        </w:rPr>
        <w:t>, in Cape Verde: using a Bayesian approach to biomass dynamic modelling in a data-limited situation. Fisheries Research 82, 194–203. https://doi.org/10.1016/j.fishres.2006.06.005</w:t>
      </w:r>
    </w:p>
    <w:p w14:paraId="58261A96" w14:textId="77777777" w:rsidR="00A0482C" w:rsidRPr="00621BD1" w:rsidRDefault="00000000">
      <w:pPr>
        <w:spacing w:after="40"/>
        <w:ind w:left="340" w:hanging="340"/>
        <w:rPr>
          <w:lang w:val="pt-BR"/>
        </w:rPr>
      </w:pPr>
      <w:r>
        <w:rPr>
          <w:sz w:val="19"/>
          <w:szCs w:val="19"/>
        </w:rPr>
        <w:t xml:space="preserve">Su, Y.-S., Yajima, M., 2024. R2jags: using R to run 'JAGS'. </w:t>
      </w:r>
      <w:r w:rsidRPr="00621BD1">
        <w:rPr>
          <w:sz w:val="19"/>
          <w:szCs w:val="19"/>
          <w:lang w:val="pt-BR"/>
        </w:rPr>
        <w:t xml:space="preserve">R </w:t>
      </w:r>
      <w:proofErr w:type="spellStart"/>
      <w:r w:rsidRPr="00621BD1">
        <w:rPr>
          <w:sz w:val="19"/>
          <w:szCs w:val="19"/>
          <w:lang w:val="pt-BR"/>
        </w:rPr>
        <w:t>package</w:t>
      </w:r>
      <w:proofErr w:type="spellEnd"/>
      <w:r w:rsidRPr="00621BD1">
        <w:rPr>
          <w:sz w:val="19"/>
          <w:szCs w:val="19"/>
          <w:lang w:val="pt-BR"/>
        </w:rPr>
        <w:t>. https://CRAN.R-project.org/package=R2jags</w:t>
      </w:r>
    </w:p>
    <w:p w14:paraId="48D6DF6F" w14:textId="77777777" w:rsidR="00A0482C" w:rsidRDefault="00000000">
      <w:pPr>
        <w:spacing w:after="40"/>
        <w:ind w:left="340" w:hanging="340"/>
      </w:pPr>
      <w:proofErr w:type="spellStart"/>
      <w:r w:rsidRPr="00621BD1">
        <w:rPr>
          <w:sz w:val="19"/>
          <w:szCs w:val="19"/>
          <w:lang w:val="pt-BR"/>
        </w:rPr>
        <w:t>Tariche</w:t>
      </w:r>
      <w:proofErr w:type="spellEnd"/>
      <w:r w:rsidRPr="00621BD1">
        <w:rPr>
          <w:sz w:val="19"/>
          <w:szCs w:val="19"/>
          <w:lang w:val="pt-BR"/>
        </w:rPr>
        <w:t xml:space="preserve">, O., Martins, A., 2009. Dinâmica populacional e avaliação do estado de exploração dos principais recursos haliêuticos de Cabo Verde. </w:t>
      </w:r>
      <w:r>
        <w:rPr>
          <w:sz w:val="19"/>
          <w:szCs w:val="19"/>
        </w:rPr>
        <w:t>INDP, Mindelo.</w:t>
      </w:r>
    </w:p>
    <w:p w14:paraId="76467139" w14:textId="77777777" w:rsidR="00A0482C" w:rsidRDefault="00000000">
      <w:pPr>
        <w:spacing w:after="40"/>
        <w:ind w:left="340" w:hanging="340"/>
      </w:pPr>
      <w:r>
        <w:rPr>
          <w:sz w:val="19"/>
          <w:szCs w:val="19"/>
        </w:rPr>
        <w:t>Thiao, D., 2026. Preliminary bioeconomic assessment of mackerel scad and three tuna-like species in Cabo Verde. FAO Fisheries and Aquaculture Circular No. 1297. FAO, Rome. https://doi.org/10.4060/cd8722en</w:t>
      </w:r>
    </w:p>
    <w:p w14:paraId="077297FD" w14:textId="77777777" w:rsidR="00A0482C" w:rsidRDefault="00000000">
      <w:pPr>
        <w:spacing w:after="40"/>
        <w:ind w:left="340" w:hanging="340"/>
      </w:pPr>
      <w:r>
        <w:rPr>
          <w:sz w:val="19"/>
          <w:szCs w:val="19"/>
        </w:rPr>
        <w:t xml:space="preserve">van der Sluijs, J.P., </w:t>
      </w:r>
      <w:proofErr w:type="spellStart"/>
      <w:r>
        <w:rPr>
          <w:sz w:val="19"/>
          <w:szCs w:val="19"/>
        </w:rPr>
        <w:t>Craye</w:t>
      </w:r>
      <w:proofErr w:type="spellEnd"/>
      <w:r>
        <w:rPr>
          <w:sz w:val="19"/>
          <w:szCs w:val="19"/>
        </w:rPr>
        <w:t xml:space="preserve">, M., Funtowicz, S., </w:t>
      </w:r>
      <w:proofErr w:type="spellStart"/>
      <w:r>
        <w:rPr>
          <w:sz w:val="19"/>
          <w:szCs w:val="19"/>
        </w:rPr>
        <w:t>Kloprogge</w:t>
      </w:r>
      <w:proofErr w:type="spellEnd"/>
      <w:r>
        <w:rPr>
          <w:sz w:val="19"/>
          <w:szCs w:val="19"/>
        </w:rPr>
        <w:t xml:space="preserve">, P., Ravetz, J., </w:t>
      </w:r>
      <w:proofErr w:type="spellStart"/>
      <w:r>
        <w:rPr>
          <w:sz w:val="19"/>
          <w:szCs w:val="19"/>
        </w:rPr>
        <w:t>Risbey</w:t>
      </w:r>
      <w:proofErr w:type="spellEnd"/>
      <w:r>
        <w:rPr>
          <w:sz w:val="19"/>
          <w:szCs w:val="19"/>
        </w:rPr>
        <w:t>, J., 2005. Combining quantitative and qualitative measures of uncertainty in model-based environmental assessment: the NUSAP system. Risk Analysis 25, 481–492.</w:t>
      </w:r>
    </w:p>
    <w:p w14:paraId="523D7730" w14:textId="77777777" w:rsidR="00A0482C" w:rsidRDefault="00000000">
      <w:pPr>
        <w:spacing w:after="40"/>
        <w:ind w:left="340" w:hanging="340"/>
      </w:pPr>
      <w:r>
        <w:rPr>
          <w:sz w:val="19"/>
          <w:szCs w:val="19"/>
        </w:rPr>
        <w:t>Vieira, N., 2019. Stock assessment and the influence of environmental parameters on the distribution of mackerel scad (</w:t>
      </w:r>
      <w:proofErr w:type="spellStart"/>
      <w:r>
        <w:rPr>
          <w:i/>
          <w:iCs/>
          <w:sz w:val="19"/>
          <w:szCs w:val="19"/>
        </w:rPr>
        <w:t>Decapterus</w:t>
      </w:r>
      <w:proofErr w:type="spellEnd"/>
      <w:r>
        <w:rPr>
          <w:i/>
          <w:iCs/>
          <w:sz w:val="19"/>
          <w:szCs w:val="19"/>
        </w:rPr>
        <w:t xml:space="preserve"> </w:t>
      </w:r>
      <w:proofErr w:type="spellStart"/>
      <w:r>
        <w:rPr>
          <w:i/>
          <w:iCs/>
          <w:sz w:val="19"/>
          <w:szCs w:val="19"/>
        </w:rPr>
        <w:t>macarellus</w:t>
      </w:r>
      <w:proofErr w:type="spellEnd"/>
      <w:r>
        <w:rPr>
          <w:sz w:val="19"/>
          <w:szCs w:val="19"/>
        </w:rPr>
        <w:t xml:space="preserve">) in Cabo Verde waters. Final project, United Nations University Fisheries Training </w:t>
      </w:r>
      <w:proofErr w:type="spellStart"/>
      <w:r>
        <w:rPr>
          <w:sz w:val="19"/>
          <w:szCs w:val="19"/>
        </w:rPr>
        <w:t>Programme</w:t>
      </w:r>
      <w:proofErr w:type="spellEnd"/>
      <w:r>
        <w:rPr>
          <w:sz w:val="19"/>
          <w:szCs w:val="19"/>
        </w:rPr>
        <w:t>, Reykjavík.</w:t>
      </w:r>
    </w:p>
    <w:p w14:paraId="1B1241B5" w14:textId="77777777" w:rsidR="00A0482C" w:rsidRDefault="00000000">
      <w:pPr>
        <w:spacing w:after="40"/>
        <w:ind w:left="340" w:hanging="340"/>
      </w:pPr>
      <w:r>
        <w:rPr>
          <w:sz w:val="19"/>
          <w:szCs w:val="19"/>
        </w:rPr>
        <w:t>Walters, C.J., Martell, S.J.D., 2004. Fisheries ecology and management. Princeton University Press, Princeton.</w:t>
      </w:r>
    </w:p>
    <w:p w14:paraId="266F8B5B" w14:textId="77777777" w:rsidR="00A0482C" w:rsidRDefault="00000000">
      <w:pPr>
        <w:spacing w:after="40"/>
        <w:ind w:left="340" w:hanging="340"/>
      </w:pPr>
      <w:r>
        <w:rPr>
          <w:sz w:val="19"/>
          <w:szCs w:val="19"/>
        </w:rPr>
        <w:t>Walters, C.J., Martell, S.J.D., Korman, J., 2006. A stochastic approach to stock reduction analysis. Canadian Journal of Fisheries and Aquatic Sciences 63, 212–223.</w:t>
      </w:r>
    </w:p>
    <w:p w14:paraId="2041EA4B" w14:textId="77777777" w:rsidR="00A0482C" w:rsidRDefault="00000000">
      <w:pPr>
        <w:spacing w:after="40"/>
        <w:ind w:left="340" w:hanging="340"/>
      </w:pPr>
      <w:r>
        <w:rPr>
          <w:sz w:val="19"/>
          <w:szCs w:val="19"/>
        </w:rPr>
        <w:lastRenderedPageBreak/>
        <w:t>Ward, J.H., 1963. Hierarchical grouping to optimize an objective function. Journal of the American Statistical Association 58, 236–244.</w:t>
      </w:r>
    </w:p>
    <w:p w14:paraId="1BC5F69F" w14:textId="77777777" w:rsidR="00A0482C" w:rsidRDefault="00000000">
      <w:pPr>
        <w:spacing w:after="40"/>
        <w:ind w:left="340" w:hanging="340"/>
      </w:pPr>
      <w:r>
        <w:rPr>
          <w:sz w:val="19"/>
          <w:szCs w:val="19"/>
        </w:rPr>
        <w:t>Wetzel, C.R., Punt, A.E., 2015. Evaluating the performance of data-moderate and catch-only assessment methods for U.S. west coast groundfish. Fisheries Research 171, 170–187.</w:t>
      </w:r>
    </w:p>
    <w:p w14:paraId="1492EE28" w14:textId="77777777" w:rsidR="00A0482C" w:rsidRDefault="00000000">
      <w:pPr>
        <w:spacing w:after="40"/>
        <w:ind w:left="340" w:hanging="340"/>
      </w:pPr>
      <w:r>
        <w:rPr>
          <w:sz w:val="19"/>
          <w:szCs w:val="19"/>
        </w:rPr>
        <w:t>Winker, H., Carvalho, F., Kapur, M., 2018. JABBA: Just Another Bayesian Biomass Assessment. Fisheries Research 204, 275–288.</w:t>
      </w:r>
    </w:p>
    <w:p w14:paraId="63C73771" w14:textId="77777777" w:rsidR="00A0482C" w:rsidRDefault="00000000">
      <w:pPr>
        <w:spacing w:after="40"/>
        <w:ind w:left="340" w:hanging="340"/>
      </w:pPr>
      <w:r>
        <w:rPr>
          <w:sz w:val="19"/>
          <w:szCs w:val="19"/>
        </w:rPr>
        <w:t xml:space="preserve">Winker, H., </w:t>
      </w:r>
      <w:proofErr w:type="spellStart"/>
      <w:r>
        <w:rPr>
          <w:sz w:val="19"/>
          <w:szCs w:val="19"/>
        </w:rPr>
        <w:t>Kerwath</w:t>
      </w:r>
      <w:proofErr w:type="spellEnd"/>
      <w:r>
        <w:rPr>
          <w:sz w:val="19"/>
          <w:szCs w:val="19"/>
        </w:rPr>
        <w:t xml:space="preserve">, S.E., Attwood, C.G., 2013. Comparison of two approaches to standardize catch-per-unit-effort for targeting </w:t>
      </w:r>
      <w:proofErr w:type="spellStart"/>
      <w:r>
        <w:rPr>
          <w:sz w:val="19"/>
          <w:szCs w:val="19"/>
        </w:rPr>
        <w:t>behaviour</w:t>
      </w:r>
      <w:proofErr w:type="spellEnd"/>
      <w:r>
        <w:rPr>
          <w:sz w:val="19"/>
          <w:szCs w:val="19"/>
        </w:rPr>
        <w:t xml:space="preserve"> in a multispecies hand-line fishery. Fisheries Research 139, 118–131.</w:t>
      </w:r>
    </w:p>
    <w:p w14:paraId="6CA6CBC1" w14:textId="77777777" w:rsidR="00A0482C" w:rsidRDefault="00000000">
      <w:pPr>
        <w:spacing w:after="40"/>
        <w:ind w:left="340" w:hanging="340"/>
      </w:pPr>
      <w:r>
        <w:rPr>
          <w:sz w:val="19"/>
          <w:szCs w:val="19"/>
        </w:rPr>
        <w:t xml:space="preserve">Winker, H., </w:t>
      </w:r>
      <w:proofErr w:type="spellStart"/>
      <w:r>
        <w:rPr>
          <w:sz w:val="19"/>
          <w:szCs w:val="19"/>
        </w:rPr>
        <w:t>Kerwath</w:t>
      </w:r>
      <w:proofErr w:type="spellEnd"/>
      <w:r>
        <w:rPr>
          <w:sz w:val="19"/>
          <w:szCs w:val="19"/>
        </w:rPr>
        <w:t>, S.E., Attwood, C.G., 2014. Proof of concept for a novel procedure to standardize multispecies catch and effort data. Fisheries Research 155, 149–159.</w:t>
      </w:r>
    </w:p>
    <w:p w14:paraId="55E3A5EB" w14:textId="77777777" w:rsidR="00A0482C" w:rsidRDefault="00000000">
      <w:pPr>
        <w:spacing w:after="40"/>
        <w:ind w:left="340" w:hanging="340"/>
      </w:pPr>
      <w:r>
        <w:rPr>
          <w:sz w:val="19"/>
          <w:szCs w:val="19"/>
        </w:rPr>
        <w:t xml:space="preserve">Zhou, S., Punt, A.E., Ye, Y., Ellis, N., </w:t>
      </w:r>
      <w:proofErr w:type="spellStart"/>
      <w:r>
        <w:rPr>
          <w:sz w:val="19"/>
          <w:szCs w:val="19"/>
        </w:rPr>
        <w:t>Dichmont</w:t>
      </w:r>
      <w:proofErr w:type="spellEnd"/>
      <w:r>
        <w:rPr>
          <w:sz w:val="19"/>
          <w:szCs w:val="19"/>
        </w:rPr>
        <w:t>, C.M., Haddon, M., Smith, D.C., Smith, A.D.M., 2017. Estimating stock depletion level from patterns of catch history. Fish and Fisheries 18, 742–751.</w:t>
      </w:r>
    </w:p>
    <w:sectPr w:rsidR="00A0482C">
      <w:pgSz w:w="11906" w:h="16838"/>
      <w:pgMar w:top="850" w:right="850" w:bottom="850" w:left="8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A22101"/>
    <w:multiLevelType w:val="hybridMultilevel"/>
    <w:tmpl w:val="A4D644E0"/>
    <w:lvl w:ilvl="0" w:tplc="BEA681B8">
      <w:start w:val="1"/>
      <w:numFmt w:val="bullet"/>
      <w:lvlText w:val="●"/>
      <w:lvlJc w:val="left"/>
      <w:pPr>
        <w:ind w:left="720" w:hanging="360"/>
      </w:pPr>
    </w:lvl>
    <w:lvl w:ilvl="1" w:tplc="0D96A8D0">
      <w:start w:val="1"/>
      <w:numFmt w:val="bullet"/>
      <w:lvlText w:val="○"/>
      <w:lvlJc w:val="left"/>
      <w:pPr>
        <w:ind w:left="1440" w:hanging="360"/>
      </w:pPr>
    </w:lvl>
    <w:lvl w:ilvl="2" w:tplc="B748D09C">
      <w:start w:val="1"/>
      <w:numFmt w:val="bullet"/>
      <w:lvlText w:val="■"/>
      <w:lvlJc w:val="left"/>
      <w:pPr>
        <w:ind w:left="2160" w:hanging="360"/>
      </w:pPr>
    </w:lvl>
    <w:lvl w:ilvl="3" w:tplc="9E02437C">
      <w:start w:val="1"/>
      <w:numFmt w:val="bullet"/>
      <w:lvlText w:val="●"/>
      <w:lvlJc w:val="left"/>
      <w:pPr>
        <w:ind w:left="2880" w:hanging="360"/>
      </w:pPr>
    </w:lvl>
    <w:lvl w:ilvl="4" w:tplc="60204312">
      <w:start w:val="1"/>
      <w:numFmt w:val="bullet"/>
      <w:lvlText w:val="○"/>
      <w:lvlJc w:val="left"/>
      <w:pPr>
        <w:ind w:left="3600" w:hanging="360"/>
      </w:pPr>
    </w:lvl>
    <w:lvl w:ilvl="5" w:tplc="9DC87876">
      <w:start w:val="1"/>
      <w:numFmt w:val="bullet"/>
      <w:lvlText w:val="■"/>
      <w:lvlJc w:val="left"/>
      <w:pPr>
        <w:ind w:left="4320" w:hanging="360"/>
      </w:pPr>
    </w:lvl>
    <w:lvl w:ilvl="6" w:tplc="B978DE42">
      <w:start w:val="1"/>
      <w:numFmt w:val="bullet"/>
      <w:lvlText w:val="●"/>
      <w:lvlJc w:val="left"/>
      <w:pPr>
        <w:ind w:left="5040" w:hanging="360"/>
      </w:pPr>
    </w:lvl>
    <w:lvl w:ilvl="7" w:tplc="2E96795A">
      <w:start w:val="1"/>
      <w:numFmt w:val="bullet"/>
      <w:lvlText w:val="●"/>
      <w:lvlJc w:val="left"/>
      <w:pPr>
        <w:ind w:left="5760" w:hanging="360"/>
      </w:pPr>
    </w:lvl>
    <w:lvl w:ilvl="8" w:tplc="104A4EA8">
      <w:start w:val="1"/>
      <w:numFmt w:val="bullet"/>
      <w:lvlText w:val="●"/>
      <w:lvlJc w:val="left"/>
      <w:pPr>
        <w:ind w:left="6480" w:hanging="360"/>
      </w:pPr>
    </w:lvl>
  </w:abstractNum>
  <w:num w:numId="1" w16cid:durableId="5385180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482C"/>
    <w:rsid w:val="00146367"/>
    <w:rsid w:val="00156A4E"/>
    <w:rsid w:val="003B5D3D"/>
    <w:rsid w:val="00621BD1"/>
    <w:rsid w:val="0067064A"/>
    <w:rsid w:val="00A0482C"/>
    <w:rsid w:val="00A8124C"/>
    <w:rsid w:val="00C150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5CAF1"/>
  <w15:docId w15:val="{9FFFD48F-C759-4D88-A77F-1F753F9B9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000000"/>
      <w:sz w:val="24"/>
      <w:szCs w:val="24"/>
    </w:rPr>
  </w:style>
  <w:style w:type="paragraph" w:styleId="Ttulo2">
    <w:name w:val="heading 2"/>
    <w:uiPriority w:val="9"/>
    <w:unhideWhenUsed/>
    <w:qFormat/>
    <w:pPr>
      <w:outlineLvl w:val="1"/>
    </w:pPr>
    <w:rPr>
      <w:b/>
      <w:bCs/>
      <w:color w:val="000000"/>
    </w:rPr>
  </w:style>
  <w:style w:type="paragraph" w:styleId="Ttulo3">
    <w:name w:val="heading 3"/>
    <w:uiPriority w:val="9"/>
    <w:unhideWhenUsed/>
    <w:qFormat/>
    <w:pPr>
      <w:outlineLvl w:val="2"/>
    </w:pPr>
    <w:rPr>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16</Pages>
  <Words>12116</Words>
  <Characters>69066</Characters>
  <Application>Microsoft Office Word</Application>
  <DocSecurity>0</DocSecurity>
  <Lines>575</Lines>
  <Paragraphs>162</Paragraphs>
  <ScaleCrop>false</ScaleCrop>
  <HeadingPairs>
    <vt:vector size="2" baseType="variant">
      <vt:variant>
        <vt:lpstr>Título</vt:lpstr>
      </vt:variant>
      <vt:variant>
        <vt:i4>1</vt:i4>
      </vt:variant>
    </vt:vector>
  </HeadingPairs>
  <TitlesOfParts>
    <vt:vector size="1" baseType="lpstr">
      <vt:lpstr>Mackerel scad assessment in Cabo Verde – manuscript</vt:lpstr>
    </vt:vector>
  </TitlesOfParts>
  <Company/>
  <LinksUpToDate>false</LinksUpToDate>
  <CharactersWithSpaces>81020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Mackerel scad assessment in Cabo Verde – manuscript</dc:title>
  <dc:creator>Matheus Lourenço Soares da Silva</dc:creator>
  <cp:lastModifiedBy>matheus Lourenço</cp:lastModifiedBy>
  <cp:revision>8</cp:revision>
  <dcterms:created xsi:type="dcterms:W3CDTF">2026-10-08T18:01:00Z</dcterms:created>
  <dcterms:modified xsi:type="dcterms:W3CDTF">2026-10-08T21:12:00Z</dcterms:modified>
</cp:coreProperties>
</file>