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4"/>
          <w:szCs w:val="44"/>
        </w:rPr>
        <w:t xml:space="preserve">CMSY / CMSY++</w:t>
      </w:r>
    </w:p>
    <w:p>
      <w:pPr>
        <w:spacing w:after="260"/>
        <w:jc w:val="center"/>
      </w:pPr>
      <w:r>
        <w:rPr>
          <w:i/>
          <w:iCs/>
          <w:sz w:val="26"/>
          <w:szCs w:val="26"/>
        </w:rPr>
        <w:t xml:space="preserve">Guia didático: da filtragem Monte Carlo à dinâmica bayesiana espaço-estado por trás do JAGS</w:t>
      </w:r>
    </w:p>
    <w:p>
      <w:pPr>
        <w:spacing w:after="360"/>
        <w:jc w:val="center"/>
      </w:pPr>
      <w:r>
        <w:rPr>
          <w:color w:val="555555"/>
          <w:sz w:val="20"/>
          <w:szCs w:val="20"/>
        </w:rPr>
        <w:t xml:space="preserve">Baseado em Martell &amp; Froese (2013), Froese et al. (2017) e Froese et al. (2023), com leitura direta do código CMSY++ (Froese &amp; Winker) usado no seu script Catch_models.R.</w:t>
      </w:r>
    </w:p>
    <w:p>
      <w:pPr>
        <w:pBdr>
          <w:left w:val="single" w:color="2E5A8C" w:sz="18"/>
        </w:pBdr>
        <w:shd w:fill="EEF3FA" w:val="clear"/>
        <w:spacing w:after="200" w:before="120"/>
        <w:ind w:left="260"/>
      </w:pPr>
      <w:r>
        <w:rPr>
          <w:rFonts w:ascii="Calibri" w:cs="Calibri" w:eastAsia="Calibri" w:hAnsi="Calibri"/>
          <w:b/>
          <w:bCs/>
          <w:color w:val="1F4E79"/>
          <w:sz w:val="22"/>
          <w:szCs w:val="22"/>
        </w:rPr>
        <w:t xml:space="preserve">COMO LER ESTE DOCUMENTO  </w:t>
      </w:r>
      <w:r>
        <w:rPr>
          <w:rFonts w:ascii="Calibri" w:cs="Calibri" w:eastAsia="Calibri" w:hAnsi="Calibri"/>
          <w:sz w:val="22"/>
          <w:szCs w:val="22"/>
        </w:rPr>
        <w:t xml:space="preserve">O texto segue a ordem em que o método precisa ser entendido: primeiro por que ele existe e de onde veio (Seção 1); depois o modelo de população que está por trás de tudo (Seção 2); em seguida o motor “clássico” do CMSY — a filtragem Monte Carlo — com um exemplo numérico completo, do zero, refeito à mão (Seção 3); depois a extensão bayesiana espaço-estado (BSM) e o código JAGS explicado bloco a bloco (Seção 4), que é o coração do que você pediu para entender; de onde vêm os priors de depleção (Seção 5); como ler a saída (Seção 6); o que a validação do método mostra (Seção 7); e, por fim, os cuidados e limitações que valem a pena ter em mente antes de citar um resultado (Seção 8), incluindo achados do seu próprio artigo sobre camarões.</w:t>
      </w:r>
    </w:p>
    <w:p>
      <w:pPr>
        <w:pStyle w:val="Heading1"/>
        <w:spacing w:after="160" w:before="360"/>
      </w:pPr>
      <w:r>
        <w:t xml:space="preserve">1. O que é o CMSY e por que ele existe</w:t>
      </w:r>
    </w:p>
    <w:p>
      <w:pPr>
        <w:pStyle w:val="Heading2"/>
        <w:spacing w:after="120" w:before="260"/>
      </w:pPr>
      <w:r>
        <w:t xml:space="preserve">1.1 O problema: a maioria dos estoques do mundo não tem avaliação formal</w:t>
      </w:r>
    </w:p>
    <w:p>
      <w:pPr>
        <w:spacing w:after="160" w:line="276"/>
      </w:pPr>
      <w:r>
        <w:rPr>
          <w:rFonts w:ascii="Calibri" w:cs="Calibri" w:eastAsia="Calibri" w:hAnsi="Calibri"/>
          <w:sz w:val="22"/>
          <w:szCs w:val="22"/>
        </w:rPr>
        <w:t xml:space="preserve">A Convenção das Nações Unidas sobre o Direito do Mar (1982) e legislações nacionais que vieram depois dela (Austrália, Nova Zelândia, EUA, União Europeia) exigem que os estoques pesqueiros sejam mantidos em níveis capazes de produzir o rendimento máximo sustentável (MSY). O problema prático é que a enorme maioria dos estoques explorados no mundo nunca passou por uma avaliação formal de estoque — não há dinheiro, dados de idade/comprimento estruturados, nem séries longas de índice de abundância para isso. O que quase sempre existe é uma série histórica de capturas e algum conhecimento biológico genérico da espécie (a que grupo de resiliência ela pertence). O CMSY nasceu exatamente para preencher essa lacuna: transformar só isso — captura mais resiliência — em uma estimativa (com incerteza) de MSY e do estado do estoque.</w:t>
      </w:r>
    </w:p>
    <w:p>
      <w:pPr>
        <w:pStyle w:val="Heading2"/>
        <w:spacing w:after="120" w:before="260"/>
      </w:pPr>
      <w:r>
        <w:t xml:space="preserve">1.2 Da Stock Reduction Analysis ao Catch-MSY (1982–2013)</w:t>
      </w:r>
    </w:p>
    <w:p>
      <w:pPr>
        <w:spacing w:after="160" w:line="276"/>
      </w:pPr>
      <w:r>
        <w:rPr>
          <w:rFonts w:ascii="Calibri" w:cs="Calibri" w:eastAsia="Calibri" w:hAnsi="Calibri"/>
          <w:sz w:val="22"/>
          <w:szCs w:val="22"/>
        </w:rPr>
        <w:t xml:space="preserve">A ideia raiz vem de Kimura &amp; Tagart (1982): a </w:t>
      </w:r>
      <w:r>
        <w:rPr>
          <w:rFonts w:ascii="Calibri" w:cs="Calibri" w:eastAsia="Calibri" w:hAnsi="Calibri"/>
          <w:b/>
          <w:bCs/>
          <w:sz w:val="22"/>
          <w:szCs w:val="22"/>
        </w:rPr>
        <w:t xml:space="preserve">Stock Reduction Analysis (SRA)</w:t>
      </w:r>
      <w:r>
        <w:rPr>
          <w:rFonts w:ascii="Calibri" w:cs="Calibri" w:eastAsia="Calibri" w:hAnsi="Calibri"/>
          <w:sz w:val="22"/>
          <w:szCs w:val="22"/>
        </w:rPr>
        <w:t xml:space="preserve">, que reconstrói a biomassa ano a ano a partir da série de capturas e de um modelo de produção, testando qual capacidade de suporte K é compatível com o estoque não ter colapsado nem ultrapassado K ao longo da série. Walters et al. (2006) deram a essa lógica uma formulação estocástica. MacCall (2009) propôs uma versão ainda mais simples, o </w:t>
      </w:r>
      <w:r>
        <w:rPr>
          <w:rFonts w:ascii="Calibri" w:cs="Calibri" w:eastAsia="Calibri" w:hAnsi="Calibri"/>
          <w:b/>
          <w:bCs/>
          <w:sz w:val="22"/>
          <w:szCs w:val="22"/>
        </w:rPr>
        <w:t xml:space="preserve">Depletion-Corrected Average Catch (DCAC)</w:t>
      </w:r>
      <w:r>
        <w:rPr>
          <w:rFonts w:ascii="Calibri" w:cs="Calibri" w:eastAsia="Calibri" w:hAnsi="Calibri"/>
          <w:sz w:val="22"/>
          <w:szCs w:val="22"/>
        </w:rPr>
        <w:t xml:space="preserve">, que corrige a captura média histórica por um fator de depleção assumido.</w:t>
      </w:r>
    </w:p>
    <w:p>
      <w:pPr>
        <w:spacing w:after="160" w:line="276"/>
      </w:pPr>
      <w:r>
        <w:rPr>
          <w:rFonts w:ascii="Calibri" w:cs="Calibri" w:eastAsia="Calibri" w:hAnsi="Calibri"/>
          <w:sz w:val="22"/>
          <w:szCs w:val="22"/>
        </w:rPr>
        <w:t xml:space="preserve">Martell &amp; Froese (2013) uniram essas ideias no método </w:t>
      </w:r>
      <w:r>
        <w:rPr>
          <w:rFonts w:ascii="Calibri" w:cs="Calibri" w:eastAsia="Calibri" w:hAnsi="Calibri"/>
          <w:b/>
          <w:bCs/>
          <w:sz w:val="22"/>
          <w:szCs w:val="22"/>
        </w:rPr>
        <w:t xml:space="preserve">Catch-MSY</w:t>
      </w:r>
      <w:r>
        <w:rPr>
          <w:rFonts w:ascii="Calibri" w:cs="Calibri" w:eastAsia="Calibri" w:hAnsi="Calibri"/>
          <w:sz w:val="22"/>
          <w:szCs w:val="22"/>
        </w:rPr>
        <w:t xml:space="preserve">: em vez de resolver K analiticamente, sorteiam milhares de pares aleatórios (r, k) de distribuições priori (r a partir da categoria de resiliência da espécie no FishBase; k de um intervalo largo), simulam a biomassa ano a ano com um modelo de produção de Schaefer, e mantêm apenas os pares “viáveis” — aqueles em que a população nunca cai a ponto de colapsar (B &lt; 0,01k) nem ultrapassa a capacidade de suporte, e cuja biomassa final cai dentro de um intervalo de depleção assumido. É uma filtragem, não um ajuste: não há otimização nem verossimilhança contínua, só um teste binário de “essa combinação é fisicamente possível dado o que eu vi de captura?”.</w:t>
      </w:r>
    </w:p>
    <w:p>
      <w:pPr>
        <w:pBdr>
          <w:left w:val="single" w:color="2E5A8C" w:sz="18"/>
        </w:pBdr>
        <w:shd w:fill="EEF3FA" w:val="clear"/>
        <w:spacing w:after="200" w:before="120"/>
        <w:ind w:left="260"/>
      </w:pPr>
      <w:r>
        <w:rPr>
          <w:rFonts w:ascii="Calibri" w:cs="Calibri" w:eastAsia="Calibri" w:hAnsi="Calibri"/>
          <w:b/>
          <w:bCs/>
          <w:color w:val="1F4E79"/>
          <w:sz w:val="22"/>
          <w:szCs w:val="22"/>
        </w:rPr>
        <w:t xml:space="preserve">EM UMA FRASE  </w:t>
      </w:r>
      <w:r>
        <w:rPr>
          <w:rFonts w:ascii="Calibri" w:cs="Calibri" w:eastAsia="Calibri" w:hAnsi="Calibri"/>
          <w:sz w:val="22"/>
          <w:szCs w:val="22"/>
        </w:rPr>
        <w:t xml:space="preserve">Catch-MSY não precisa de índice de abundância porque usa a própria história de captura como “experimento”: uma população que aguentou décadas de pesca sem sumir do mapa, e sem explodir, revela por eliminação uma faixa estreita de combinações plausíveis de produtividade (r) e tamanho (k).</w:t>
      </w:r>
    </w:p>
    <w:p>
      <w:pPr>
        <w:spacing w:after="160" w:line="276"/>
      </w:pPr>
      <w:r>
        <w:rPr>
          <w:rFonts w:ascii="Calibri" w:cs="Calibri" w:eastAsia="Calibri" w:hAnsi="Calibri"/>
          <w:sz w:val="22"/>
          <w:szCs w:val="22"/>
        </w:rPr>
        <w:t xml:space="preserve">O método foi validado contra 146 avaliações independentes de estoques do Atlântico Nordeste e do banco RAM Legacy, com boa concordância nas estimativas de MSY (por exemplo, para o linguado-da-Groenlândia, 24.900 t pelo Catch-MSY contra 31.023 t por uma avaliação completa independente, faixas de confiança sobrepostas).</w:t>
      </w:r>
    </w:p>
    <w:p>
      <w:pPr>
        <w:pStyle w:val="Heading2"/>
        <w:spacing w:after="120" w:before="260"/>
      </w:pPr>
      <w:r>
        <w:t xml:space="preserve">1.3 Do Catch-MSY ao CMSY (Froese et al. 2017)</w:t>
      </w:r>
    </w:p>
    <w:p>
      <w:pPr>
        <w:spacing w:after="160" w:line="276"/>
      </w:pPr>
      <w:r>
        <w:rPr>
          <w:rFonts w:ascii="Calibri" w:cs="Calibri" w:eastAsia="Calibri" w:hAnsi="Calibri"/>
          <w:sz w:val="22"/>
          <w:szCs w:val="22"/>
        </w:rPr>
        <w:t xml:space="preserve">Froese et al. (2017) identificaram dois vieses sistemáticos do Catch-MSY original: r tendia a ser superestimado e k subestimado quando a estimativa central era a média geométrica de toda a nuvem de pares viáveis. A correção teve duas partes:</w:t>
      </w:r>
    </w:p>
    <w:p>
      <w:pPr>
        <w:pStyle w:val="ListParagraph"/>
        <w:numPr>
          <w:ilvl w:val="0"/>
          <w:numId w:val="1"/>
        </w:numPr>
        <w:spacing w:after="100" w:line="276"/>
      </w:pPr>
      <w:r>
        <w:rPr>
          <w:rFonts w:ascii="Calibri" w:cs="Calibri" w:eastAsia="Calibri" w:hAnsi="Calibri"/>
          <w:b/>
          <w:bCs/>
          <w:sz w:val="22"/>
          <w:szCs w:val="22"/>
        </w:rPr>
        <w:t xml:space="preserve">Depensação: </w:t>
      </w:r>
      <w:r>
        <w:rPr>
          <w:rFonts w:ascii="Calibri" w:cs="Calibri" w:eastAsia="Calibri" w:hAnsi="Calibri"/>
          <w:sz w:val="22"/>
          <w:szCs w:val="22"/>
        </w:rPr>
        <w:t xml:space="preserve">abaixo de B/k = 0,25, a taxa de crescimento r passa a declinar linearmente com a biomassa (em vez de continuar constante como no Schaefer puro), reproduzindo a queda esperada de recrutamento em populações muito depletadas.</w:t>
      </w:r>
    </w:p>
    <w:p>
      <w:pPr>
        <w:pStyle w:val="ListParagraph"/>
        <w:numPr>
          <w:ilvl w:val="0"/>
          <w:numId w:val="1"/>
        </w:numPr>
        <w:spacing w:after="100" w:line="276"/>
      </w:pPr>
      <w:r>
        <w:rPr>
          <w:rFonts w:ascii="Calibri" w:cs="Calibri" w:eastAsia="Calibri" w:hAnsi="Calibri"/>
          <w:b/>
          <w:bCs/>
          <w:sz w:val="22"/>
          <w:szCs w:val="22"/>
        </w:rPr>
        <w:t xml:space="preserve">A ponta do triângulo, não o centro: </w:t>
      </w:r>
      <w:r>
        <w:rPr>
          <w:rFonts w:ascii="Calibri" w:cs="Calibri" w:eastAsia="Calibri" w:hAnsi="Calibri"/>
          <w:sz w:val="22"/>
          <w:szCs w:val="22"/>
        </w:rPr>
        <w:t xml:space="preserve">em vez da média geométrica de toda a nuvem de pares viáveis, o par mais provável passou a ser buscado perto da ponta do triângulo de pares viáveis (valores mais altos de r dentro da faixa viável), o que reduz o viés sistemático nas duas direções.</w:t>
      </w:r>
    </w:p>
    <w:p>
      <w:pPr>
        <w:spacing w:after="160" w:line="276"/>
      </w:pPr>
      <w:r>
        <w:rPr>
          <w:rFonts w:ascii="Calibri" w:cs="Calibri" w:eastAsia="Calibri" w:hAnsi="Calibri"/>
          <w:sz w:val="22"/>
          <w:szCs w:val="22"/>
        </w:rPr>
        <w:t xml:space="preserve">A mudança mais importante, porém, foi a introdução do </w:t>
      </w:r>
      <w:r>
        <w:rPr>
          <w:rFonts w:ascii="Calibri" w:cs="Calibri" w:eastAsia="Calibri" w:hAnsi="Calibri"/>
          <w:b/>
          <w:bCs/>
          <w:sz w:val="22"/>
          <w:szCs w:val="22"/>
        </w:rPr>
        <w:t xml:space="preserve">BSM — Bayesian State-Space Model</w:t>
      </w:r>
      <w:r>
        <w:rPr>
          <w:rFonts w:ascii="Calibri" w:cs="Calibri" w:eastAsia="Calibri" w:hAnsi="Calibri"/>
          <w:sz w:val="22"/>
          <w:szCs w:val="22"/>
        </w:rPr>
        <w:t xml:space="preserve">: uma implementação totalmente bayesiana do mesmo modelo de Schaefer, ajustada via MCMC (JAGS) quando existe algum dado de abundância (biomassa ou CPUE). Em vez de um filtro binário aceita/rejeita, o BSM devolve uma distribuição posterior completa para cada parâmetro e para a biomassa de cada ano. As Seções 3 e 4 deste guia tratam, respectivamente, do motor clássico do CMSY e dessa extensão bayesiana.</w:t>
      </w:r>
    </w:p>
    <w:p>
      <w:pPr>
        <w:pStyle w:val="Heading2"/>
        <w:spacing w:after="120" w:before="260"/>
      </w:pPr>
      <w:r>
        <w:t xml:space="preserve">1.4 Do CMSY ao CMSY++ (Froese et al. 2023)</w:t>
      </w:r>
    </w:p>
    <w:p>
      <w:pPr>
        <w:spacing w:after="160" w:line="276"/>
      </w:pPr>
      <w:r>
        <w:rPr>
          <w:rFonts w:ascii="Calibri" w:cs="Calibri" w:eastAsia="Calibri" w:hAnsi="Calibri"/>
          <w:sz w:val="22"/>
          <w:szCs w:val="22"/>
        </w:rPr>
        <w:t xml:space="preserve">A versão mais recente, usada no seu script (Catch_models.R cita explicitamente Froese et al., 2023), trouxe quatro avanços que respondem diretamente ao que este guia detalha na Seção 4:</w:t>
      </w:r>
    </w:p>
    <w:p>
      <w:pPr>
        <w:pStyle w:val="ListParagraph"/>
        <w:numPr>
          <w:ilvl w:val="0"/>
          <w:numId w:val="1"/>
        </w:numPr>
        <w:spacing w:after="100" w:line="276"/>
      </w:pPr>
      <w:r>
        <w:rPr>
          <w:rFonts w:ascii="Calibri" w:cs="Calibri" w:eastAsia="Calibri" w:hAnsi="Calibri"/>
          <w:b/>
          <w:bCs/>
          <w:sz w:val="22"/>
          <w:szCs w:val="22"/>
        </w:rPr>
        <w:t xml:space="preserve">1. k derivado de um prior de MSY, não da captura máxima. </w:t>
      </w:r>
      <w:r>
        <w:rPr>
          <w:rFonts w:ascii="Calibri" w:cs="Calibri" w:eastAsia="Calibri" w:hAnsi="Calibri"/>
          <w:sz w:val="22"/>
          <w:szCs w:val="22"/>
        </w:rPr>
        <w:t xml:space="preserve">A relação empírica entre captura máxima e MSY (observada em centenas de estoques) permite estimar um prior de MSY diretamente do padrão de captura; como MSY = rk/4, um k prior sai quase de graça (k = 4·MSY/r), mais estreito e informativo que o antigo limite baseado só na captura máxima.</w:t>
      </w:r>
    </w:p>
    <w:p>
      <w:pPr>
        <w:pStyle w:val="ListParagraph"/>
        <w:numPr>
          <w:ilvl w:val="0"/>
          <w:numId w:val="1"/>
        </w:numPr>
        <w:spacing w:after="100" w:line="276"/>
      </w:pPr>
      <w:r>
        <w:rPr>
          <w:rFonts w:ascii="Calibri" w:cs="Calibri" w:eastAsia="Calibri" w:hAnsi="Calibri"/>
          <w:b/>
          <w:bCs/>
          <w:sz w:val="22"/>
          <w:szCs w:val="22"/>
        </w:rPr>
        <w:t xml:space="preserve">2. Prior conjunto (multivariado log-normal) para r e k. </w:t>
      </w:r>
      <w:r>
        <w:rPr>
          <w:rFonts w:ascii="Calibri" w:cs="Calibri" w:eastAsia="Calibri" w:hAnsi="Calibri"/>
          <w:sz w:val="22"/>
          <w:szCs w:val="22"/>
        </w:rPr>
        <w:t xml:space="preserve">Em vez de caixas retangulares independentes para r e k, CMSY++ usa uma normal multivariada em log(r), log(k) que incorpora a correlação negativa empírica entre produtividade e capacidade de suporte (ρ ≈ −0,76 em centenas de estoques) — essencialmente, a mesma geometria “triangular” da Seção 3, agora expressa como uma elipse suave em vez de uma região de corte abrupto.</w:t>
      </w:r>
    </w:p>
    <w:p>
      <w:pPr>
        <w:pStyle w:val="ListParagraph"/>
        <w:numPr>
          <w:ilvl w:val="0"/>
          <w:numId w:val="1"/>
        </w:numPr>
        <w:spacing w:after="100" w:line="276"/>
      </w:pPr>
      <w:r>
        <w:rPr>
          <w:rFonts w:ascii="Calibri" w:cs="Calibri" w:eastAsia="Calibri" w:hAnsi="Calibri"/>
          <w:b/>
          <w:bCs/>
          <w:sz w:val="22"/>
          <w:szCs w:val="22"/>
        </w:rPr>
        <w:t xml:space="preserve">3. Prior de depleção (B/k) por rede neural (ANN). </w:t>
      </w:r>
      <w:r>
        <w:rPr>
          <w:rFonts w:ascii="Calibri" w:cs="Calibri" w:eastAsia="Calibri" w:hAnsi="Calibri"/>
          <w:sz w:val="22"/>
          <w:szCs w:val="22"/>
        </w:rPr>
        <w:t xml:space="preserve">Treinada em ~400 estoques reais com status conhecido, a rede sugere um prior padrão de B/k a partir só do formato da série de capturas (posição e magnitude do pico, inclinações antes/depois dele) — substituindo a antiga regra crua de “captura atual / captura máxima” e uma etapa intermediária baseada em árvores de regressão impulsionadas (BRT, Zhou et al. 2017).</w:t>
      </w:r>
    </w:p>
    <w:p>
      <w:pPr>
        <w:pStyle w:val="ListParagraph"/>
        <w:numPr>
          <w:ilvl w:val="0"/>
          <w:numId w:val="1"/>
        </w:numPr>
        <w:spacing w:after="100" w:line="276"/>
      </w:pPr>
      <w:r>
        <w:rPr>
          <w:rFonts w:ascii="Calibri" w:cs="Calibri" w:eastAsia="Calibri" w:hAnsi="Calibri"/>
          <w:b/>
          <w:bCs/>
          <w:sz w:val="22"/>
          <w:szCs w:val="22"/>
        </w:rPr>
        <w:t xml:space="preserve">4. Unificação CMSY = BSM sem dados reais de abundância. </w:t>
      </w:r>
      <w:r>
        <w:rPr>
          <w:rFonts w:ascii="Calibri" w:cs="Calibri" w:eastAsia="Calibri" w:hAnsi="Calibri"/>
          <w:sz w:val="22"/>
          <w:szCs w:val="22"/>
        </w:rPr>
        <w:t xml:space="preserve">Desde 2019/2020, CMSY++ e BSM passaram a ser literalmente o mesmo modelo JAGS: a diferença é só quanto de dado real de abundância alimenta a equação de observação. A Seção 4.5 mostra exatamente como isso é feito no código.</w:t>
      </w:r>
    </w:p>
    <w:p>
      <w:pPr>
        <w:spacing w:after="160" w:line="276"/>
      </w:pPr>
      <w:r>
        <w:rPr>
          <w:rFonts w:ascii="Calibri" w:cs="Calibri" w:eastAsia="Calibri" w:hAnsi="Calibri"/>
          <w:sz w:val="22"/>
          <w:szCs w:val="22"/>
        </w:rPr>
        <w:t xml:space="preserve">O método já foi usado em mais de 2000 avaliações de estoque ao redor do mundo (~80% já na versão CMSY++), em todos os continentes — mas os próprios autores notam que os priors tendem a ser mais bem informados justamente nos países com mais recursos (dados de CPUE e conhecimento de especialistas disponíveis), o que é uma limitação a ter em mente (retomada na Seção 8).</w:t>
      </w:r>
    </w:p>
    <w:p>
      <w:pPr>
        <w:pStyle w:val="Heading1"/>
        <w:spacing w:after="160" w:before="360"/>
      </w:pPr>
      <w:r>
        <w:t xml:space="preserve">2. O modelo de produção por trás de tudo</w:t>
      </w:r>
    </w:p>
    <w:p>
      <w:pPr>
        <w:spacing w:after="160" w:line="276"/>
      </w:pPr>
      <w:r>
        <w:rPr>
          <w:rFonts w:ascii="Calibri" w:cs="Calibri" w:eastAsia="Calibri" w:hAnsi="Calibri"/>
          <w:sz w:val="22"/>
          <w:szCs w:val="22"/>
        </w:rPr>
        <w:t xml:space="preserve">Tanto o CMSY clássico quanto o BSM/CMSY++ usam o mesmo modelo de população: um modelo de produção excedente (surplus production model), que trata o estoque como uma única “pilha” de biomassa (sem estrutura de idade) cuja taxa de crescimento líquido depende só do quão perto ela está da capacidade de suporte K. A origem é a curva logística de Verhulst (1838), com números substituídos por biomassa — a forma que Schaefer (1954) introduziu na pesca.</w:t>
      </w:r>
    </w:p>
    <w:p>
      <w:pPr>
        <w:spacing w:after="200" w:before="120"/>
        <w:jc w:val="center"/>
      </w:pPr>
      <w:r>
        <w:rPr>
          <w:rFonts w:ascii="Calibri" w:cs="Calibri" w:eastAsia="Calibri" w:hAnsi="Calibri"/>
          <w:i/>
          <w:iCs/>
          <w:sz w:val="24"/>
          <w:szCs w:val="24"/>
        </w:rPr>
        <w:t xml:space="preserve">B(t+1) = B(t) + r·B(t)·[1 − B(t)/k] − C(t)      (Eq. 1)</w:t>
      </w:r>
    </w:p>
    <w:p>
      <w:pPr>
        <w:spacing w:after="160" w:line="276"/>
      </w:pPr>
      <w:r>
        <w:rPr>
          <w:rFonts w:ascii="Calibri" w:cs="Calibri" w:eastAsia="Calibri" w:hAnsi="Calibri"/>
          <w:sz w:val="22"/>
          <w:szCs w:val="22"/>
        </w:rPr>
        <w:t xml:space="preserve">onde B(t) é a biomassa explorável no ano t, r é a taxa intrínseca de crescimento populacional (por ano), k é a capacidade de suporte (biomassa não explorada) e C(t) é a captura do ano t. Em palavras: a biomassa do próximo ano é a de hoje, mais a produção líquida que a população gerou sozinha, menos o que foi retirado pela pesca.</w:t>
      </w:r>
    </w:p>
    <w:p>
      <w:pPr>
        <w:spacing w:after="160" w:line="276"/>
      </w:pPr>
      <w:r>
        <w:rPr>
          <w:rFonts w:ascii="Calibri" w:cs="Calibri" w:eastAsia="Calibri" w:hAnsi="Calibri"/>
          <w:sz w:val="22"/>
          <w:szCs w:val="22"/>
        </w:rPr>
        <w:t xml:space="preserve">No equilíbrio (produção = captura), essa mesma equação descreve a curva de rendimento clássica de Schaefer:</w:t>
      </w:r>
    </w:p>
    <w:p>
      <w:pPr>
        <w:spacing w:after="200" w:before="120"/>
        <w:jc w:val="center"/>
      </w:pPr>
      <w:r>
        <w:rPr>
          <w:rFonts w:ascii="Calibri" w:cs="Calibri" w:eastAsia="Calibri" w:hAnsi="Calibri"/>
          <w:i/>
          <w:iCs/>
          <w:sz w:val="24"/>
          <w:szCs w:val="24"/>
        </w:rPr>
        <w:t xml:space="preserve">Y = r·B·(1 − B/k)      (parábola em B/k, pico em B/k = 0,5)</w:t>
      </w:r>
    </w:p>
    <w:p>
      <w:pPr>
        <w:spacing w:after="160" w:line="276"/>
      </w:pPr>
      <w:r>
        <w:rPr>
          <w:rFonts w:ascii="Calibri" w:cs="Calibri" w:eastAsia="Calibri" w:hAnsi="Calibri"/>
          <w:sz w:val="22"/>
          <w:szCs w:val="22"/>
        </w:rPr>
        <w:t xml:space="preserve">O pico dessa parábola — o rendimento máximo sustentável — tem forma fechada, e é o ponto de partida de tudo que o CMSY estima: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00"/>
      </w:tblGrid>
      <w:tr>
        <w:tc>
          <w:tcPr>
            <w:tcW w:type="dxa" w:w="22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Quantidade</w:t>
            </w:r>
          </w:p>
        </w:tc>
        <w:tc>
          <w:tcPr>
            <w:tcW w:type="dxa" w:w="26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Fórmula</w:t>
            </w:r>
          </w:p>
        </w:tc>
        <w:tc>
          <w:tcPr>
            <w:tcW w:type="dxa" w:w="42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Interpretação</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MSY</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r·k / 4</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Rendimento máximo sustentável</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Bmsy</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k / 2</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Biomassa que produz o MSY</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Fmsy</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r / 2</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Mortalidade por pesca que produz o MSY</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Umsy</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MSY / Bmsy = r/2</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Taxa de exploração ótima (fração da biomassa no pico)</w:t>
            </w:r>
          </w:p>
        </w:tc>
      </w:tr>
    </w:tbl>
    <w:p>
      <w:pPr>
        <w:spacing w:after="160" w:line="276"/>
      </w:pPr>
      <w:r>
        <w:rPr>
          <w:rFonts w:ascii="Calibri" w:cs="Calibri" w:eastAsia="Calibri" w:hAnsi="Calibri"/>
          <w:sz w:val="22"/>
          <w:szCs w:val="22"/>
        </w:rPr>
        <w:t xml:space="preserve">Isso significa algo importante para tudo o que vem depois: uma vez que se tenha uma estimativa de r e k, todos os pontos de referência de manejo saem de graça — são frações fixas de r e k, não parâmetros estimados à parte.</w:t>
      </w:r>
    </w:p>
    <w:p>
      <w:pPr>
        <w:pStyle w:val="Heading3"/>
        <w:spacing w:after="100" w:before="200"/>
      </w:pPr>
      <w:r>
        <w:t xml:space="preserve">A curva de rendimento e as três zonas de exploração</w:t>
      </w:r>
    </w:p>
    <w:p>
      <w:pPr>
        <w:spacing w:after="160" w:line="276"/>
      </w:pPr>
      <w:r>
        <w:rPr>
          <w:rFonts w:ascii="Calibri" w:cs="Calibri" w:eastAsia="Calibri" w:hAnsi="Calibri"/>
          <w:sz w:val="22"/>
          <w:szCs w:val="22"/>
        </w:rPr>
        <w:t xml:space="preserve">Froese et al. (2023) ilustram a mesma parábola dividida em três zonas segundo B/k, uma leitura útil para interpretar qualquer resultado de CMSY:</w:t>
      </w:r>
    </w:p>
    <w:p>
      <w:pPr>
        <w:pStyle w:val="ListParagraph"/>
        <w:numPr>
          <w:ilvl w:val="0"/>
          <w:numId w:val="1"/>
        </w:numPr>
        <w:spacing w:after="100" w:line="276"/>
      </w:pPr>
      <w:r>
        <w:rPr>
          <w:rFonts w:ascii="Calibri" w:cs="Calibri" w:eastAsia="Calibri" w:hAnsi="Calibri"/>
          <w:b/>
          <w:bCs/>
          <w:sz w:val="22"/>
          <w:szCs w:val="22"/>
        </w:rPr>
        <w:t xml:space="preserve">B/k &lt; 0,25 — sobrepesca de recrutamento: </w:t>
      </w:r>
      <w:r>
        <w:rPr>
          <w:rFonts w:ascii="Calibri" w:cs="Calibri" w:eastAsia="Calibri" w:hAnsi="Calibri"/>
          <w:sz w:val="22"/>
          <w:szCs w:val="22"/>
        </w:rPr>
        <w:t xml:space="preserve">a biomassa está tão baixa que o próprio recrutamento é comprometido; é aqui que entra a correção de depensação da Eq. 2.</w:t>
      </w:r>
    </w:p>
    <w:p>
      <w:pPr>
        <w:pStyle w:val="ListParagraph"/>
        <w:numPr>
          <w:ilvl w:val="0"/>
          <w:numId w:val="1"/>
        </w:numPr>
        <w:spacing w:after="100" w:line="276"/>
      </w:pPr>
      <w:r>
        <w:rPr>
          <w:rFonts w:ascii="Calibri" w:cs="Calibri" w:eastAsia="Calibri" w:hAnsi="Calibri"/>
          <w:b/>
          <w:bCs/>
          <w:sz w:val="22"/>
          <w:szCs w:val="22"/>
        </w:rPr>
        <w:t xml:space="preserve">0,25 ≤ B/k &lt; 0,5 — sobrepesca de crescimento: </w:t>
      </w:r>
      <w:r>
        <w:rPr>
          <w:rFonts w:ascii="Calibri" w:cs="Calibri" w:eastAsia="Calibri" w:hAnsi="Calibri"/>
          <w:sz w:val="22"/>
          <w:szCs w:val="22"/>
        </w:rPr>
        <w:t xml:space="preserve">a biomassa ainda está do lado ascendente da curva; para a mesma captura, seria possível obter mais rendimento reconstruindo o estoque até B/k = 0,5.</w:t>
      </w:r>
    </w:p>
    <w:p>
      <w:pPr>
        <w:pStyle w:val="ListParagraph"/>
        <w:numPr>
          <w:ilvl w:val="0"/>
          <w:numId w:val="1"/>
        </w:numPr>
        <w:spacing w:after="100" w:line="276"/>
      </w:pPr>
      <w:r>
        <w:rPr>
          <w:rFonts w:ascii="Calibri" w:cs="Calibri" w:eastAsia="Calibri" w:hAnsi="Calibri"/>
          <w:b/>
          <w:bCs/>
          <w:sz w:val="22"/>
          <w:szCs w:val="22"/>
        </w:rPr>
        <w:t xml:space="preserve">B/k ≥ 0,5 — pesca sustentável: </w:t>
      </w:r>
      <w:r>
        <w:rPr>
          <w:rFonts w:ascii="Calibri" w:cs="Calibri" w:eastAsia="Calibri" w:hAnsi="Calibri"/>
          <w:sz w:val="22"/>
          <w:szCs w:val="22"/>
        </w:rPr>
        <w:t xml:space="preserve">do lado descendente da curva, mais próximo da capacidade de suporte não explorada.</w:t>
      </w:r>
    </w:p>
    <w:p>
      <w:pPr>
        <w:spacing w:after="160" w:line="276"/>
      </w:pPr>
      <w:r>
        <w:rPr>
          <w:rFonts w:ascii="Calibri" w:cs="Calibri" w:eastAsia="Calibri" w:hAnsi="Calibri"/>
          <w:sz w:val="22"/>
          <w:szCs w:val="22"/>
        </w:rPr>
        <w:t xml:space="preserve">Para evitar a previsão biologicamente implausível do Schaefer puro — que uma população a 1% de k poderia crescer na </w:t>
      </w:r>
      <w:r>
        <w:rPr>
          <w:rFonts w:ascii="Calibri" w:cs="Calibri" w:eastAsia="Calibri" w:hAnsi="Calibri"/>
          <w:i/>
          <w:iCs/>
          <w:sz w:val="22"/>
          <w:szCs w:val="22"/>
        </w:rPr>
        <w:t xml:space="preserve">mesma</w:t>
      </w:r>
      <w:r>
        <w:rPr>
          <w:rFonts w:ascii="Calibri" w:cs="Calibri" w:eastAsia="Calibri" w:hAnsi="Calibri"/>
          <w:sz w:val="22"/>
          <w:szCs w:val="22"/>
        </w:rPr>
        <w:t xml:space="preserve"> taxa máxima que uma população a 50% de k — o CMSY usa a versão com depensação linear:</w:t>
      </w:r>
    </w:p>
    <w:p>
      <w:pPr>
        <w:spacing w:after="200" w:before="120"/>
        <w:jc w:val="center"/>
      </w:pPr>
      <w:r>
        <w:rPr>
          <w:rFonts w:ascii="Calibri" w:cs="Calibri" w:eastAsia="Calibri" w:hAnsi="Calibri"/>
          <w:i/>
          <w:iCs/>
          <w:sz w:val="24"/>
          <w:szCs w:val="24"/>
        </w:rPr>
        <w:t xml:space="preserve">B(t+1) = B(t) + 4·[B(t)/k]·r·B(t)·[1 − B(t)/k] − C(t),  se B(t)/k &lt; 0,25      (Eq. 2)</w:t>
      </w:r>
    </w:p>
    <w:p>
      <w:pPr>
        <w:spacing w:after="160" w:line="276"/>
      </w:pPr>
      <w:r>
        <w:rPr>
          <w:rFonts w:ascii="Calibri" w:cs="Calibri" w:eastAsia="Calibri" w:hAnsi="Calibri"/>
          <w:sz w:val="22"/>
          <w:szCs w:val="22"/>
        </w:rPr>
        <w:t xml:space="preserve">O termo 4·B(t)/k funciona como um multiplicador que vai de 0 (colapso total) a 1 (exatamente em B/k = 0,25), fazendo a produtividade cair linearmente à medida que o estoque se aproxima do colapso — mas sem impor um efeito Allee forte (não há recrutamento zero acima de B/k = 0). É esse detalhe de implementação que aparece, quase palavra por palavra, na equação de processo do código JAGS na Seção 4.</w:t>
      </w:r>
    </w:p>
    <w:p>
      <w:pPr>
        <w:pStyle w:val="Heading1"/>
        <w:spacing w:after="160" w:before="360"/>
      </w:pPr>
      <w:r>
        <w:t xml:space="preserve">3. O motor “clássico” do CMSY: filtragem Monte Carlo de pares r-k</w:t>
      </w:r>
    </w:p>
    <w:p>
      <w:pPr>
        <w:spacing w:after="160" w:line="276"/>
      </w:pPr>
      <w:r>
        <w:rPr>
          <w:rFonts w:ascii="Calibri" w:cs="Calibri" w:eastAsia="Calibri" w:hAnsi="Calibri"/>
          <w:sz w:val="22"/>
          <w:szCs w:val="22"/>
        </w:rPr>
        <w:t xml:space="preserve">Antes de qualquer MCMC ou Bayes, o CMSY resolve o problema por força bruta guiada por prioris. O algoritmo, resumido:</w:t>
      </w:r>
    </w:p>
    <w:p>
      <w:pPr>
        <w:pStyle w:val="ListParagraph"/>
        <w:numPr>
          <w:ilvl w:val="0"/>
          <w:numId w:val="1"/>
        </w:numPr>
        <w:spacing w:after="100" w:line="276"/>
      </w:pPr>
      <w:r>
        <w:rPr>
          <w:rFonts w:ascii="Calibri" w:cs="Calibri" w:eastAsia="Calibri" w:hAnsi="Calibri"/>
          <w:sz w:val="22"/>
          <w:szCs w:val="22"/>
        </w:rPr>
        <w:t xml:space="preserve">1. Definir um intervalo priori para r a partir da categoria de resiliência da espécie (Tabela 1).</w:t>
      </w:r>
    </w:p>
    <w:p>
      <w:pPr>
        <w:pStyle w:val="ListParagraph"/>
        <w:numPr>
          <w:ilvl w:val="0"/>
          <w:numId w:val="1"/>
        </w:numPr>
        <w:spacing w:after="100" w:line="276"/>
      </w:pPr>
      <w:r>
        <w:rPr>
          <w:rFonts w:ascii="Calibri" w:cs="Calibri" w:eastAsia="Calibri" w:hAnsi="Calibri"/>
          <w:sz w:val="22"/>
          <w:szCs w:val="22"/>
        </w:rPr>
        <w:t xml:space="preserve">2. Definir um intervalo priori para k a partir da captura máxima observada e do próprio intervalo de r (Eq. 3/4) — a lógica é que a captura máxima nunca pode ser uma fração grande demais de k, senão a pescaria já teria varrido a população inteira em um único ano.</w:t>
      </w:r>
    </w:p>
    <w:p>
      <w:pPr>
        <w:pStyle w:val="ListParagraph"/>
        <w:numPr>
          <w:ilvl w:val="0"/>
          <w:numId w:val="1"/>
        </w:numPr>
        <w:spacing w:after="100" w:line="276"/>
      </w:pPr>
      <w:r>
        <w:rPr>
          <w:rFonts w:ascii="Calibri" w:cs="Calibri" w:eastAsia="Calibri" w:hAnsi="Calibri"/>
          <w:sz w:val="22"/>
          <w:szCs w:val="22"/>
        </w:rPr>
        <w:t xml:space="preserve">3. Definir intervalos prioris de biomassa relativa (B/k) no primeiro ano, opcionalmente em um ano intermediário, e no último ano da série (Tabela 2).</w:t>
      </w:r>
    </w:p>
    <w:p>
      <w:pPr>
        <w:pStyle w:val="ListParagraph"/>
        <w:numPr>
          <w:ilvl w:val="0"/>
          <w:numId w:val="1"/>
        </w:numPr>
        <w:spacing w:after="100" w:line="276"/>
      </w:pPr>
      <w:r>
        <w:rPr>
          <w:rFonts w:ascii="Calibri" w:cs="Calibri" w:eastAsia="Calibri" w:hAnsi="Calibri"/>
          <w:sz w:val="22"/>
          <w:szCs w:val="22"/>
        </w:rPr>
        <w:t xml:space="preserve">4. Sortear milhares de pares aleatórios (r, k) dentro dos intervalos, simular a biomassa ano a ano pela Eq. 1/2, e manter só os pares em que a biomassa nunca cai abaixo de 0,01·k, nunca ultrapassa k, e cai dentro da janela priori de B/k nos anos-âncora (inicial, intermediário, final).</w:t>
      </w:r>
    </w:p>
    <w:p>
      <w:pPr>
        <w:pStyle w:val="ListParagraph"/>
        <w:numPr>
          <w:ilvl w:val="0"/>
          <w:numId w:val="1"/>
        </w:numPr>
        <w:spacing w:after="100" w:line="276"/>
      </w:pPr>
      <w:r>
        <w:rPr>
          <w:rFonts w:ascii="Calibri" w:cs="Calibri" w:eastAsia="Calibri" w:hAnsi="Calibri"/>
          <w:sz w:val="22"/>
          <w:szCs w:val="22"/>
        </w:rPr>
        <w:t xml:space="preserve">5. Entre os pares viáveis, estimar r pelo 75º percentil dos valores centrais de faixas (bins) ocupadas em espaço logarítmico — perto da ponta do triângulo, não do centro — e k por uma regressão de log(k) contra log(r) com inclinação fixa em −1 (porque todo par sobre a mesma reta MSY = rk/4 produz o mesmo MSY).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Resiliência</w:t>
            </w:r>
          </w:p>
        </w:tc>
        <w:tc>
          <w:tcPr>
            <w:tcW w:type="dxa" w:w="45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Faixa de r (ano⁻¹)</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Alta</w:t>
            </w:r>
          </w:p>
        </w:tc>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0,6 – 1,5</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Média</w:t>
            </w:r>
          </w:p>
        </w:tc>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0,2 – 0,8</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Baixa</w:t>
            </w:r>
          </w:p>
        </w:tc>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0,05 – 0,5</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Muito baixa</w:t>
            </w:r>
          </w:p>
        </w:tc>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0,015 – 0,1</w:t>
            </w:r>
          </w:p>
        </w:tc>
      </w:tr>
    </w:tbl>
    <w:p>
      <w:pPr>
        <w:spacing w:after="160" w:line="276"/>
      </w:pPr>
      <w:r>
        <w:rPr>
          <w:rFonts w:ascii="Calibri" w:cs="Calibri" w:eastAsia="Calibri" w:hAnsi="Calibri"/>
          <w:i/>
          <w:iCs/>
          <w:sz w:val="22"/>
          <w:szCs w:val="22"/>
        </w:rPr>
        <w:t xml:space="preserve">Tabela 1. </w:t>
      </w:r>
      <w:r>
        <w:rPr>
          <w:rFonts w:ascii="Calibri" w:cs="Calibri" w:eastAsia="Calibri" w:hAnsi="Calibri"/>
          <w:sz w:val="22"/>
          <w:szCs w:val="22"/>
        </w:rPr>
        <w:t xml:space="preserve">Faixas priori de r por categoria de resiliência do FishBase (Froese et al., 2017).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Priori de biomassa</w:t>
            </w:r>
          </w:p>
        </w:tc>
        <w:tc>
          <w:tcPr>
            <w:tcW w:type="dxa" w:w="45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B/k assumido</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Baixa</w:t>
            </w:r>
          </w:p>
        </w:tc>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0,01 – 0,4</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Média</w:t>
            </w:r>
          </w:p>
        </w:tc>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0,2 – 0,6</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Alta</w:t>
            </w:r>
          </w:p>
        </w:tc>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0,5 – 0,9</w:t>
            </w:r>
          </w:p>
        </w:tc>
      </w:tr>
    </w:tbl>
    <w:p>
      <w:pPr>
        <w:spacing w:after="160" w:line="276"/>
      </w:pPr>
      <w:r>
        <w:rPr>
          <w:rFonts w:ascii="Calibri" w:cs="Calibri" w:eastAsia="Calibri" w:hAnsi="Calibri"/>
          <w:i/>
          <w:iCs/>
          <w:sz w:val="22"/>
          <w:szCs w:val="22"/>
        </w:rPr>
        <w:t xml:space="preserve">Tabela 2. </w:t>
      </w:r>
      <w:r>
        <w:rPr>
          <w:rFonts w:ascii="Calibri" w:cs="Calibri" w:eastAsia="Calibri" w:hAnsi="Calibri"/>
          <w:sz w:val="22"/>
          <w:szCs w:val="22"/>
        </w:rPr>
        <w:t xml:space="preserve">Faixas priori padrão de depleção relativa (Froese et al., 2017), escolhidas conforme o padrão observado na série de capturas.</w:t>
      </w:r>
    </w:p>
    <w:p>
      <w:pPr>
        <w:pStyle w:val="Heading2"/>
        <w:spacing w:after="120" w:before="260"/>
      </w:pPr>
      <w:r>
        <w:t xml:space="preserve">3.1 Exemplo simples, passo a passo, refeito à mão</w:t>
      </w:r>
    </w:p>
    <w:p>
      <w:pPr>
        <w:spacing w:after="160" w:line="276"/>
      </w:pPr>
      <w:r>
        <w:rPr>
          <w:rFonts w:ascii="Calibri" w:cs="Calibri" w:eastAsia="Calibri" w:hAnsi="Calibri"/>
          <w:sz w:val="22"/>
          <w:szCs w:val="22"/>
        </w:rPr>
        <w:t xml:space="preserve">Para tornar isso concreto, eis um exemplo didático completo, com números pequenos, verificados numericamente (não apenas ilustrativos):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
        <w:gridCol w:w="780"/>
        <w:gridCol w:w="780"/>
        <w:gridCol w:w="780"/>
        <w:gridCol w:w="780"/>
        <w:gridCol w:w="780"/>
        <w:gridCol w:w="780"/>
        <w:gridCol w:w="780"/>
        <w:gridCol w:w="780"/>
        <w:gridCol w:w="780"/>
      </w:tblGrid>
      <w:tr>
        <w:tc>
          <w:tcPr>
            <w:tcW w:type="dxa" w:w="12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Ano</w:t>
            </w:r>
          </w:p>
        </w:tc>
        <w:tc>
          <w:tcPr>
            <w:tcW w:type="dxa" w:w="78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1</w:t>
            </w:r>
          </w:p>
        </w:tc>
        <w:tc>
          <w:tcPr>
            <w:tcW w:type="dxa" w:w="78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2</w:t>
            </w:r>
          </w:p>
        </w:tc>
        <w:tc>
          <w:tcPr>
            <w:tcW w:type="dxa" w:w="78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3</w:t>
            </w:r>
          </w:p>
        </w:tc>
        <w:tc>
          <w:tcPr>
            <w:tcW w:type="dxa" w:w="78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4</w:t>
            </w:r>
          </w:p>
        </w:tc>
        <w:tc>
          <w:tcPr>
            <w:tcW w:type="dxa" w:w="78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5</w:t>
            </w:r>
          </w:p>
        </w:tc>
        <w:tc>
          <w:tcPr>
            <w:tcW w:type="dxa" w:w="78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6</w:t>
            </w:r>
          </w:p>
        </w:tc>
        <w:tc>
          <w:tcPr>
            <w:tcW w:type="dxa" w:w="78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7</w:t>
            </w:r>
          </w:p>
        </w:tc>
        <w:tc>
          <w:tcPr>
            <w:tcW w:type="dxa" w:w="78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8</w:t>
            </w:r>
          </w:p>
        </w:tc>
        <w:tc>
          <w:tcPr>
            <w:tcW w:type="dxa" w:w="78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9</w:t>
            </w:r>
          </w:p>
        </w:tc>
        <w:tc>
          <w:tcPr>
            <w:tcW w:type="dxa" w:w="78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10</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20"/>
                <w:szCs w:val="20"/>
              </w:rPr>
              <w:t xml:space="preserve">Captura (t)</w:t>
            </w:r>
          </w:p>
        </w:tc>
        <w:tc>
          <w:tcPr>
            <w:tcW w:type="dxa" w:w="780"/>
            <w:tcMar>
              <w:top w:type="dxa" w:w="80"/>
              <w:left w:type="dxa" w:w="100"/>
              <w:bottom w:type="dxa" w:w="80"/>
              <w:right w:type="dxa" w:w="100"/>
            </w:tcMar>
          </w:tcPr>
          <w:p>
            <w:r>
              <w:rPr>
                <w:rFonts w:ascii="Calibri" w:cs="Calibri" w:eastAsia="Calibri" w:hAnsi="Calibri"/>
                <w:b w:val="false"/>
                <w:bCs w:val="false"/>
                <w:color w:val="000000"/>
                <w:sz w:val="20"/>
                <w:szCs w:val="20"/>
              </w:rPr>
              <w:t xml:space="preserve">80</w:t>
            </w:r>
          </w:p>
        </w:tc>
        <w:tc>
          <w:tcPr>
            <w:tcW w:type="dxa" w:w="780"/>
            <w:tcMar>
              <w:top w:type="dxa" w:w="80"/>
              <w:left w:type="dxa" w:w="100"/>
              <w:bottom w:type="dxa" w:w="80"/>
              <w:right w:type="dxa" w:w="100"/>
            </w:tcMar>
          </w:tcPr>
          <w:p>
            <w:r>
              <w:rPr>
                <w:rFonts w:ascii="Calibri" w:cs="Calibri" w:eastAsia="Calibri" w:hAnsi="Calibri"/>
                <w:b w:val="false"/>
                <w:bCs w:val="false"/>
                <w:color w:val="000000"/>
                <w:sz w:val="20"/>
                <w:szCs w:val="20"/>
              </w:rPr>
              <w:t xml:space="preserve">100</w:t>
            </w:r>
          </w:p>
        </w:tc>
        <w:tc>
          <w:tcPr>
            <w:tcW w:type="dxa" w:w="780"/>
            <w:tcMar>
              <w:top w:type="dxa" w:w="80"/>
              <w:left w:type="dxa" w:w="100"/>
              <w:bottom w:type="dxa" w:w="80"/>
              <w:right w:type="dxa" w:w="100"/>
            </w:tcMar>
          </w:tcPr>
          <w:p>
            <w:r>
              <w:rPr>
                <w:rFonts w:ascii="Calibri" w:cs="Calibri" w:eastAsia="Calibri" w:hAnsi="Calibri"/>
                <w:b w:val="false"/>
                <w:bCs w:val="false"/>
                <w:color w:val="000000"/>
                <w:sz w:val="20"/>
                <w:szCs w:val="20"/>
              </w:rPr>
              <w:t xml:space="preserve">120</w:t>
            </w:r>
          </w:p>
        </w:tc>
        <w:tc>
          <w:tcPr>
            <w:tcW w:type="dxa" w:w="780"/>
            <w:tcMar>
              <w:top w:type="dxa" w:w="80"/>
              <w:left w:type="dxa" w:w="100"/>
              <w:bottom w:type="dxa" w:w="80"/>
              <w:right w:type="dxa" w:w="100"/>
            </w:tcMar>
          </w:tcPr>
          <w:p>
            <w:r>
              <w:rPr>
                <w:rFonts w:ascii="Calibri" w:cs="Calibri" w:eastAsia="Calibri" w:hAnsi="Calibri"/>
                <w:b w:val="false"/>
                <w:bCs w:val="false"/>
                <w:color w:val="000000"/>
                <w:sz w:val="20"/>
                <w:szCs w:val="20"/>
              </w:rPr>
              <w:t xml:space="preserve">140</w:t>
            </w:r>
          </w:p>
        </w:tc>
        <w:tc>
          <w:tcPr>
            <w:tcW w:type="dxa" w:w="780"/>
            <w:tcMar>
              <w:top w:type="dxa" w:w="80"/>
              <w:left w:type="dxa" w:w="100"/>
              <w:bottom w:type="dxa" w:w="80"/>
              <w:right w:type="dxa" w:w="100"/>
            </w:tcMar>
          </w:tcPr>
          <w:p>
            <w:r>
              <w:rPr>
                <w:rFonts w:ascii="Calibri" w:cs="Calibri" w:eastAsia="Calibri" w:hAnsi="Calibri"/>
                <w:b w:val="false"/>
                <w:bCs w:val="false"/>
                <w:color w:val="000000"/>
                <w:sz w:val="20"/>
                <w:szCs w:val="20"/>
              </w:rPr>
              <w:t xml:space="preserve">150</w:t>
            </w:r>
          </w:p>
        </w:tc>
        <w:tc>
          <w:tcPr>
            <w:tcW w:type="dxa" w:w="780"/>
            <w:tcMar>
              <w:top w:type="dxa" w:w="80"/>
              <w:left w:type="dxa" w:w="100"/>
              <w:bottom w:type="dxa" w:w="80"/>
              <w:right w:type="dxa" w:w="100"/>
            </w:tcMar>
          </w:tcPr>
          <w:p>
            <w:r>
              <w:rPr>
                <w:rFonts w:ascii="Calibri" w:cs="Calibri" w:eastAsia="Calibri" w:hAnsi="Calibri"/>
                <w:b w:val="false"/>
                <w:bCs w:val="false"/>
                <w:color w:val="000000"/>
                <w:sz w:val="20"/>
                <w:szCs w:val="20"/>
              </w:rPr>
              <w:t xml:space="preserve">140</w:t>
            </w:r>
          </w:p>
        </w:tc>
        <w:tc>
          <w:tcPr>
            <w:tcW w:type="dxa" w:w="780"/>
            <w:tcMar>
              <w:top w:type="dxa" w:w="80"/>
              <w:left w:type="dxa" w:w="100"/>
              <w:bottom w:type="dxa" w:w="80"/>
              <w:right w:type="dxa" w:w="100"/>
            </w:tcMar>
          </w:tcPr>
          <w:p>
            <w:r>
              <w:rPr>
                <w:rFonts w:ascii="Calibri" w:cs="Calibri" w:eastAsia="Calibri" w:hAnsi="Calibri"/>
                <w:b w:val="false"/>
                <w:bCs w:val="false"/>
                <w:color w:val="000000"/>
                <w:sz w:val="20"/>
                <w:szCs w:val="20"/>
              </w:rPr>
              <w:t xml:space="preserve">130</w:t>
            </w:r>
          </w:p>
        </w:tc>
        <w:tc>
          <w:tcPr>
            <w:tcW w:type="dxa" w:w="780"/>
            <w:tcMar>
              <w:top w:type="dxa" w:w="80"/>
              <w:left w:type="dxa" w:w="100"/>
              <w:bottom w:type="dxa" w:w="80"/>
              <w:right w:type="dxa" w:w="100"/>
            </w:tcMar>
          </w:tcPr>
          <w:p>
            <w:r>
              <w:rPr>
                <w:rFonts w:ascii="Calibri" w:cs="Calibri" w:eastAsia="Calibri" w:hAnsi="Calibri"/>
                <w:b w:val="false"/>
                <w:bCs w:val="false"/>
                <w:color w:val="000000"/>
                <w:sz w:val="20"/>
                <w:szCs w:val="20"/>
              </w:rPr>
              <w:t xml:space="preserve">120</w:t>
            </w:r>
          </w:p>
        </w:tc>
        <w:tc>
          <w:tcPr>
            <w:tcW w:type="dxa" w:w="780"/>
            <w:tcMar>
              <w:top w:type="dxa" w:w="80"/>
              <w:left w:type="dxa" w:w="100"/>
              <w:bottom w:type="dxa" w:w="80"/>
              <w:right w:type="dxa" w:w="100"/>
            </w:tcMar>
          </w:tcPr>
          <w:p>
            <w:r>
              <w:rPr>
                <w:rFonts w:ascii="Calibri" w:cs="Calibri" w:eastAsia="Calibri" w:hAnsi="Calibri"/>
                <w:b w:val="false"/>
                <w:bCs w:val="false"/>
                <w:color w:val="000000"/>
                <w:sz w:val="20"/>
                <w:szCs w:val="20"/>
              </w:rPr>
              <w:t xml:space="preserve">110</w:t>
            </w:r>
          </w:p>
        </w:tc>
        <w:tc>
          <w:tcPr>
            <w:tcW w:type="dxa" w:w="780"/>
            <w:tcMar>
              <w:top w:type="dxa" w:w="80"/>
              <w:left w:type="dxa" w:w="100"/>
              <w:bottom w:type="dxa" w:w="80"/>
              <w:right w:type="dxa" w:w="100"/>
            </w:tcMar>
          </w:tcPr>
          <w:p>
            <w:r>
              <w:rPr>
                <w:rFonts w:ascii="Calibri" w:cs="Calibri" w:eastAsia="Calibri" w:hAnsi="Calibri"/>
                <w:b w:val="false"/>
                <w:bCs w:val="false"/>
                <w:color w:val="000000"/>
                <w:sz w:val="20"/>
                <w:szCs w:val="20"/>
              </w:rPr>
              <w:t xml:space="preserve">100</w:t>
            </w:r>
          </w:p>
        </w:tc>
      </w:tr>
    </w:tbl>
    <w:p>
      <w:pPr>
        <w:spacing w:after="160" w:line="276"/>
      </w:pPr>
      <w:r>
        <w:rPr>
          <w:rFonts w:ascii="Calibri" w:cs="Calibri" w:eastAsia="Calibri" w:hAnsi="Calibri"/>
          <w:sz w:val="22"/>
          <w:szCs w:val="22"/>
        </w:rPr>
        <w:t xml:space="preserve">Suponha resiliência “Média” (r entre 0,20 e 0,80/ano) e, para simplificar, priors assumidos diretamente de k entre 200 e 3.000 t, biomassa inicial entre 0,5 e 0,9·k (estoque pouco explorado no início) e biomassa final entre 0,2 e 0,6·k (captura caiu depois do pico em torno do ano 5, um sinal de possível depleção).</w:t>
      </w:r>
    </w:p>
    <w:p>
      <w:pPr>
        <w:spacing w:after="160" w:line="276"/>
      </w:pPr>
      <w:r>
        <w:rPr>
          <w:rFonts w:ascii="Calibri" w:cs="Calibri" w:eastAsia="Calibri" w:hAnsi="Calibri"/>
          <w:sz w:val="22"/>
          <w:szCs w:val="22"/>
        </w:rPr>
        <w:t xml:space="preserve">Testando manualmente cinco pares candidatos (com biomassa inicial fixada em 0,7·k, simulando a Eq. 1 ano a ano):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3600"/>
        <w:gridCol w:w="2400"/>
      </w:tblGrid>
      <w:tr>
        <w:tc>
          <w:tcPr>
            <w:tcW w:type="dxa" w:w="12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r</w:t>
            </w:r>
          </w:p>
        </w:tc>
        <w:tc>
          <w:tcPr>
            <w:tcW w:type="dxa" w:w="12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k (t)</w:t>
            </w:r>
          </w:p>
        </w:tc>
        <w:tc>
          <w:tcPr>
            <w:tcW w:type="dxa" w:w="36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B/k no ano 10</w:t>
            </w:r>
          </w:p>
        </w:tc>
        <w:tc>
          <w:tcPr>
            <w:tcW w:type="dxa" w:w="24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Resultado</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20"/>
                <w:szCs w:val="20"/>
              </w:rPr>
              <w:t xml:space="preserve">0,3</w:t>
            </w:r>
          </w:p>
        </w:tc>
        <w:tc>
          <w:tcPr>
            <w:tcW w:type="dxa" w:w="1200"/>
            <w:tcMar>
              <w:top w:type="dxa" w:w="80"/>
              <w:left w:type="dxa" w:w="100"/>
              <w:bottom w:type="dxa" w:w="80"/>
              <w:right w:type="dxa" w:w="100"/>
            </w:tcMar>
          </w:tcPr>
          <w:p>
            <w:r>
              <w:rPr>
                <w:rFonts w:ascii="Calibri" w:cs="Calibri" w:eastAsia="Calibri" w:hAnsi="Calibri"/>
                <w:b w:val="false"/>
                <w:bCs w:val="false"/>
                <w:color w:val="000000"/>
                <w:sz w:val="20"/>
                <w:szCs w:val="20"/>
              </w:rPr>
              <w:t xml:space="preserve">300</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colapsa (B &lt; 0 já no ano 4)</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REJEITADO</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20"/>
                <w:szCs w:val="20"/>
              </w:rPr>
              <w:t xml:space="preserve">0,3</w:t>
            </w:r>
          </w:p>
        </w:tc>
        <w:tc>
          <w:tcPr>
            <w:tcW w:type="dxa" w:w="1200"/>
            <w:tcMar>
              <w:top w:type="dxa" w:w="80"/>
              <w:left w:type="dxa" w:w="100"/>
              <w:bottom w:type="dxa" w:w="80"/>
              <w:right w:type="dxa" w:w="100"/>
            </w:tcMar>
          </w:tcPr>
          <w:p>
            <w:r>
              <w:rPr>
                <w:rFonts w:ascii="Calibri" w:cs="Calibri" w:eastAsia="Calibri" w:hAnsi="Calibri"/>
                <w:b w:val="false"/>
                <w:bCs w:val="false"/>
                <w:color w:val="000000"/>
                <w:sz w:val="20"/>
                <w:szCs w:val="20"/>
              </w:rPr>
              <w:t xml:space="preserve">800</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colapsa perto do fim (B &lt; 0 no ano 9)</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REJEITADO</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20"/>
                <w:szCs w:val="20"/>
              </w:rPr>
              <w:t xml:space="preserve">0,6</w:t>
            </w:r>
          </w:p>
        </w:tc>
        <w:tc>
          <w:tcPr>
            <w:tcW w:type="dxa" w:w="1200"/>
            <w:tcMar>
              <w:top w:type="dxa" w:w="80"/>
              <w:left w:type="dxa" w:w="100"/>
              <w:bottom w:type="dxa" w:w="80"/>
              <w:right w:type="dxa" w:w="100"/>
            </w:tcMar>
          </w:tcPr>
          <w:p>
            <w:r>
              <w:rPr>
                <w:rFonts w:ascii="Calibri" w:cs="Calibri" w:eastAsia="Calibri" w:hAnsi="Calibri"/>
                <w:b w:val="false"/>
                <w:bCs w:val="false"/>
                <w:color w:val="000000"/>
                <w:sz w:val="20"/>
                <w:szCs w:val="20"/>
              </w:rPr>
              <w:t xml:space="preserve">300</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colapsa (B &lt; 0 já no ano 5)</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REJEITADO</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20"/>
                <w:szCs w:val="20"/>
              </w:rPr>
              <w:t xml:space="preserve">0,6</w:t>
            </w:r>
          </w:p>
        </w:tc>
        <w:tc>
          <w:tcPr>
            <w:tcW w:type="dxa" w:w="1200"/>
            <w:tcMar>
              <w:top w:type="dxa" w:w="80"/>
              <w:left w:type="dxa" w:w="100"/>
              <w:bottom w:type="dxa" w:w="80"/>
              <w:right w:type="dxa" w:w="100"/>
            </w:tcMar>
          </w:tcPr>
          <w:p>
            <w:r>
              <w:rPr>
                <w:rFonts w:ascii="Calibri" w:cs="Calibri" w:eastAsia="Calibri" w:hAnsi="Calibri"/>
                <w:b w:val="false"/>
                <w:bCs w:val="false"/>
                <w:color w:val="000000"/>
                <w:sz w:val="20"/>
                <w:szCs w:val="20"/>
              </w:rPr>
              <w:t xml:space="preserve">800</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0,56</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VIÁVEL</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20"/>
                <w:szCs w:val="20"/>
              </w:rPr>
              <w:t xml:space="preserve">0,6</w:t>
            </w:r>
          </w:p>
        </w:tc>
        <w:tc>
          <w:tcPr>
            <w:tcW w:type="dxa" w:w="1200"/>
            <w:tcMar>
              <w:top w:type="dxa" w:w="80"/>
              <w:left w:type="dxa" w:w="100"/>
              <w:bottom w:type="dxa" w:w="80"/>
              <w:right w:type="dxa" w:w="100"/>
            </w:tcMar>
          </w:tcPr>
          <w:p>
            <w:r>
              <w:rPr>
                <w:rFonts w:ascii="Calibri" w:cs="Calibri" w:eastAsia="Calibri" w:hAnsi="Calibri"/>
                <w:b w:val="false"/>
                <w:bCs w:val="false"/>
                <w:color w:val="000000"/>
                <w:sz w:val="20"/>
                <w:szCs w:val="20"/>
              </w:rPr>
              <w:t xml:space="preserve">2000</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0,89 — fora da janela [0,2–0,6]</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REJEITADO</w:t>
            </w:r>
          </w:p>
        </w:tc>
      </w:tr>
    </w:tbl>
    <w:p>
      <w:pPr>
        <w:spacing w:after="160" w:line="276"/>
      </w:pPr>
      <w:r>
        <w:rPr>
          <w:rFonts w:ascii="Calibri" w:cs="Calibri" w:eastAsia="Calibri" w:hAnsi="Calibri"/>
          <w:sz w:val="22"/>
          <w:szCs w:val="22"/>
        </w:rPr>
        <w:t xml:space="preserve">O par (r=0,6; k=800) sobrevive porque a população é produtiva o bastante (r alto) e grande o bastante (k=800) para absorver capturas de até 150 t/ano sem colapsar, terminando moderadamente depletada. Note que (r=0,6; k=2000) NÃO colapsa — na verdade sobra biomassa de sobra — mas é rejeitado mesmo assim, porque terminaria bem acima da janela de depleção final assumida: “não colapsar” não basta, o ponto final também precisa bater com a priori.</w:t>
      </w:r>
    </w:p>
    <w:p>
      <w:pPr>
        <w:spacing w:after="160" w:line="276"/>
      </w:pPr>
      <w:r>
        <w:rPr>
          <w:rFonts w:ascii="Calibri" w:cs="Calibri" w:eastAsia="Calibri" w:hAnsi="Calibri"/>
          <w:sz w:val="22"/>
          <w:szCs w:val="22"/>
        </w:rPr>
        <w:t xml:space="preserve">Repetindo essa varredura de forma sistemática (aqui, uma grade fina de r e k, no lugar do sorteio aleatório que o CMSY de fato usa — a lógica de filtragem é idêntica) e olhando a faixa de k que sobrevive para cada valor de r, aparece exatamente o formato “triangular” descrito por Martell &amp; Froese (2013) e Froese et al. (2017):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r</w:t>
            </w:r>
          </w:p>
        </w:tc>
        <w:tc>
          <w:tcPr>
            <w:tcW w:type="dxa" w:w="24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k mínimo viável</w:t>
            </w:r>
          </w:p>
        </w:tc>
        <w:tc>
          <w:tcPr>
            <w:tcW w:type="dxa" w:w="24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k máximo viável</w:t>
            </w:r>
          </w:p>
        </w:tc>
        <w:tc>
          <w:tcPr>
            <w:tcW w:type="dxa" w:w="24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amplitude</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0,20</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1.220</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2.160</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940</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0,40</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840</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1.200</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360</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0,60</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640</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820</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180</w:t>
            </w:r>
          </w:p>
        </w:tc>
      </w:tr>
      <w:tr>
        <w:tc>
          <w:tcPr>
            <w:tcW w:type="dxa" w:w="1800"/>
            <w:tcMar>
              <w:top w:type="dxa" w:w="80"/>
              <w:left w:type="dxa" w:w="100"/>
              <w:bottom w:type="dxa" w:w="80"/>
              <w:right w:type="dxa" w:w="100"/>
            </w:tcMar>
          </w:tcPr>
          <w:p>
            <w:r>
              <w:rPr>
                <w:rFonts w:ascii="Calibri" w:cs="Calibri" w:eastAsia="Calibri" w:hAnsi="Calibri"/>
                <w:b w:val="false"/>
                <w:bCs w:val="false"/>
                <w:color w:val="000000"/>
                <w:sz w:val="20"/>
                <w:szCs w:val="20"/>
              </w:rPr>
              <w:t xml:space="preserve">0,80</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520</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640</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120</w:t>
            </w:r>
          </w:p>
        </w:tc>
      </w:tr>
    </w:tbl>
    <w:p>
      <w:pPr>
        <w:spacing w:after="160" w:line="276"/>
      </w:pPr>
      <w:r>
        <w:rPr>
          <w:rFonts w:ascii="Calibri" w:cs="Calibri" w:eastAsia="Calibri" w:hAnsi="Calibri"/>
          <w:sz w:val="22"/>
          <w:szCs w:val="22"/>
        </w:rPr>
        <w:t xml:space="preserve">Em r baixo (0,20), uma faixa larga de k funciona (940 t de amplitude) — populações pouco produtivas só sustentam essas capturas se forem grandes, mas “grande” ainda cobre um leque amplo. Em r alto (0,80), a faixa de k viável encolhe para um décimo disso (120 t): só um k bem específico, relativamente pequeno, é compatível com uma população tão produtiva não ter simplesmente absorvido essas capturas sem qualquer sinal de depleção. É esse afunilamento, calculado aqui com um exemplo mínimo, que forma a nuvem triangular em espaço log(r)×log(k) que aparece em toda figura de “triângulo do CMSY” na literatura (p.ex. Fig. 1 de Froese et al., 2017).</w:t>
      </w:r>
    </w:p>
    <w:p>
      <w:pPr>
        <w:spacing w:after="160" w:line="276"/>
      </w:pPr>
      <w:r>
        <w:rPr>
          <w:rFonts w:ascii="Calibri" w:cs="Calibri" w:eastAsia="Calibri" w:hAnsi="Calibri"/>
          <w:sz w:val="22"/>
          <w:szCs w:val="22"/>
        </w:rPr>
        <w:t xml:space="preserve">Aplicando o procedimento de estimativa (75º percentil dos pontos médios das faixas de r ocupadas, com 15 faixas): r estimado ≈ 0,55/ano; regredindo k contra esse r na reta MSY = rk/4 entre os pares com r ≥ 0,55, k estimado ≈ 675 t. Daí:</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Quantidade</w:t>
            </w:r>
          </w:p>
        </w:tc>
        <w:tc>
          <w:tcPr>
            <w:tcW w:type="dxa" w:w="60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Valor estimado</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r</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 0,55 /ano</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k</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 675 t</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MSY = rk/4</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 93 t/ano</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Bmsy = k/2</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 338 t</w:t>
            </w:r>
          </w:p>
        </w:tc>
      </w:tr>
      <w:tr>
        <w:tc>
          <w:tcPr>
            <w:tcW w:type="dxa" w:w="3000"/>
            <w:tcMar>
              <w:top w:type="dxa" w:w="80"/>
              <w:left w:type="dxa" w:w="100"/>
              <w:bottom w:type="dxa" w:w="80"/>
              <w:right w:type="dxa" w:w="100"/>
            </w:tcMar>
          </w:tcPr>
          <w:p>
            <w:r>
              <w:rPr>
                <w:rFonts w:ascii="Calibri" w:cs="Calibri" w:eastAsia="Calibri" w:hAnsi="Calibri"/>
                <w:b w:val="false"/>
                <w:bCs w:val="false"/>
                <w:color w:val="000000"/>
                <w:sz w:val="20"/>
                <w:szCs w:val="20"/>
              </w:rPr>
              <w:t xml:space="preserve">Fmsy = r/2</w:t>
            </w:r>
          </w:p>
        </w:tc>
        <w:tc>
          <w:tcPr>
            <w:tcW w:type="dxa" w:w="6000"/>
            <w:tcMar>
              <w:top w:type="dxa" w:w="80"/>
              <w:left w:type="dxa" w:w="100"/>
              <w:bottom w:type="dxa" w:w="80"/>
              <w:right w:type="dxa" w:w="100"/>
            </w:tcMar>
          </w:tcPr>
          <w:p>
            <w:r>
              <w:rPr>
                <w:rFonts w:ascii="Calibri" w:cs="Calibri" w:eastAsia="Calibri" w:hAnsi="Calibri"/>
                <w:b w:val="false"/>
                <w:bCs w:val="false"/>
                <w:color w:val="000000"/>
                <w:sz w:val="20"/>
                <w:szCs w:val="20"/>
              </w:rPr>
              <w:t xml:space="preserve">≈ 0,28 /ano</w:t>
            </w:r>
          </w:p>
        </w:tc>
      </w:tr>
    </w:tbl>
    <w:p>
      <w:pPr>
        <w:spacing w:after="160" w:line="276"/>
      </w:pPr>
      <w:r>
        <w:rPr>
          <w:rFonts w:ascii="Calibri" w:cs="Calibri" w:eastAsia="Calibri" w:hAnsi="Calibri"/>
          <w:sz w:val="22"/>
          <w:szCs w:val="22"/>
        </w:rPr>
        <w:t xml:space="preserve">Repare que várias capturas anuais da série de exemplo (até 150 t) ficaram bem acima do MSY estimado (93 t/ano) — é exatamente esse tipo de leitura (“a captura observada excedeu nossa melhor estimativa de MSY em vários anos”) que o CMSY usa como evidência indireta de sobrepesca, mesmo sem nenhum dado de abundância. O método real reporta também um intervalo de confiança de 95% (obtido dos percentis 51,25 e 98,75 dos pontos médios de faixas ocupadas) em vez de um único número — este exemplo simplificado fixou a biomassa inicial em um único valor (0,7·k) só para tornar as contas rastreáveis à mão.</w:t>
      </w:r>
    </w:p>
    <w:p>
      <w:r>
        <w:br w:type="page"/>
      </w:r>
    </w:p>
    <w:p>
      <w:pPr>
        <w:pStyle w:val="Heading1"/>
        <w:spacing w:after="160" w:before="360"/>
      </w:pPr>
      <w:r>
        <w:t xml:space="preserve">4. A extensão bayesiana: o Modelo Bayesiano Espaço-Estado (BSM)</w:t>
      </w:r>
    </w:p>
    <w:p>
      <w:pPr>
        <w:spacing w:after="160" w:line="276"/>
      </w:pPr>
      <w:r>
        <w:rPr>
          <w:rFonts w:ascii="Calibri" w:cs="Calibri" w:eastAsia="Calibri" w:hAnsi="Calibri"/>
          <w:sz w:val="22"/>
          <w:szCs w:val="22"/>
        </w:rPr>
        <w:t xml:space="preserve">A filtragem da Seção 3 responde “esse par (r,k) é possível?” com um </w:t>
      </w:r>
      <w:r>
        <w:rPr>
          <w:rFonts w:ascii="Calibri" w:cs="Calibri" w:eastAsia="Calibri" w:hAnsi="Calibri"/>
          <w:b/>
          <w:bCs/>
          <w:sz w:val="22"/>
          <w:szCs w:val="22"/>
        </w:rPr>
        <w:t xml:space="preserve">sim ou não</w:t>
      </w:r>
      <w:r>
        <w:rPr>
          <w:rFonts w:ascii="Calibri" w:cs="Calibri" w:eastAsia="Calibri" w:hAnsi="Calibri"/>
          <w:sz w:val="22"/>
          <w:szCs w:val="22"/>
        </w:rPr>
        <w:t xml:space="preserve">. O BSM (e o CMSY++, que é o BSM rodado sem dados reais de abundância — Seção 4.5) responde a uma pergunta mais rica: “dado tudo que sei, qual é a </w:t>
      </w:r>
      <w:r>
        <w:rPr>
          <w:rFonts w:ascii="Calibri" w:cs="Calibri" w:eastAsia="Calibri" w:hAnsi="Calibri"/>
          <w:b/>
          <w:bCs/>
          <w:sz w:val="22"/>
          <w:szCs w:val="22"/>
        </w:rPr>
        <w:t xml:space="preserve">distribuição completa de probabilidade</w:t>
      </w:r>
      <w:r>
        <w:rPr>
          <w:rFonts w:ascii="Calibri" w:cs="Calibri" w:eastAsia="Calibri" w:hAnsi="Calibri"/>
          <w:sz w:val="22"/>
          <w:szCs w:val="22"/>
        </w:rPr>
        <w:t xml:space="preserve"> de r, k, e da biomassa de cada ano, simultaneamente?”. Essa é a essência de um modelo espaço-estado (state-space model).</w:t>
      </w:r>
    </w:p>
    <w:p>
      <w:pPr>
        <w:pStyle w:val="Heading2"/>
        <w:spacing w:after="120" w:before="260"/>
      </w:pPr>
      <w:r>
        <w:t xml:space="preserve">4.1 O que é “espaço de estados”, em termos simples</w:t>
      </w:r>
    </w:p>
    <w:p>
      <w:pPr>
        <w:spacing w:after="160" w:line="276"/>
      </w:pPr>
      <w:r>
        <w:rPr>
          <w:rFonts w:ascii="Calibri" w:cs="Calibri" w:eastAsia="Calibri" w:hAnsi="Calibri"/>
          <w:sz w:val="22"/>
          <w:szCs w:val="22"/>
        </w:rPr>
        <w:t xml:space="preserve">Um modelo espaço-estado tem duas partes que não devem ser confundidas:</w:t>
      </w:r>
    </w:p>
    <w:p>
      <w:pPr>
        <w:pStyle w:val="ListParagraph"/>
        <w:numPr>
          <w:ilvl w:val="0"/>
          <w:numId w:val="1"/>
        </w:numPr>
        <w:spacing w:after="100" w:line="276"/>
      </w:pPr>
      <w:r>
        <w:rPr>
          <w:rFonts w:ascii="Calibri" w:cs="Calibri" w:eastAsia="Calibri" w:hAnsi="Calibri"/>
          <w:b/>
          <w:bCs/>
          <w:sz w:val="22"/>
          <w:szCs w:val="22"/>
        </w:rPr>
        <w:t xml:space="preserve">Equação de processo (o “estado”, não observado diretamente): </w:t>
      </w:r>
      <w:r>
        <w:rPr>
          <w:rFonts w:ascii="Calibri" w:cs="Calibri" w:eastAsia="Calibri" w:hAnsi="Calibri"/>
          <w:sz w:val="22"/>
          <w:szCs w:val="22"/>
        </w:rPr>
        <w:t xml:space="preserve">a verdadeira biomassa relativa P(t) = B(t)/k evolui de um ano para o outro seguindo a dinâmica populacional (Eq. 1/2), mas com um ruído aleatório genuíno — o erro de processo — porque a própria natureza tem variabilidade que nenhum modelo determinístico captura (recrutamento variável, mudanças ambientais, etc.).</w:t>
      </w:r>
    </w:p>
    <w:p>
      <w:pPr>
        <w:pStyle w:val="ListParagraph"/>
        <w:numPr>
          <w:ilvl w:val="0"/>
          <w:numId w:val="1"/>
        </w:numPr>
        <w:spacing w:after="100" w:line="276"/>
      </w:pPr>
      <w:r>
        <w:rPr>
          <w:rFonts w:ascii="Calibri" w:cs="Calibri" w:eastAsia="Calibri" w:hAnsi="Calibri"/>
          <w:b/>
          <w:bCs/>
          <w:sz w:val="22"/>
          <w:szCs w:val="22"/>
        </w:rPr>
        <w:t xml:space="preserve">Equação de observação (o que de fato medimos): </w:t>
      </w:r>
      <w:r>
        <w:rPr>
          <w:rFonts w:ascii="Calibri" w:cs="Calibri" w:eastAsia="Calibri" w:hAnsi="Calibri"/>
          <w:sz w:val="22"/>
          <w:szCs w:val="22"/>
        </w:rPr>
        <w:t xml:space="preserve">o que se observa (CPUE, um índice de captura por unidade de esforço, ou nada, no caso catch-only) é uma medida indireta e ruidosa do estado verdadeiro, ligada a ele por um coeficiente de capturabilidade q e por um erro de observação separado — o erro de amostragem, de padronização, de mudança de comportamento da frota, etc.</w:t>
      </w:r>
    </w:p>
    <w:p>
      <w:pPr>
        <w:spacing w:after="160" w:line="276"/>
      </w:pPr>
      <w:r>
        <w:rPr>
          <w:rFonts w:ascii="Calibri" w:cs="Calibri" w:eastAsia="Calibri" w:hAnsi="Calibri"/>
          <w:sz w:val="22"/>
          <w:szCs w:val="22"/>
        </w:rPr>
        <w:t xml:space="preserve">A separação entre esses dois tipos de erro (processo vs. observação) é o que diferencia um modelo espaço-estado de um modelo de série temporal comum: ela permite, por exemplo, que um ano de índice de abundância visivelmente ruidoso não “contamine” a trajetória de biomassa inteira, porque o modelo sabe distinguir “isso é ruído de medição” de “isso é uma mudança real na população”. A estimação bayesiana recupera a distribuição posterior conjunta de tudo — estados de cada ano e parâmetros — ao mesmo tempo, via MCMC.</w:t>
      </w:r>
    </w:p>
    <w:p>
      <w:pPr>
        <w:pStyle w:val="Heading2"/>
        <w:spacing w:after="120" w:before="260"/>
      </w:pPr>
      <w:r>
        <w:t xml:space="preserve">4.2 Por que JAGS, e o que ele faz</w:t>
      </w:r>
    </w:p>
    <w:p>
      <w:pPr>
        <w:spacing w:after="160" w:line="276"/>
      </w:pPr>
      <w:r>
        <w:rPr>
          <w:rFonts w:ascii="Calibri" w:cs="Calibri" w:eastAsia="Calibri" w:hAnsi="Calibri"/>
          <w:sz w:val="22"/>
          <w:szCs w:val="22"/>
        </w:rPr>
        <w:t xml:space="preserve">JAGS (Plummer, 2003) é um software que recebe um modelo escrito na linguagem declarativa BUGS — uma lista de relações estocásticas, cada uma marcada com “~” — e roda </w:t>
      </w:r>
      <w:r>
        <w:rPr>
          <w:rFonts w:ascii="Calibri" w:cs="Calibri" w:eastAsia="Calibri" w:hAnsi="Calibri"/>
          <w:b/>
          <w:bCs/>
          <w:sz w:val="22"/>
          <w:szCs w:val="22"/>
        </w:rPr>
        <w:t xml:space="preserve">Markov Chain Monte Carlo (MCMC)</w:t>
      </w:r>
      <w:r>
        <w:rPr>
          <w:rFonts w:ascii="Calibri" w:cs="Calibri" w:eastAsia="Calibri" w:hAnsi="Calibri"/>
          <w:sz w:val="22"/>
          <w:szCs w:val="22"/>
        </w:rPr>
        <w:t xml:space="preserve">, via amostragem de Gibbs, para gerar milhares de amostras da distribuição posterior conjunta de todos os parâmetros e estados não observados. O script do usuário monta esse modelo como uma string R, escreve-o em um arquivo ("r2jags.bug") e chama o pacote </w:t>
      </w:r>
      <w:r>
        <w:rPr>
          <w:rFonts w:ascii="Calibri" w:cs="Calibri" w:eastAsia="Calibri" w:hAnsi="Calibri"/>
          <w:b/>
          <w:bCs/>
          <w:sz w:val="22"/>
          <w:szCs w:val="22"/>
        </w:rPr>
        <w:t xml:space="preserve">R2jags</w:t>
      </w:r>
      <w:r>
        <w:rPr>
          <w:rFonts w:ascii="Calibri" w:cs="Calibri" w:eastAsia="Calibri" w:hAnsi="Calibri"/>
          <w:sz w:val="22"/>
          <w:szCs w:val="22"/>
        </w:rPr>
        <w:t xml:space="preserve"> (função </w:t>
      </w:r>
      <w:r>
        <w:rPr>
          <w:rFonts w:ascii="Calibri" w:cs="Calibri" w:eastAsia="Calibri" w:hAnsi="Calibri"/>
          <w:i/>
          <w:iCs/>
          <w:sz w:val="22"/>
          <w:szCs w:val="22"/>
        </w:rPr>
        <w:t xml:space="preserve">jags.parallel()</w:t>
      </w:r>
      <w:r>
        <w:rPr>
          <w:rFonts w:ascii="Calibri" w:cs="Calibri" w:eastAsia="Calibri" w:hAnsi="Calibri"/>
          <w:sz w:val="22"/>
          <w:szCs w:val="22"/>
        </w:rPr>
        <w:t xml:space="preserve">) para rodar 3 cadeias independentes em paralelo, descartar as primeiras 30.000 iterações como aquecimento (burn-in, até a cadeia estabilizar na distribuição-alvo) e manter só 1 a cada 10 iterações depois disso (thinning, para reduzir a autocorrelação entre amostras guardadas).</w:t>
      </w:r>
    </w:p>
    <w:p>
      <w:pPr>
        <w:pStyle w:val="Heading2"/>
        <w:spacing w:after="120" w:before="260"/>
      </w:pPr>
      <w:r>
        <w:t xml:space="preserve">4.3 O modelo JAGS explicado bloco a bloco (o código real do seu script)</w:t>
      </w:r>
    </w:p>
    <w:p>
      <w:pPr>
        <w:spacing w:after="160" w:line="276"/>
      </w:pPr>
      <w:r>
        <w:rPr>
          <w:rFonts w:ascii="Calibri" w:cs="Calibri" w:eastAsia="Calibri" w:hAnsi="Calibri"/>
          <w:sz w:val="22"/>
          <w:szCs w:val="22"/>
        </w:rPr>
        <w:t xml:space="preserve">A seguir, o modelo BUGS efetivamente escrito pelo script (função bsm(), Catch_models.R), com cada bloco comentado.</w:t>
      </w:r>
    </w:p>
    <w:p>
      <w:pPr>
        <w:pStyle w:val="Heading3"/>
        <w:spacing w:after="100" w:before="200"/>
      </w:pPr>
      <w:r>
        <w:t xml:space="preserve">(a) O erro na própria captura reportada</w:t>
      </w:r>
    </w:p>
    <w:p>
      <w:pPr>
        <w:shd w:fill="F4F4F4" w:val="clear"/>
        <w:spacing w:after="200"/>
      </w:pPr>
      <w:r>
        <w:rPr>
          <w:rFonts w:ascii="Consolas" w:cs="Consolas" w:eastAsia="Consolas" w:hAnsi="Consolas"/>
          <w:sz w:val="18"/>
          <w:szCs w:val="18"/>
        </w:rPr>
        <w:t xml:space="preserve">for(t in 1:nyr){</w:t>
      </w:r>
      <w:r>
        <w:rPr>
          <w:rFonts w:ascii="Consolas" w:cs="Consolas" w:eastAsia="Consolas" w:hAnsi="Consolas"/>
          <w:sz w:val="18"/>
          <w:szCs w:val="18"/>
        </w:rPr>
        <w:br/>
        <w:t xml:space="preserve">  ct.jags[t] ~ dlnorm(log(ct[t]), pow(CV.C,-2))</w:t>
      </w:r>
      <w:r>
        <w:rPr>
          <w:rFonts w:ascii="Consolas" w:cs="Consolas" w:eastAsia="Consolas" w:hAnsi="Consolas"/>
          <w:sz w:val="18"/>
          <w:szCs w:val="18"/>
        </w:rPr>
        <w:br/>
        <w:t xml:space="preserve">}</w:t>
      </w:r>
    </w:p>
    <w:p>
      <w:pPr>
        <w:spacing w:after="160" w:line="276"/>
      </w:pPr>
      <w:r>
        <w:rPr>
          <w:rFonts w:ascii="Calibri" w:cs="Calibri" w:eastAsia="Calibri" w:hAnsi="Calibri"/>
          <w:sz w:val="22"/>
          <w:szCs w:val="22"/>
        </w:rPr>
        <w:t xml:space="preserve">Mesmo a captura “conhecida” recebe um pequeno erro log-normal (CV.C) em vez de ser tratada como um número exato — estatísticas de desembarque também têm ruído de registro.</w:t>
      </w:r>
    </w:p>
    <w:p>
      <w:pPr>
        <w:pStyle w:val="Heading3"/>
        <w:spacing w:after="100" w:before="200"/>
      </w:pPr>
      <w:r>
        <w:t xml:space="preserve">(b) O estado inicial e a equação de processo (com depensação)</w:t>
      </w:r>
    </w:p>
    <w:p>
      <w:pPr>
        <w:shd w:fill="F4F4F4" w:val="clear"/>
        <w:spacing w:after="200"/>
      </w:pPr>
      <w:r>
        <w:rPr>
          <w:rFonts w:ascii="Consolas" w:cs="Consolas" w:eastAsia="Consolas" w:hAnsi="Consolas"/>
          <w:sz w:val="18"/>
          <w:szCs w:val="18"/>
        </w:rPr>
        <w:t xml:space="preserve">Pmean[1] &lt;- log(alpha)</w:t>
      </w:r>
      <w:r>
        <w:rPr>
          <w:rFonts w:ascii="Consolas" w:cs="Consolas" w:eastAsia="Consolas" w:hAnsi="Consolas"/>
          <w:sz w:val="18"/>
          <w:szCs w:val="18"/>
        </w:rPr>
        <w:br/>
        <w:t xml:space="preserve">P[1]     ~ dlnorm(Pmean[1], itau2)</w:t>
      </w:r>
      <w:r>
        <w:rPr>
          <w:rFonts w:ascii="Consolas" w:cs="Consolas" w:eastAsia="Consolas" w:hAnsi="Consolas"/>
          <w:sz w:val="18"/>
          <w:szCs w:val="18"/>
        </w:rPr>
        <w:br/>
        <w:t xml:space="preserve">for (t in 2:nyr) {</w:t>
      </w:r>
      <w:r>
        <w:rPr>
          <w:rFonts w:ascii="Consolas" w:cs="Consolas" w:eastAsia="Consolas" w:hAnsi="Consolas"/>
          <w:sz w:val="18"/>
          <w:szCs w:val="18"/>
        </w:rPr>
        <w:br/>
        <w:t xml:space="preserve">  Pmean[t] &lt;- ifelse(P[t-1] &gt; 0.25,</w:t>
      </w:r>
      <w:r>
        <w:rPr>
          <w:rFonts w:ascii="Consolas" w:cs="Consolas" w:eastAsia="Consolas" w:hAnsi="Consolas"/>
          <w:sz w:val="18"/>
          <w:szCs w:val="18"/>
        </w:rPr>
        <w:br/>
        <w:t xml:space="preserve">     log(P[t-1] + r*P[t-1]*(1-P[t-1]) - ct.jags[t-1]/k),</w:t>
      </w:r>
      <w:r>
        <w:rPr>
          <w:rFonts w:ascii="Consolas" w:cs="Consolas" w:eastAsia="Consolas" w:hAnsi="Consolas"/>
          <w:sz w:val="18"/>
          <w:szCs w:val="18"/>
        </w:rPr>
        <w:br/>
        <w:t xml:space="preserve">     log(P[t-1] + 4*P[t-1]*r*P[t-1]*(1-P[t-1]) - ct.jags[t-1]/k))</w:t>
      </w:r>
      <w:r>
        <w:rPr>
          <w:rFonts w:ascii="Consolas" w:cs="Consolas" w:eastAsia="Consolas" w:hAnsi="Consolas"/>
          <w:sz w:val="18"/>
          <w:szCs w:val="18"/>
        </w:rPr>
        <w:br/>
        <w:t xml:space="preserve">  P[t] ~ dlnorm(Pmean[t], itau2)</w:t>
      </w:r>
      <w:r>
        <w:rPr>
          <w:rFonts w:ascii="Consolas" w:cs="Consolas" w:eastAsia="Consolas" w:hAnsi="Consolas"/>
          <w:sz w:val="18"/>
          <w:szCs w:val="18"/>
        </w:rPr>
        <w:br/>
        <w:t xml:space="preserve">}</w:t>
      </w:r>
    </w:p>
    <w:p>
      <w:pPr>
        <w:spacing w:after="160" w:line="276"/>
      </w:pPr>
      <w:r>
        <w:rPr>
          <w:rFonts w:ascii="Calibri" w:cs="Calibri" w:eastAsia="Calibri" w:hAnsi="Calibri"/>
          <w:sz w:val="22"/>
          <w:szCs w:val="22"/>
        </w:rPr>
        <w:t xml:space="preserve">Isto é exatamente a Eq. 1/2 da Seção 2, com P = B/k. A diferença essencial para um filtro Monte Carlo comum: o estado real P(t) não é </w:t>
      </w:r>
      <w:r>
        <w:rPr>
          <w:rFonts w:ascii="Calibri" w:cs="Calibri" w:eastAsia="Calibri" w:hAnsi="Calibri"/>
          <w:i/>
          <w:iCs/>
          <w:sz w:val="22"/>
          <w:szCs w:val="22"/>
        </w:rPr>
        <w:t xml:space="preserve">igual</w:t>
      </w:r>
      <w:r>
        <w:rPr>
          <w:rFonts w:ascii="Calibri" w:cs="Calibri" w:eastAsia="Calibri" w:hAnsi="Calibri"/>
          <w:sz w:val="22"/>
          <w:szCs w:val="22"/>
        </w:rPr>
        <w:t xml:space="preserve"> à previsão determinística Pmean(t) — ele é </w:t>
      </w:r>
      <w:r>
        <w:rPr>
          <w:rFonts w:ascii="Calibri" w:cs="Calibri" w:eastAsia="Calibri" w:hAnsi="Calibri"/>
          <w:b/>
          <w:bCs/>
          <w:sz w:val="22"/>
          <w:szCs w:val="22"/>
        </w:rPr>
        <w:t xml:space="preserve">sorteado</w:t>
      </w:r>
      <w:r>
        <w:rPr>
          <w:rFonts w:ascii="Calibri" w:cs="Calibri" w:eastAsia="Calibri" w:hAnsi="Calibri"/>
          <w:sz w:val="22"/>
          <w:szCs w:val="22"/>
        </w:rPr>
        <w:t xml:space="preserve"> em torno dela, com precisão itau2 (erro de processo). </w:t>
      </w:r>
      <w:r>
        <w:rPr>
          <w:rFonts w:ascii="Calibri" w:cs="Calibri" w:eastAsia="Calibri" w:hAnsi="Calibri"/>
          <w:b/>
          <w:bCs/>
          <w:sz w:val="22"/>
          <w:szCs w:val="22"/>
        </w:rPr>
        <w:t xml:space="preserve">itau2 ~ dgamma(4, 0.01)</w:t>
      </w:r>
      <w:r>
        <w:rPr>
          <w:rFonts w:ascii="Calibri" w:cs="Calibri" w:eastAsia="Calibri" w:hAnsi="Calibri"/>
          <w:sz w:val="22"/>
          <w:szCs w:val="22"/>
        </w:rPr>
        <w:t xml:space="preserve"> é um prior fracamente informativo sobre a </w:t>
      </w:r>
      <w:r>
        <w:rPr>
          <w:rFonts w:ascii="Calibri" w:cs="Calibri" w:eastAsia="Calibri" w:hAnsi="Calibri"/>
          <w:i/>
          <w:iCs/>
          <w:sz w:val="22"/>
          <w:szCs w:val="22"/>
        </w:rPr>
        <w:t xml:space="preserve">precisão</w:t>
      </w:r>
      <w:r>
        <w:rPr>
          <w:rFonts w:ascii="Calibri" w:cs="Calibri" w:eastAsia="Calibri" w:hAnsi="Calibri"/>
          <w:sz w:val="22"/>
          <w:szCs w:val="22"/>
        </w:rPr>
        <w:t xml:space="preserve"> (inverso da variância) do processo — a escolha clássica em modelos hierárquicos bayesianos, porque mantém a variância positiva e deixa os dados dominarem quando há informação suficiente.</w:t>
      </w:r>
    </w:p>
    <w:p>
      <w:pPr>
        <w:pStyle w:val="Heading3"/>
        <w:spacing w:after="100" w:before="200"/>
      </w:pPr>
      <w:r>
        <w:t xml:space="preserve">(c) Penalidades “suaves” em vez de filtros rígidos</w:t>
      </w:r>
    </w:p>
    <w:p>
      <w:pPr>
        <w:shd w:fill="F4F4F4" w:val="clear"/>
        <w:spacing w:after="200"/>
      </w:pPr>
      <w:r>
        <w:rPr>
          <w:rFonts w:ascii="Consolas" w:cs="Consolas" w:eastAsia="Consolas" w:hAnsi="Consolas"/>
          <w:sz w:val="18"/>
          <w:szCs w:val="18"/>
        </w:rPr>
        <w:t xml:space="preserve">Fpen[t]   &lt;- ifelse(ct[t] &gt; 0.9*k*P[t], ct[t]-(0.9*k*P[t]), 0)</w:t>
      </w:r>
      <w:r>
        <w:rPr>
          <w:rFonts w:ascii="Consolas" w:cs="Consolas" w:eastAsia="Consolas" w:hAnsi="Consolas"/>
          <w:sz w:val="18"/>
          <w:szCs w:val="18"/>
        </w:rPr>
        <w:br/>
        <w:t xml:space="preserve">pen.F[t]  ~ dnorm(Fpen[t], 1000)</w:t>
      </w:r>
      <w:r>
        <w:rPr>
          <w:rFonts w:ascii="Consolas" w:cs="Consolas" w:eastAsia="Consolas" w:hAnsi="Consolas"/>
          <w:sz w:val="18"/>
          <w:szCs w:val="18"/>
        </w:rPr>
        <w:br/>
        <w:t xml:space="preserve">pen.bk[t] ~ dnorm(penm[t], 10000)</w:t>
      </w:r>
    </w:p>
    <w:p>
      <w:pPr>
        <w:spacing w:after="160" w:line="276"/>
      </w:pPr>
      <w:r>
        <w:rPr>
          <w:rFonts w:ascii="Calibri" w:cs="Calibri" w:eastAsia="Calibri" w:hAnsi="Calibri"/>
          <w:sz w:val="22"/>
          <w:szCs w:val="22"/>
        </w:rPr>
        <w:t xml:space="preserve">Aqui está a diferença estrutural mais importante em relação ao CMSY clássico: em vez de rejeitar um par inteiro quando a biomassa “quase” colapsa ou a captura “quase” excede a biomassa, o BSM usa um truque comum em BUGS/JAGS (o “truque dos zeros”): declara um nó de dados fixo em 0 e o faz seguir uma normal centrada na violação da restrição, com precisão altíssima (1000–10000). Isso empurra a verossimilhança para perto de zero sempre que a restrição é violada — uma penalidade suave, gradual, em vez de um corte abrupto de aceita/rejeita. É por isso que o BSM tende a produzir intervalos de confiança mais estreitos que o CMSY: ele não descarta informação, apenas a pondera menos.</w:t>
      </w:r>
    </w:p>
    <w:p>
      <w:pPr>
        <w:pStyle w:val="Heading3"/>
        <w:spacing w:after="100" w:before="200"/>
      </w:pPr>
      <w:r>
        <w:t xml:space="preserve">(d) A equação de observação: ligando o estado ao índice de abundância</w:t>
      </w:r>
    </w:p>
    <w:p>
      <w:pPr>
        <w:shd w:fill="F4F4F4" w:val="clear"/>
        <w:spacing w:after="200"/>
      </w:pPr>
      <w:r>
        <w:rPr>
          <w:rFonts w:ascii="Consolas" w:cs="Consolas" w:eastAsia="Consolas" w:hAnsi="Consolas"/>
          <w:sz w:val="18"/>
          <w:szCs w:val="18"/>
        </w:rPr>
        <w:t xml:space="preserve">cpuem[t] &lt;- log(q*P[t]*k)</w:t>
      </w:r>
      <w:r>
        <w:rPr>
          <w:rFonts w:ascii="Consolas" w:cs="Consolas" w:eastAsia="Consolas" w:hAnsi="Consolas"/>
          <w:sz w:val="18"/>
          <w:szCs w:val="18"/>
        </w:rPr>
        <w:br/>
        <w:t xml:space="preserve">btj[t]   ~ dlnorm(cpuem[t], pow(sigma2,-1))</w:t>
      </w:r>
    </w:p>
    <w:p>
      <w:pPr>
        <w:spacing w:after="160" w:line="276"/>
      </w:pPr>
      <w:r>
        <w:rPr>
          <w:rFonts w:ascii="Calibri" w:cs="Calibri" w:eastAsia="Calibri" w:hAnsi="Calibri"/>
          <w:sz w:val="22"/>
          <w:szCs w:val="22"/>
        </w:rPr>
        <w:t xml:space="preserve">Esta é a segunda metade do espaço de estados: o índice observado (CPUE, ou um ponto substituto no modo catch-only, ver 4.5) é modelado como uma medida log-normal e ruidosa da biomassa verdadeira multiplicada pela capturabilidade q. sigma2 combina uma variância de observação estimada (isigma2, com prior fracamente informativo isigma2 ~ dgamma(2, 0.01), a mesma lógica do item (b)) com um piso mínimo de ruído assumido para a CPUE (CV.cpue²), evitando que o modelo declare confiança irrealista num índice ruim.</w:t>
      </w:r>
    </w:p>
    <w:p>
      <w:pPr>
        <w:pStyle w:val="Heading3"/>
        <w:spacing w:after="100" w:before="200"/>
      </w:pPr>
      <w:r>
        <w:t xml:space="preserve">(e) Priors de depleção como restrições suaves no estado</w:t>
      </w:r>
    </w:p>
    <w:p>
      <w:pPr>
        <w:shd w:fill="F4F4F4" w:val="clear"/>
        <w:spacing w:after="200"/>
      </w:pPr>
      <w:r>
        <w:rPr>
          <w:rFonts w:ascii="Consolas" w:cs="Consolas" w:eastAsia="Consolas" w:hAnsi="Consolas"/>
          <w:sz w:val="18"/>
          <w:szCs w:val="18"/>
        </w:rPr>
        <w:t xml:space="preserve">for(i in 1:nbks){</w:t>
      </w:r>
      <w:r>
        <w:rPr>
          <w:rFonts w:ascii="Consolas" w:cs="Consolas" w:eastAsia="Consolas" w:hAnsi="Consolas"/>
          <w:sz w:val="18"/>
          <w:szCs w:val="18"/>
        </w:rPr>
        <w:br/>
        <w:t xml:space="preserve">  bk.mu[i] ~ dbeta(bk.beta[1,i], bk.beta[2,i])</w:t>
      </w:r>
      <w:r>
        <w:rPr>
          <w:rFonts w:ascii="Consolas" w:cs="Consolas" w:eastAsia="Consolas" w:hAnsi="Consolas"/>
          <w:sz w:val="18"/>
          <w:szCs w:val="18"/>
        </w:rPr>
        <w:br/>
        <w:t xml:space="preserve">  bk.beta[3,i] ~ dnorm(bk.mu[i]-P[b.yrs[i]], 10000)</w:t>
      </w:r>
      <w:r>
        <w:rPr>
          <w:rFonts w:ascii="Consolas" w:cs="Consolas" w:eastAsia="Consolas" w:hAnsi="Consolas"/>
          <w:sz w:val="18"/>
          <w:szCs w:val="18"/>
        </w:rPr>
        <w:br/>
        <w:t xml:space="preserve">}</w:t>
      </w:r>
    </w:p>
    <w:p>
      <w:pPr>
        <w:spacing w:after="160" w:line="276"/>
      </w:pPr>
      <w:r>
        <w:rPr>
          <w:rFonts w:ascii="Calibri" w:cs="Calibri" w:eastAsia="Calibri" w:hAnsi="Calibri"/>
          <w:sz w:val="22"/>
          <w:szCs w:val="22"/>
        </w:rPr>
        <w:t xml:space="preserve">O mesmo truque do item (c) reaparece aqui para incorporar a janela de depleção assumida (Tabela 2) — mas agora com um prior beta (limitado naturalmente entre 0 e 1, mais realista que uma caixa uniforme rígida) em vez de um corte abrupto. b.yrs guarda até 3 anos-âncora (inicial, intermediário, final); é literalmente a mesma informação priori usada no filtro Monte Carlo da Seção 3, só que reformulada como uma restrição probabilística suave em vez de um teste binário.</w:t>
      </w:r>
    </w:p>
    <w:p>
      <w:pPr>
        <w:pStyle w:val="Heading3"/>
        <w:spacing w:after="100" w:before="200"/>
      </w:pPr>
      <w:r>
        <w:t xml:space="preserve">(f) O prior conjunto para r e k (a correlação da Seção 3.1, agora como uma normal bivariada)</w:t>
      </w:r>
    </w:p>
    <w:p>
      <w:pPr>
        <w:shd w:fill="F4F4F4" w:val="clear"/>
        <w:spacing w:after="200"/>
      </w:pPr>
      <w:r>
        <w:rPr>
          <w:rFonts w:ascii="Consolas" w:cs="Consolas" w:eastAsia="Consolas" w:hAnsi="Consolas"/>
          <w:sz w:val="18"/>
          <w:szCs w:val="18"/>
        </w:rPr>
        <w:t xml:space="preserve">mu.rk[1] &lt;- log.rm     # media de log(r)</w:t>
      </w:r>
      <w:r>
        <w:rPr>
          <w:rFonts w:ascii="Consolas" w:cs="Consolas" w:eastAsia="Consolas" w:hAnsi="Consolas"/>
          <w:sz w:val="18"/>
          <w:szCs w:val="18"/>
        </w:rPr>
        <w:br/>
        <w:t xml:space="preserve">mu.rk[2] &lt;- log.km     # media de log(k)</w:t>
      </w:r>
      <w:r>
        <w:rPr>
          <w:rFonts w:ascii="Consolas" w:cs="Consolas" w:eastAsia="Consolas" w:hAnsi="Consolas"/>
          <w:sz w:val="18"/>
          <w:szCs w:val="18"/>
        </w:rPr>
        <w:br/>
        <w:t xml:space="preserve">cov.rk[1,1] &lt;- sd.log.r^2 ; cov.rk[2,2] &lt;- sd.log.k^2</w:t>
      </w:r>
      <w:r>
        <w:rPr>
          <w:rFonts w:ascii="Consolas" w:cs="Consolas" w:eastAsia="Consolas" w:hAnsi="Consolas"/>
          <w:sz w:val="18"/>
          <w:szCs w:val="18"/>
        </w:rPr>
        <w:br/>
        <w:t xml:space="preserve">cov.rk[1,2] &lt;- rho     ; cov.rk[2,1] &lt;- rho</w:t>
      </w:r>
      <w:r>
        <w:rPr>
          <w:rFonts w:ascii="Consolas" w:cs="Consolas" w:eastAsia="Consolas" w:hAnsi="Consolas"/>
          <w:sz w:val="18"/>
          <w:szCs w:val="18"/>
        </w:rPr>
        <w:br/>
        <w:t xml:space="preserve">log.rk[1:2] ~ dmnorm(mu.rk[], inverse(cov.rk[,]))</w:t>
      </w:r>
      <w:r>
        <w:rPr>
          <w:rFonts w:ascii="Consolas" w:cs="Consolas" w:eastAsia="Consolas" w:hAnsi="Consolas"/>
          <w:sz w:val="18"/>
          <w:szCs w:val="18"/>
        </w:rPr>
        <w:br/>
        <w:t xml:space="preserve">r &lt;- exp(log.rk[1]) ; k &lt;- exp(log.rk[2])</w:t>
      </w:r>
    </w:p>
    <w:p>
      <w:pPr>
        <w:spacing w:after="160" w:line="276"/>
      </w:pPr>
      <w:r>
        <w:rPr>
          <w:rFonts w:ascii="Calibri" w:cs="Calibri" w:eastAsia="Calibri" w:hAnsi="Calibri"/>
          <w:sz w:val="22"/>
          <w:szCs w:val="22"/>
        </w:rPr>
        <w:t xml:space="preserve">Essa é a implementação direta da inovação central do CMSY++ (item 2 da Seção 1.4): em vez de sortear r e k de forma independente, ambos vêm de uma normal bivariada em espaço log, com uma covariância (rho) calculada empiricamente a partir da relação MSY = 4·k/r (ver trecho de R mostrado a seguir). O resultado é geometricamente equivalente ao triângulo de pares viáveis da Seção 3 — só que como uma elipse suave e contínua, sem o corte artificial de “dentro ou fora”.</w:t>
      </w:r>
    </w:p>
    <w:p>
      <w:pPr>
        <w:spacing w:after="160" w:line="276"/>
      </w:pPr>
      <w:r>
        <w:rPr>
          <w:rFonts w:ascii="Calibri" w:cs="Calibri" w:eastAsia="Calibri" w:hAnsi="Calibri"/>
          <w:sz w:val="22"/>
          <w:szCs w:val="22"/>
        </w:rPr>
        <w:t xml:space="preserve">O R que constrói essa correlação, rodado antes do JAGS (o mesmo script):</w:t>
      </w:r>
    </w:p>
    <w:p>
      <w:pPr>
        <w:shd w:fill="F4F4F4" w:val="clear"/>
        <w:spacing w:after="200"/>
      </w:pPr>
      <w:r>
        <w:rPr>
          <w:rFonts w:ascii="Consolas" w:cs="Consolas" w:eastAsia="Consolas" w:hAnsi="Consolas"/>
          <w:sz w:val="18"/>
          <w:szCs w:val="18"/>
        </w:rPr>
        <w:t xml:space="preserve">ri1  &lt;- rlnorm(n, mean.log.r, sd.log.r)     # r a partir da resiliencia</w:t>
      </w:r>
      <w:r>
        <w:rPr>
          <w:rFonts w:ascii="Consolas" w:cs="Consolas" w:eastAsia="Consolas" w:hAnsi="Consolas"/>
          <w:sz w:val="18"/>
          <w:szCs w:val="18"/>
        </w:rPr>
        <w:br/>
        <w:t xml:space="preserve">msyi1&lt;- rlnorm(n, log.msy.pr, sd.log.msy.pr) # MSY a partir do padrao de captura</w:t>
      </w:r>
      <w:r>
        <w:rPr>
          <w:rFonts w:ascii="Consolas" w:cs="Consolas" w:eastAsia="Consolas" w:hAnsi="Consolas"/>
          <w:sz w:val="18"/>
          <w:szCs w:val="18"/>
        </w:rPr>
        <w:br/>
        <w:t xml:space="preserve">ki1  &lt;- msyi1 * 4 / ri1                      # k = 4*MSY/r  (identidade do Schaefer)</w:t>
      </w:r>
      <w:r>
        <w:rPr>
          <w:rFonts w:ascii="Consolas" w:cs="Consolas" w:eastAsia="Consolas" w:hAnsi="Consolas"/>
          <w:sz w:val="18"/>
          <w:szCs w:val="18"/>
        </w:rPr>
        <w:br/>
        <w:t xml:space="preserve">cov_rk &lt;- cov(cbind(log(ri1), log(ki1)))     # covariancia empirica log(r),log(k)</w:t>
      </w:r>
      <w:r>
        <w:rPr>
          <w:rFonts w:ascii="Consolas" w:cs="Consolas" w:eastAsia="Consolas" w:hAnsi="Consolas"/>
          <w:sz w:val="18"/>
          <w:szCs w:val="18"/>
        </w:rPr>
        <w:br/>
        <w:t xml:space="preserve">rk.cor &lt;- cov_rk[2,1]                        # rho que alimenta o JAGS</w:t>
      </w:r>
    </w:p>
    <w:p>
      <w:pPr>
        <w:spacing w:after="160" w:line="276"/>
      </w:pPr>
      <w:r>
        <w:rPr>
          <w:rFonts w:ascii="Calibri" w:cs="Calibri" w:eastAsia="Calibri" w:hAnsi="Calibri"/>
          <w:sz w:val="22"/>
          <w:szCs w:val="22"/>
        </w:rPr>
        <w:t xml:space="preserve">Isso mostra com todas as letras a inovação “k a partir do prior de MSY” (item 1 da Seção 1.4): r e MSY são sorteados de forma independente (r da resiliência, MSY do padrão da série de captura — mesma heurística flat-catch/queda-após-pico da Seção 3.1), e k = 4·MSY/r sai como consequência algébrica direta da própria definição de MSY, não de um limite arbitrário sobre a captura máxima.</w:t>
      </w:r>
    </w:p>
    <w:p>
      <w:pPr>
        <w:pStyle w:val="Heading3"/>
        <w:spacing w:after="100" w:before="200"/>
      </w:pPr>
      <w:r>
        <w:t xml:space="preserve">(g) Tudo o que interessa sai de graça, como função determinística no mesmo modelo</w:t>
      </w:r>
    </w:p>
    <w:p>
      <w:pPr>
        <w:shd w:fill="F4F4F4" w:val="clear"/>
        <w:spacing w:after="200"/>
      </w:pPr>
      <w:r>
        <w:rPr>
          <w:rFonts w:ascii="Consolas" w:cs="Consolas" w:eastAsia="Consolas" w:hAnsi="Consolas"/>
          <w:sz w:val="18"/>
          <w:szCs w:val="18"/>
        </w:rPr>
        <w:t xml:space="preserve">Bmsy &lt;- k/2 ; Fmsy &lt;- r/2</w:t>
      </w:r>
      <w:r>
        <w:rPr>
          <w:rFonts w:ascii="Consolas" w:cs="Consolas" w:eastAsia="Consolas" w:hAnsi="Consolas"/>
          <w:sz w:val="18"/>
          <w:szCs w:val="18"/>
        </w:rPr>
        <w:br/>
        <w:t xml:space="preserve">for (t in 1:nyr){</w:t>
      </w:r>
      <w:r>
        <w:rPr>
          <w:rFonts w:ascii="Consolas" w:cs="Consolas" w:eastAsia="Consolas" w:hAnsi="Consolas"/>
          <w:sz w:val="18"/>
          <w:szCs w:val="18"/>
        </w:rPr>
        <w:br/>
        <w:t xml:space="preserve">  B[t] &lt;- P[t]*k</w:t>
      </w:r>
      <w:r>
        <w:rPr>
          <w:rFonts w:ascii="Consolas" w:cs="Consolas" w:eastAsia="Consolas" w:hAnsi="Consolas"/>
          <w:sz w:val="18"/>
          <w:szCs w:val="18"/>
        </w:rPr>
        <w:br/>
        <w:t xml:space="preserve">  F[t] &lt;- ct.jags[t]/B[t]</w:t>
      </w:r>
      <w:r>
        <w:rPr>
          <w:rFonts w:ascii="Consolas" w:cs="Consolas" w:eastAsia="Consolas" w:hAnsi="Consolas"/>
          <w:sz w:val="18"/>
          <w:szCs w:val="18"/>
        </w:rPr>
        <w:br/>
        <w:t xml:space="preserve">  BBmsy[t] &lt;- P[t]*2</w:t>
      </w:r>
      <w:r>
        <w:rPr>
          <w:rFonts w:ascii="Consolas" w:cs="Consolas" w:eastAsia="Consolas" w:hAnsi="Consolas"/>
          <w:sz w:val="18"/>
          <w:szCs w:val="18"/>
        </w:rPr>
        <w:br/>
        <w:t xml:space="preserve">  FFmsy[t] &lt;- ifelse(BBmsy[t]&lt;0.5, F[t]/(Fmsy*2*BBmsy[t]), F[t]/Fmsy)</w:t>
      </w:r>
      <w:r>
        <w:rPr>
          <w:rFonts w:ascii="Consolas" w:cs="Consolas" w:eastAsia="Consolas" w:hAnsi="Consolas"/>
          <w:sz w:val="18"/>
          <w:szCs w:val="18"/>
        </w:rPr>
        <w:br/>
        <w:t xml:space="preserve">}</w:t>
      </w:r>
    </w:p>
    <w:p>
      <w:pPr>
        <w:spacing w:after="160" w:line="276"/>
      </w:pPr>
      <w:r>
        <w:rPr>
          <w:rFonts w:ascii="Calibri" w:cs="Calibri" w:eastAsia="Calibri" w:hAnsi="Calibri"/>
          <w:sz w:val="22"/>
          <w:szCs w:val="22"/>
        </w:rPr>
        <w:t xml:space="preserve">Como B(t), F(t), B/Bmsy(t) e F/Fmsy(t) são funções determinísticas dos parâmetros já amostrados, o MCMC devolve a distribuição posterior completa de todos eles, ano a ano, sem esforço extra — essa é uma das grandes vantagens de formular o problema inteiro dentro de um único modelo bayesiano, em vez de estimar r e k primeiro e calcular o resto depois.</w:t>
      </w:r>
    </w:p>
    <w:p>
      <w:pPr>
        <w:pStyle w:val="Heading2"/>
        <w:spacing w:after="120" w:before="260"/>
      </w:pPr>
      <w:r>
        <w:t xml:space="preserve">4.4 Resumo do fluxo de amostragem</w:t>
      </w:r>
    </w:p>
    <w:p>
      <w:pPr>
        <w:spacing w:after="160" w:line="276"/>
      </w:pPr>
      <w:r>
        <w:rPr>
          <w:rFonts w:ascii="Calibri" w:cs="Calibri" w:eastAsia="Calibri" w:hAnsi="Calibri"/>
          <w:sz w:val="22"/>
          <w:szCs w:val="22"/>
        </w:rPr>
        <w:t xml:space="preserve">Cada iteração do MCMC visita, na prática, esta cadeia de dependências (uma leitura de cima para baixo do próprio código):</w:t>
      </w:r>
    </w:p>
    <w:p>
      <w:pPr>
        <w:pStyle w:val="ListParagraph"/>
        <w:numPr>
          <w:ilvl w:val="0"/>
          <w:numId w:val="1"/>
        </w:numPr>
        <w:spacing w:after="100" w:line="276"/>
      </w:pPr>
      <w:r>
        <w:rPr>
          <w:rFonts w:ascii="Calibri" w:cs="Calibri" w:eastAsia="Calibri" w:hAnsi="Calibri"/>
          <w:sz w:val="22"/>
          <w:szCs w:val="22"/>
        </w:rPr>
        <w:t xml:space="preserve">1. Sorteia (log r, log k) da normal bivariada com correlação empírica — e daí Bmsy, Fmsy.</w:t>
      </w:r>
    </w:p>
    <w:p>
      <w:pPr>
        <w:pStyle w:val="ListParagraph"/>
        <w:numPr>
          <w:ilvl w:val="0"/>
          <w:numId w:val="1"/>
        </w:numPr>
        <w:spacing w:after="100" w:line="276"/>
      </w:pPr>
      <w:r>
        <w:rPr>
          <w:rFonts w:ascii="Calibri" w:cs="Calibri" w:eastAsia="Calibri" w:hAnsi="Calibri"/>
          <w:sz w:val="22"/>
          <w:szCs w:val="22"/>
        </w:rPr>
        <w:t xml:space="preserve">2. Sorteia a biomassa relativa inicial alpha em torno do prior de depleção do primeiro ano.</w:t>
      </w:r>
    </w:p>
    <w:p>
      <w:pPr>
        <w:pStyle w:val="ListParagraph"/>
        <w:numPr>
          <w:ilvl w:val="0"/>
          <w:numId w:val="1"/>
        </w:numPr>
        <w:spacing w:after="100" w:line="276"/>
      </w:pPr>
      <w:r>
        <w:rPr>
          <w:rFonts w:ascii="Calibri" w:cs="Calibri" w:eastAsia="Calibri" w:hAnsi="Calibri"/>
          <w:sz w:val="22"/>
          <w:szCs w:val="22"/>
        </w:rPr>
        <w:t xml:space="preserve">3. Propaga a biomassa ano a ano pela equação de processo (com depensação), adicionando erro de processo a cada passo.</w:t>
      </w:r>
    </w:p>
    <w:p>
      <w:pPr>
        <w:pStyle w:val="ListParagraph"/>
        <w:numPr>
          <w:ilvl w:val="0"/>
          <w:numId w:val="1"/>
        </w:numPr>
        <w:spacing w:after="100" w:line="276"/>
      </w:pPr>
      <w:r>
        <w:rPr>
          <w:rFonts w:ascii="Calibri" w:cs="Calibri" w:eastAsia="Calibri" w:hAnsi="Calibri"/>
          <w:sz w:val="22"/>
          <w:szCs w:val="22"/>
        </w:rPr>
        <w:t xml:space="preserve">4. Em cada ano com prior de depleção (inicial/intermediário/final), aplica uma penalidade suave puxando o estado para a janela assumida.</w:t>
      </w:r>
    </w:p>
    <w:p>
      <w:pPr>
        <w:pStyle w:val="ListParagraph"/>
        <w:numPr>
          <w:ilvl w:val="0"/>
          <w:numId w:val="1"/>
        </w:numPr>
        <w:spacing w:after="100" w:line="276"/>
      </w:pPr>
      <w:r>
        <w:rPr>
          <w:rFonts w:ascii="Calibri" w:cs="Calibri" w:eastAsia="Calibri" w:hAnsi="Calibri"/>
          <w:sz w:val="22"/>
          <w:szCs w:val="22"/>
        </w:rPr>
        <w:t xml:space="preserve">5. Liga o estado ao índice observado (real ou pseudo, ver 4.5) via capturabilidade q e erro de observação.</w:t>
      </w:r>
    </w:p>
    <w:p>
      <w:pPr>
        <w:pStyle w:val="ListParagraph"/>
        <w:numPr>
          <w:ilvl w:val="0"/>
          <w:numId w:val="1"/>
        </w:numPr>
        <w:spacing w:after="100" w:line="276"/>
      </w:pPr>
      <w:r>
        <w:rPr>
          <w:rFonts w:ascii="Calibri" w:cs="Calibri" w:eastAsia="Calibri" w:hAnsi="Calibri"/>
          <w:sz w:val="22"/>
          <w:szCs w:val="22"/>
        </w:rPr>
        <w:t xml:space="preserve">6. Repete isso dezenas de milhares de vezes, em 3 cadeias, guardando 1 a cada 10 amostras após o aquecimento — o conjunto final de amostras guardadas É a distribuição posterior de r, k, q e da trajetória de biomassa inteira.</w:t>
      </w:r>
    </w:p>
    <w:p>
      <w:pPr>
        <w:pStyle w:val="Heading2"/>
        <w:spacing w:after="120" w:before="260"/>
      </w:pPr>
      <w:r>
        <w:t xml:space="preserve">4.5 O truque final: CMSY++ é o próprio BSM, sem dados reais de abundância</w:t>
      </w:r>
    </w:p>
    <w:p>
      <w:pPr>
        <w:spacing w:after="160" w:line="276"/>
      </w:pPr>
      <w:r>
        <w:rPr>
          <w:rFonts w:ascii="Calibri" w:cs="Calibri" w:eastAsia="Calibri" w:hAnsi="Calibri"/>
          <w:sz w:val="22"/>
          <w:szCs w:val="22"/>
        </w:rPr>
        <w:t xml:space="preserve">Desde a oficina de Tessalônica (2019), ficou claro que o mesmo modelo JAGS podia rodar sem nenhum índice de abundância real. É exatamente isso que o script faz quando não há CPUE disponível:</w:t>
      </w:r>
    </w:p>
    <w:p>
      <w:pPr>
        <w:shd w:fill="F4F4F4" w:val="clear"/>
        <w:spacing w:after="200"/>
      </w:pPr>
      <w:r>
        <w:rPr>
          <w:rFonts w:ascii="Consolas" w:cs="Consolas" w:eastAsia="Consolas" w:hAnsi="Consolas"/>
          <w:sz w:val="18"/>
          <w:szCs w:val="18"/>
        </w:rPr>
        <w:t xml:space="preserve">bt.start &lt;- mean(c(prior.k[1]*startbio[1], prior.k[2]*startbio[2]))</w:t>
      </w:r>
      <w:r>
        <w:rPr>
          <w:rFonts w:ascii="Consolas" w:cs="Consolas" w:eastAsia="Consolas" w:hAnsi="Consolas"/>
          <w:sz w:val="18"/>
          <w:szCs w:val="18"/>
        </w:rPr>
        <w:br/>
        <w:t xml:space="preserve">bt.int   &lt;- mean(c(prior.k[1]*intbio[1],   prior.k[2]*intbio[2]))</w:t>
      </w:r>
      <w:r>
        <w:rPr>
          <w:rFonts w:ascii="Consolas" w:cs="Consolas" w:eastAsia="Consolas" w:hAnsi="Consolas"/>
          <w:sz w:val="18"/>
          <w:szCs w:val="18"/>
        </w:rPr>
        <w:br/>
        <w:t xml:space="preserve">bt.last  &lt;- mean(c(prior.k[1]*endbio[1],   prior.k[2]*endbio[2]))</w:t>
      </w:r>
      <w:r>
        <w:rPr>
          <w:rFonts w:ascii="Consolas" w:cs="Consolas" w:eastAsia="Consolas" w:hAnsi="Consolas"/>
          <w:sz w:val="18"/>
          <w:szCs w:val="18"/>
        </w:rPr>
        <w:br/>
        <w:t xml:space="preserve">bt.cmsy  &lt;- c(bt.start, rep(NA, length(ct)-1))   # so 1o ano tem 'observacao'</w:t>
      </w:r>
      <w:r>
        <w:rPr>
          <w:rFonts w:ascii="Consolas" w:cs="Consolas" w:eastAsia="Consolas" w:hAnsi="Consolas"/>
          <w:sz w:val="18"/>
          <w:szCs w:val="18"/>
        </w:rPr>
        <w:br/>
        <w:t xml:space="preserve">q.prior.cmsy &lt;- c(0.99, 1.01)   # q travado perto de 1: sem dado real para estima-lo</w:t>
      </w:r>
      <w:r>
        <w:rPr>
          <w:rFonts w:ascii="Consolas" w:cs="Consolas" w:eastAsia="Consolas" w:hAnsi="Consolas"/>
          <w:sz w:val="18"/>
          <w:szCs w:val="18"/>
        </w:rPr>
        <w:br/>
        <w:t xml:space="preserve">jags_cmsy &lt;- bsm(ct=ct, btj=bt.cmsy, ..., cmsyjags=TRUE)</w:t>
      </w:r>
    </w:p>
    <w:p>
      <w:pPr>
        <w:spacing w:after="160" w:line="276"/>
      </w:pPr>
      <w:r>
        <w:rPr>
          <w:rFonts w:ascii="Calibri" w:cs="Calibri" w:eastAsia="Calibri" w:hAnsi="Calibri"/>
          <w:sz w:val="22"/>
          <w:szCs w:val="22"/>
        </w:rPr>
        <w:t xml:space="preserve">O vetor </w:t>
      </w:r>
      <w:r>
        <w:rPr>
          <w:rFonts w:ascii="Calibri" w:cs="Calibri" w:eastAsia="Calibri" w:hAnsi="Calibri"/>
          <w:i/>
          <w:iCs/>
          <w:sz w:val="22"/>
          <w:szCs w:val="22"/>
        </w:rPr>
        <w:t xml:space="preserve">btj</w:t>
      </w:r>
      <w:r>
        <w:rPr>
          <w:rFonts w:ascii="Calibri" w:cs="Calibri" w:eastAsia="Calibri" w:hAnsi="Calibri"/>
          <w:sz w:val="22"/>
          <w:szCs w:val="22"/>
        </w:rPr>
        <w:t xml:space="preserve"> que alimenta a equação de observação do item (d) fica quase inteiro como </w:t>
      </w:r>
      <w:r>
        <w:rPr>
          <w:rFonts w:ascii="Calibri" w:cs="Calibri" w:eastAsia="Calibri" w:hAnsi="Calibri"/>
          <w:i/>
          <w:iCs/>
          <w:sz w:val="22"/>
          <w:szCs w:val="22"/>
        </w:rPr>
        <w:t xml:space="preserve">NA</w:t>
      </w:r>
      <w:r>
        <w:rPr>
          <w:rFonts w:ascii="Calibri" w:cs="Calibri" w:eastAsia="Calibri" w:hAnsi="Calibri"/>
          <w:sz w:val="22"/>
          <w:szCs w:val="22"/>
        </w:rPr>
        <w:t xml:space="preserve"> (sem dado nenhum), com apenas um a três pontos substitutos — derivados dos próprios priors de depleção assumidos (Tabela 2), não de uma medição real — e a capturabilidade q é travada perto de 1 porque não há como estimá-la sem dado de esforço. Em outras palavras: </w:t>
      </w:r>
      <w:r>
        <w:rPr>
          <w:rFonts w:ascii="Calibri" w:cs="Calibri" w:eastAsia="Calibri" w:hAnsi="Calibri"/>
          <w:b/>
          <w:bCs/>
          <w:sz w:val="22"/>
          <w:szCs w:val="22"/>
        </w:rPr>
        <w:t xml:space="preserve">o que era um filtro binário aceita/rejeita no CMSY clássico (Seção 3) passa a atuar, no CMSY++, como uma “observação” fraca e esparsa dentro da mesma máquina bayesiana usada para dados reais de CPUE</w:t>
      </w:r>
      <w:r>
        <w:rPr>
          <w:rFonts w:ascii="Calibri" w:cs="Calibri" w:eastAsia="Calibri" w:hAnsi="Calibri"/>
          <w:sz w:val="22"/>
          <w:szCs w:val="22"/>
        </w:rPr>
        <w:t xml:space="preserve">. Isso explica por que a Seção 8 chama atenção para o prior de depleção como o ponto mais sensível de todo o método: no modo catch-only, ele não é só um prior — é praticamente o único “dado de observação” que a equação de observação recebe.</w:t>
      </w:r>
    </w:p>
    <w:p>
      <w:pPr>
        <w:pStyle w:val="Heading1"/>
        <w:spacing w:after="160" w:before="360"/>
      </w:pPr>
      <w:r>
        <w:t xml:space="preserve">5. De onde vêm os priors de depleção (B/k)</w:t>
      </w:r>
    </w:p>
    <w:p>
      <w:pPr>
        <w:spacing w:after="160" w:line="276"/>
      </w:pPr>
      <w:r>
        <w:rPr>
          <w:rFonts w:ascii="Calibri" w:cs="Calibri" w:eastAsia="Calibri" w:hAnsi="Calibri"/>
          <w:sz w:val="22"/>
          <w:szCs w:val="22"/>
        </w:rPr>
        <w:t xml:space="preserve">Como a Seção 4.5 deixou claro, o prior de B/k é o ingrediente mais influente do método quando não há dado de abundância. Três abordagens coexistem na literatura e no seu próprio script:</w:t>
      </w:r>
    </w:p>
    <w:p>
      <w:pPr>
        <w:pStyle w:val="ListParagraph"/>
        <w:numPr>
          <w:ilvl w:val="0"/>
          <w:numId w:val="1"/>
        </w:numPr>
        <w:spacing w:after="100" w:line="276"/>
      </w:pPr>
      <w:r>
        <w:rPr>
          <w:rFonts w:ascii="Calibri" w:cs="Calibri" w:eastAsia="Calibri" w:hAnsi="Calibri"/>
          <w:b/>
          <w:bCs/>
          <w:sz w:val="22"/>
          <w:szCs w:val="22"/>
        </w:rPr>
        <w:t xml:space="preserve">1. Regra empírica simples </w:t>
      </w:r>
      <w:r>
        <w:rPr>
          <w:rFonts w:ascii="Calibri" w:cs="Calibri" w:eastAsia="Calibri" w:hAnsi="Calibri"/>
          <w:sz w:val="22"/>
          <w:szCs w:val="22"/>
        </w:rPr>
        <w:t xml:space="preserve">(Froese &amp; Kesner-Reyes, 2002; Tabela 2 da Seção 3): compara a captura do ano-âncora com a captura máxima da série — quanto mais a captura caiu em relação ao pico, mais depletado se assume o estoque.</w:t>
      </w:r>
    </w:p>
    <w:p>
      <w:pPr>
        <w:pStyle w:val="ListParagraph"/>
        <w:numPr>
          <w:ilvl w:val="0"/>
          <w:numId w:val="1"/>
        </w:numPr>
        <w:spacing w:after="100" w:line="276"/>
      </w:pPr>
      <w:r>
        <w:rPr>
          <w:rFonts w:ascii="Calibri" w:cs="Calibri" w:eastAsia="Calibri" w:hAnsi="Calibri"/>
          <w:b/>
          <w:bCs/>
          <w:sz w:val="22"/>
          <w:szCs w:val="22"/>
        </w:rPr>
        <w:t xml:space="preserve">2. Árvores de regressão impulsionadas — BRT </w:t>
      </w:r>
      <w:r>
        <w:rPr>
          <w:rFonts w:ascii="Calibri" w:cs="Calibri" w:eastAsia="Calibri" w:hAnsi="Calibri"/>
          <w:sz w:val="22"/>
          <w:szCs w:val="22"/>
        </w:rPr>
        <w:t xml:space="preserve">(Zhou et al., 2017): treinadas em estoques reais avaliados, usando como preditores inclinações de regressões lineares ajustadas a diferentes trechos da série de captura (antes e depois do pico).</w:t>
      </w:r>
    </w:p>
    <w:p>
      <w:pPr>
        <w:pStyle w:val="ListParagraph"/>
        <w:numPr>
          <w:ilvl w:val="0"/>
          <w:numId w:val="1"/>
        </w:numPr>
        <w:spacing w:after="100" w:line="276"/>
      </w:pPr>
      <w:r>
        <w:rPr>
          <w:rFonts w:ascii="Calibri" w:cs="Calibri" w:eastAsia="Calibri" w:hAnsi="Calibri"/>
          <w:b/>
          <w:bCs/>
          <w:sz w:val="22"/>
          <w:szCs w:val="22"/>
        </w:rPr>
        <w:t xml:space="preserve">3. Rede neural artificial — ANN </w:t>
      </w:r>
      <w:r>
        <w:rPr>
          <w:rFonts w:ascii="Calibri" w:cs="Calibri" w:eastAsia="Calibri" w:hAnsi="Calibri"/>
          <w:sz w:val="22"/>
          <w:szCs w:val="22"/>
        </w:rPr>
        <w:t xml:space="preserve">(Froese et al., 2023; o arquivo ffnn.bin usado no seu script): mesma ideia da BRT, mas com uma rede neural treinada em ~400 estoques reais. Os próprios autores enfatizam que a ANN é “apenas um complemento de conveniência”, pensado para ajudar quando não há nada melhor — não para substituir um julgamento informado quando ele existe.</w:t>
      </w:r>
    </w:p>
    <w:p>
      <w:pPr>
        <w:spacing w:after="160" w:line="276"/>
      </w:pPr>
      <w:r>
        <w:rPr>
          <w:rFonts w:ascii="Calibri" w:cs="Calibri" w:eastAsia="Calibri" w:hAnsi="Calibri"/>
          <w:sz w:val="22"/>
          <w:szCs w:val="22"/>
        </w:rPr>
        <w:t xml:space="preserve">O seu próprio desenho de cenários (hipóteses NN_CMSY, zBRT, Target_switch e Uninformative_bk) é, na prática, um jeito sistemático de testar o quanto o resultado final depende dessa única escolha — exatamente o tipo de cuidado que a Seção 8 recomenda.</w:t>
      </w:r>
    </w:p>
    <w:p>
      <w:pPr>
        <w:pStyle w:val="Heading1"/>
        <w:spacing w:after="160" w:before="360"/>
      </w:pPr>
      <w:r>
        <w:t xml:space="preserve">6. O que o CMSY devolve, e como ler os resultados</w:t>
      </w:r>
    </w:p>
    <w:p>
      <w:pPr>
        <w:spacing w:after="160" w:line="276"/>
      </w:pPr>
      <w:r>
        <w:rPr>
          <w:rFonts w:ascii="Calibri" w:cs="Calibri" w:eastAsia="Calibri" w:hAnsi="Calibri"/>
          <w:sz w:val="22"/>
          <w:szCs w:val="22"/>
        </w:rPr>
        <w:t xml:space="preserve">Independentemente de rodar como filtro clássico ou como BSM, a saída de interesse é sempre a mesma família de quantidades: r, k, q (só no BSM/CMSY++), MSY, Bmsy, Fmsy, e as séries anuais de B, F, B/Bmsy e F/Fmsy (com intervalos de credibilidade de 95%, tipicamente os percentis 2,5 e 97,5 da posteriori, ou 51,25/98,75 dos pontos médios de faixas ocupadas no CMSY clássico).</w:t>
      </w:r>
    </w:p>
    <w:p>
      <w:pPr>
        <w:pStyle w:val="ListParagraph"/>
        <w:numPr>
          <w:ilvl w:val="0"/>
          <w:numId w:val="1"/>
        </w:numPr>
        <w:spacing w:after="100" w:line="276"/>
      </w:pPr>
      <w:r>
        <w:rPr>
          <w:rFonts w:ascii="Calibri" w:cs="Calibri" w:eastAsia="Calibri" w:hAnsi="Calibri"/>
          <w:b/>
          <w:bCs/>
          <w:sz w:val="22"/>
          <w:szCs w:val="22"/>
        </w:rPr>
        <w:t xml:space="preserve">Gráfico Kobe (B/Bmsy × F/Fmsy): </w:t>
      </w:r>
      <w:r>
        <w:rPr>
          <w:rFonts w:ascii="Calibri" w:cs="Calibri" w:eastAsia="Calibri" w:hAnsi="Calibri"/>
          <w:sz w:val="22"/>
          <w:szCs w:val="22"/>
        </w:rPr>
        <w:t xml:space="preserve">divide o plano em quatro quadrantes — verde (B/Bmsy ≥ 1 e F/Fmsy ≤ 1, saudável), vermelho (sobrepescado e sob sobrepesca), e os dois quadrantes intermediários (“se recuperando” ou “recém sobrepescado”). É a leitura-padrão de status.</w:t>
      </w:r>
    </w:p>
    <w:p>
      <w:pPr>
        <w:pStyle w:val="ListParagraph"/>
        <w:numPr>
          <w:ilvl w:val="0"/>
          <w:numId w:val="1"/>
        </w:numPr>
        <w:spacing w:after="100" w:line="276"/>
      </w:pPr>
      <w:r>
        <w:rPr>
          <w:rFonts w:ascii="Calibri" w:cs="Calibri" w:eastAsia="Calibri" w:hAnsi="Calibri"/>
          <w:b/>
          <w:bCs/>
          <w:sz w:val="22"/>
          <w:szCs w:val="22"/>
        </w:rPr>
        <w:t xml:space="preserve">O triângulo r-k (Fig. 1 de Froese et al., 2017): </w:t>
      </w:r>
      <w:r>
        <w:rPr>
          <w:rFonts w:ascii="Calibri" w:cs="Calibri" w:eastAsia="Calibri" w:hAnsi="Calibri"/>
          <w:sz w:val="22"/>
          <w:szCs w:val="22"/>
        </w:rPr>
        <w:t xml:space="preserve">um triângulo estreito e bem definido indica que a série de capturas, por si só, já restringe bastante r e k; um triângulo largo e difuso é sinal de que o resultado é dominado pelos priors (resiliência e B/k), não pelos dados — vale sempre olhar essa figura antes de confiar em um número pontual.</w:t>
      </w:r>
    </w:p>
    <w:p>
      <w:pPr>
        <w:pStyle w:val="Heading1"/>
        <w:spacing w:after="160" w:before="360"/>
      </w:pPr>
      <w:r>
        <w:t xml:space="preserve">7. O que a validação do método mostra</w:t>
      </w:r>
    </w:p>
    <w:p>
      <w:pPr>
        <w:spacing w:after="160" w:line="276"/>
      </w:pPr>
      <w:r>
        <w:rPr>
          <w:rFonts w:ascii="Calibri" w:cs="Calibri" w:eastAsia="Calibri" w:hAnsi="Calibri"/>
          <w:sz w:val="22"/>
          <w:szCs w:val="22"/>
        </w:rPr>
        <w:t xml:space="preserve">Froese et al. (2017) compararam CMSY e BSM contra 24 estoques simulados (com valores “verdadeiros” conhecidos) e 128–159 estoques reais totalmente avaliados. Alguns números concretos: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200"/>
        <w:gridCol w:w="2300"/>
      </w:tblGrid>
      <w:tr>
        <w:tc>
          <w:tcPr>
            <w:tcW w:type="dxa" w:w="45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Comparação</w:t>
            </w:r>
          </w:p>
        </w:tc>
        <w:tc>
          <w:tcPr>
            <w:tcW w:type="dxa" w:w="22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Razão mediana</w:t>
            </w:r>
          </w:p>
        </w:tc>
        <w:tc>
          <w:tcPr>
            <w:tcW w:type="dxa" w:w="23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Faixa 5–95%</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MSY (BSM / verdadeiro, simulados)</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1,01</w:t>
            </w:r>
          </w:p>
        </w:tc>
        <w:tc>
          <w:tcPr>
            <w:tcW w:type="dxa" w:w="2300"/>
            <w:tcMar>
              <w:top w:type="dxa" w:w="80"/>
              <w:left w:type="dxa" w:w="100"/>
              <w:bottom w:type="dxa" w:w="80"/>
              <w:right w:type="dxa" w:w="100"/>
            </w:tcMar>
          </w:tcPr>
          <w:p>
            <w:r>
              <w:rPr>
                <w:rFonts w:ascii="Calibri" w:cs="Calibri" w:eastAsia="Calibri" w:hAnsi="Calibri"/>
                <w:b w:val="false"/>
                <w:bCs w:val="false"/>
                <w:color w:val="000000"/>
                <w:sz w:val="20"/>
                <w:szCs w:val="20"/>
              </w:rPr>
              <w:t xml:space="preserve">0,69 – 1,60</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MSY (CMSY / verdadeiro, simulados)</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1,02</w:t>
            </w:r>
          </w:p>
        </w:tc>
        <w:tc>
          <w:tcPr>
            <w:tcW w:type="dxa" w:w="2300"/>
            <w:tcMar>
              <w:top w:type="dxa" w:w="80"/>
              <w:left w:type="dxa" w:w="100"/>
              <w:bottom w:type="dxa" w:w="80"/>
              <w:right w:type="dxa" w:w="100"/>
            </w:tcMar>
          </w:tcPr>
          <w:p>
            <w:r>
              <w:rPr>
                <w:rFonts w:ascii="Calibri" w:cs="Calibri" w:eastAsia="Calibri" w:hAnsi="Calibri"/>
                <w:b w:val="false"/>
                <w:bCs w:val="false"/>
                <w:color w:val="000000"/>
                <w:sz w:val="20"/>
                <w:szCs w:val="20"/>
              </w:rPr>
              <w:t xml:space="preserve">0,53 – 1,62</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r (CMSY / verdadeiro, simulados)</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1,06</w:t>
            </w:r>
          </w:p>
        </w:tc>
        <w:tc>
          <w:tcPr>
            <w:tcW w:type="dxa" w:w="2300"/>
            <w:tcMar>
              <w:top w:type="dxa" w:w="80"/>
              <w:left w:type="dxa" w:w="100"/>
              <w:bottom w:type="dxa" w:w="80"/>
              <w:right w:type="dxa" w:w="100"/>
            </w:tcMar>
          </w:tcPr>
          <w:p>
            <w:r>
              <w:rPr>
                <w:rFonts w:ascii="Calibri" w:cs="Calibri" w:eastAsia="Calibri" w:hAnsi="Calibri"/>
                <w:b w:val="false"/>
                <w:bCs w:val="false"/>
                <w:color w:val="000000"/>
                <w:sz w:val="20"/>
                <w:szCs w:val="20"/>
              </w:rPr>
              <w:t xml:space="preserve">0,59 – 1,73</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k (CMSY / verdadeiro, simulados)</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1,00</w:t>
            </w:r>
          </w:p>
        </w:tc>
        <w:tc>
          <w:tcPr>
            <w:tcW w:type="dxa" w:w="2300"/>
            <w:tcMar>
              <w:top w:type="dxa" w:w="80"/>
              <w:left w:type="dxa" w:w="100"/>
              <w:bottom w:type="dxa" w:w="80"/>
              <w:right w:type="dxa" w:w="100"/>
            </w:tcMar>
          </w:tcPr>
          <w:p>
            <w:r>
              <w:rPr>
                <w:rFonts w:ascii="Calibri" w:cs="Calibri" w:eastAsia="Calibri" w:hAnsi="Calibri"/>
                <w:b w:val="false"/>
                <w:bCs w:val="false"/>
                <w:color w:val="000000"/>
                <w:sz w:val="20"/>
                <w:szCs w:val="20"/>
              </w:rPr>
              <w:t xml:space="preserve">0,58 – 1,80</w:t>
            </w:r>
          </w:p>
        </w:tc>
      </w:tr>
      <w:tr>
        <w:tc>
          <w:tcPr>
            <w:tcW w:type="dxa" w:w="4500"/>
            <w:tcMar>
              <w:top w:type="dxa" w:w="80"/>
              <w:left w:type="dxa" w:w="100"/>
              <w:bottom w:type="dxa" w:w="80"/>
              <w:right w:type="dxa" w:w="100"/>
            </w:tcMar>
          </w:tcPr>
          <w:p>
            <w:r>
              <w:rPr>
                <w:rFonts w:ascii="Calibri" w:cs="Calibri" w:eastAsia="Calibri" w:hAnsi="Calibri"/>
                <w:b w:val="false"/>
                <w:bCs w:val="false"/>
                <w:color w:val="000000"/>
                <w:sz w:val="20"/>
                <w:szCs w:val="20"/>
              </w:rPr>
              <w:t xml:space="preserve">MSY (CMSY / MSY BSM, 128 estoques reais)</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1,02</w:t>
            </w:r>
          </w:p>
        </w:tc>
        <w:tc>
          <w:tcPr>
            <w:tcW w:type="dxa" w:w="2300"/>
            <w:tcMar>
              <w:top w:type="dxa" w:w="80"/>
              <w:left w:type="dxa" w:w="100"/>
              <w:bottom w:type="dxa" w:w="80"/>
              <w:right w:type="dxa" w:w="100"/>
            </w:tcMar>
          </w:tcPr>
          <w:p>
            <w:r>
              <w:rPr>
                <w:rFonts w:ascii="Calibri" w:cs="Calibri" w:eastAsia="Calibri" w:hAnsi="Calibri"/>
                <w:b w:val="false"/>
                <w:bCs w:val="false"/>
                <w:color w:val="000000"/>
                <w:sz w:val="20"/>
                <w:szCs w:val="20"/>
              </w:rPr>
              <w:t xml:space="preserve">0,65 – 1,58</w:t>
            </w:r>
          </w:p>
        </w:tc>
      </w:tr>
    </w:tbl>
    <w:p>
      <w:pPr>
        <w:spacing w:after="160" w:line="276"/>
      </w:pPr>
      <w:r>
        <w:rPr>
          <w:rFonts w:ascii="Calibri" w:cs="Calibri" w:eastAsia="Calibri" w:hAnsi="Calibri"/>
          <w:sz w:val="22"/>
          <w:szCs w:val="22"/>
        </w:rPr>
        <w:t xml:space="preserve">A leitura honesta desses números: a mediana fica sempre perto de 1 (boa concordância central), mas a incerteza em qualquer estoque individual pode ser larga — intervalos de quase 3× ou mais entre o percentil 5 e o 95 não são incomuns. Bouch et al. (2021), citados em Froese et al. (2023), encontraram que CMSY com priors padrão acertou dentro de 50% da avaliação completa em 82% de 17 estoques testados, contra 35% de um método comparável de dados moderados (SPiCT) — mas os mesmos autores apontaram o problema discutido na Seção 8: restrições rígidas demais podem forçar a trajetória a um formato irreal.</w:t>
      </w:r>
    </w:p>
    <w:p>
      <w:pPr>
        <w:pStyle w:val="Heading1"/>
        <w:spacing w:after="160" w:before="360"/>
      </w:pPr>
      <w:r>
        <w:t xml:space="preserve">8. Limitações e cuidados antes de citar um resultado</w:t>
      </w:r>
    </w:p>
    <w:p>
      <w:pPr>
        <w:pBdr>
          <w:left w:val="single" w:color="2E5A8C" w:sz="18"/>
        </w:pBdr>
        <w:shd w:fill="EEF3FA" w:val="clear"/>
        <w:spacing w:after="200" w:before="120"/>
        <w:ind w:left="260"/>
      </w:pPr>
      <w:r>
        <w:rPr>
          <w:rFonts w:ascii="Calibri" w:cs="Calibri" w:eastAsia="Calibri" w:hAnsi="Calibri"/>
          <w:b/>
          <w:bCs/>
          <w:color w:val="1F4E79"/>
          <w:sz w:val="22"/>
          <w:szCs w:val="22"/>
        </w:rPr>
        <w:t xml:space="preserve">(a) Risco de raciocínio circular  </w:t>
      </w:r>
      <w:r>
        <w:rPr>
          <w:rFonts w:ascii="Calibri" w:cs="Calibri" w:eastAsia="Calibri" w:hAnsi="Calibri"/>
          <w:sz w:val="22"/>
          <w:szCs w:val="22"/>
        </w:rPr>
        <w:t xml:space="preserve">Froese et al. (2017) colocam isso como pergunta em aberto no próprio artigo: “é circular usar o status conhecido (ou suposto) do estoque como prior de biomassa?”. Se o prior de B/k já foi escolhido porque “o estoque parece sobrepescado”, a posteriori vai mecanicamente devolver um estoque sobrepescado — não porque os dados provaram isso, mas porque essa conclusão já estava embutida na premissa.</w:t>
      </w:r>
    </w:p>
    <w:p>
      <w:pPr>
        <w:pBdr>
          <w:left w:val="single" w:color="2E5A8C" w:sz="18"/>
        </w:pBdr>
        <w:shd w:fill="EEF3FA" w:val="clear"/>
        <w:spacing w:after="200" w:before="120"/>
        <w:ind w:left="260"/>
      </w:pPr>
      <w:r>
        <w:rPr>
          <w:rFonts w:ascii="Calibri" w:cs="Calibri" w:eastAsia="Calibri" w:hAnsi="Calibri"/>
          <w:b/>
          <w:bCs/>
          <w:color w:val="1F4E79"/>
          <w:sz w:val="22"/>
          <w:szCs w:val="22"/>
        </w:rPr>
        <w:t xml:space="preserve">(b) r costuma ser fracamente identificado, “absorvido” pelo prior de B/k  </w:t>
      </w:r>
      <w:r>
        <w:rPr>
          <w:rFonts w:ascii="Calibri" w:cs="Calibri" w:eastAsia="Calibri" w:hAnsi="Calibri"/>
          <w:sz w:val="22"/>
          <w:szCs w:val="22"/>
        </w:rPr>
        <w:t xml:space="preserve">Este é um achado do seu próprio artigo sobre camarões brasileiros (Silva, Andrade &amp; Frédou, submetido à Fisheries Research): como a filtragem Monte Carlo é dominada pela janela de depleção assumida, r acaba atuando como um parâmetro adaptativo que se ajusta para produzir trajetórias compatíveis com aquela janela, em vez de ser genuinamente informado pela série de captura. No caso dos camarões peneídeos, isso levou a estimativas de r sistematicamente empurradas para o limite inferior do prior em quase todos os cenários — biologicamente implausível para um grupo de alto turnover reprodutivo, onde métodos demográficos independentes chegam a r ≈ 0,8 para L. schmitti.</w:t>
      </w:r>
    </w:p>
    <w:p>
      <w:pPr>
        <w:pBdr>
          <w:left w:val="single" w:color="2E5A8C" w:sz="18"/>
        </w:pBdr>
        <w:shd w:fill="EEF3FA" w:val="clear"/>
        <w:spacing w:after="200" w:before="120"/>
        <w:ind w:left="260"/>
      </w:pPr>
      <w:r>
        <w:rPr>
          <w:rFonts w:ascii="Calibri" w:cs="Calibri" w:eastAsia="Calibri" w:hAnsi="Calibri"/>
          <w:b/>
          <w:bCs/>
          <w:color w:val="1F4E79"/>
          <w:sz w:val="22"/>
          <w:szCs w:val="22"/>
        </w:rPr>
        <w:t xml:space="preserve">(c) Queda de captura não é sinônimo de queda de biomassa  </w:t>
      </w:r>
      <w:r>
        <w:rPr>
          <w:rFonts w:ascii="Calibri" w:cs="Calibri" w:eastAsia="Calibri" w:hAnsi="Calibri"/>
          <w:sz w:val="22"/>
          <w:szCs w:val="22"/>
        </w:rPr>
        <w:t xml:space="preserve">A mesma limitação aparece de outro ângulo: uma série de capturas em declínio pode refletir depleção real do estoque, mas também retração da frota, perda de competitividade econômica frente a outras fontes (como a aquicultura, no caso dos camarões), ou mudança de mercado — nada disso aparece separado na série de capturas. Sem dados de esforço de pesca, o CMSY/CMSY++ não tem como distinguir essas causas; ele simplesmente lê qualquer queda de captura como um sinal (indireto) sobre a biomassa.</w:t>
      </w:r>
    </w:p>
    <w:p>
      <w:pPr>
        <w:pBdr>
          <w:left w:val="single" w:color="2E5A8C" w:sz="18"/>
        </w:pBdr>
        <w:shd w:fill="EEF3FA" w:val="clear"/>
        <w:spacing w:after="200" w:before="120"/>
        <w:ind w:left="260"/>
      </w:pPr>
      <w:r>
        <w:rPr>
          <w:rFonts w:ascii="Calibri" w:cs="Calibri" w:eastAsia="Calibri" w:hAnsi="Calibri"/>
          <w:b/>
          <w:bCs/>
          <w:color w:val="1F4E79"/>
          <w:sz w:val="22"/>
          <w:szCs w:val="22"/>
        </w:rPr>
        <w:t xml:space="preserve">(d) A curva de equilíbrio é uma simplificação forte  </w:t>
      </w:r>
      <w:r>
        <w:rPr>
          <w:rFonts w:ascii="Calibri" w:cs="Calibri" w:eastAsia="Calibri" w:hAnsi="Calibri"/>
          <w:sz w:val="22"/>
          <w:szCs w:val="22"/>
        </w:rPr>
        <w:t xml:space="preserve">O próprio resumo de Froese et al. (2023) reconhece que a relação de equilíbrio captura-biomassa do Schaefer modificado, quando comparada a modelos alternativos de produção excedente e a modelos estruturados por idade, “pode ser fortemente enviesada, subestimando a biomassa necessária para sustentar as capturas observadas em níveis baixos de abundância”.</w:t>
      </w:r>
    </w:p>
    <w:p>
      <w:pPr>
        <w:pBdr>
          <w:left w:val="single" w:color="2E5A8C" w:sz="18"/>
        </w:pBdr>
        <w:shd w:fill="EEF3FA" w:val="clear"/>
        <w:spacing w:after="200" w:before="120"/>
        <w:ind w:left="260"/>
      </w:pPr>
      <w:r>
        <w:rPr>
          <w:rFonts w:ascii="Calibri" w:cs="Calibri" w:eastAsia="Calibri" w:hAnsi="Calibri"/>
          <w:b/>
          <w:bCs/>
          <w:color w:val="1F4E79"/>
          <w:sz w:val="22"/>
          <w:szCs w:val="22"/>
        </w:rPr>
        <w:t xml:space="preserve">(e) Restrições rígidas podem forçar um formato irreal na trajetória  </w:t>
      </w:r>
      <w:r>
        <w:rPr>
          <w:rFonts w:ascii="Calibri" w:cs="Calibri" w:eastAsia="Calibri" w:hAnsi="Calibri"/>
          <w:sz w:val="22"/>
          <w:szCs w:val="22"/>
        </w:rPr>
        <w:t xml:space="preserve">Bouch et al. (2021) mostraram que restrições de biomassa impostas pelo usuário ou pelo software (mesmo as “suaves” do BSM) podem obrigar a trajetória estimada a assumir um formato que os dados, por si só, não sustentariam. O CMSY++ suaviza isso com priors beta em vez de caixas rígidas, e permite relaxar os priors de depleção quando há dado real de abundância — mas a tensão de fundo continua.</w:t>
      </w:r>
    </w:p>
    <w:p>
      <w:pPr>
        <w:pBdr>
          <w:left w:val="single" w:color="2E5A8C" w:sz="18"/>
        </w:pBdr>
        <w:shd w:fill="EEF3FA" w:val="clear"/>
        <w:spacing w:after="200" w:before="120"/>
        <w:ind w:left="260"/>
      </w:pPr>
      <w:r>
        <w:rPr>
          <w:rFonts w:ascii="Calibri" w:cs="Calibri" w:eastAsia="Calibri" w:hAnsi="Calibri"/>
          <w:b/>
          <w:bCs/>
          <w:color w:val="1F4E79"/>
          <w:sz w:val="22"/>
          <w:szCs w:val="22"/>
        </w:rPr>
        <w:t xml:space="preserve">(f) É um indicador de triagem, não uma avaliação completa  </w:t>
      </w:r>
      <w:r>
        <w:rPr>
          <w:rFonts w:ascii="Calibri" w:cs="Calibri" w:eastAsia="Calibri" w:hAnsi="Calibri"/>
          <w:sz w:val="22"/>
          <w:szCs w:val="22"/>
        </w:rPr>
        <w:t xml:space="preserve">Martell &amp; Froese (2013) são explícitos: “não propomos o uso [dos valores-padrão] para avaliação séria de estoque”. O método foi desenhado para dar uma primeira leitura, precaucionária, em situações onde nenhuma avaliação melhor é viável — não para substituir uma quando os dados e o interesse de manejo justificam uma.</w:t>
      </w:r>
    </w:p>
    <w:p>
      <w:pPr>
        <w:pBdr>
          <w:left w:val="single" w:color="2E5A8C" w:sz="18"/>
        </w:pBdr>
        <w:shd w:fill="EEF3FA" w:val="clear"/>
        <w:spacing w:after="200" w:before="120"/>
        <w:ind w:left="260"/>
      </w:pPr>
      <w:r>
        <w:rPr>
          <w:rFonts w:ascii="Calibri" w:cs="Calibri" w:eastAsia="Calibri" w:hAnsi="Calibri"/>
          <w:b/>
          <w:bCs/>
          <w:color w:val="1F4E79"/>
          <w:sz w:val="22"/>
          <w:szCs w:val="22"/>
        </w:rPr>
        <w:t xml:space="preserve">(g) Só funciona se a captura já se aproximou do MSY em algum momento  </w:t>
      </w:r>
      <w:r>
        <w:rPr>
          <w:rFonts w:ascii="Calibri" w:cs="Calibri" w:eastAsia="Calibri" w:hAnsi="Calibri"/>
          <w:sz w:val="22"/>
          <w:szCs w:val="22"/>
        </w:rPr>
        <w:t xml:space="preserve">Se um estoque nunca foi explorado perto do seu potencial (capturas sempre bem abaixo do MSY real), a lógica central do método — usar o padrão da série de captura como “experimento” sobre produtividade e escala — simplesmente não tem o que revelar; os próprios autores do CMSY++ (Fig. 4) marcam esse caso como fora do escopo do método.</w:t>
      </w:r>
    </w:p>
    <w:p>
      <w:pPr>
        <w:pStyle w:val="Heading1"/>
        <w:spacing w:after="160" w:before="360"/>
      </w:pPr>
      <w:r>
        <w:t xml:space="preserve">Referências</w:t>
      </w:r>
    </w:p>
    <w:p>
      <w:pPr>
        <w:spacing w:after="160" w:line="276"/>
      </w:pPr>
      <w:r>
        <w:rPr>
          <w:rFonts w:ascii="Calibri" w:cs="Calibri" w:eastAsia="Calibri" w:hAnsi="Calibri"/>
          <w:sz w:val="22"/>
          <w:szCs w:val="22"/>
        </w:rPr>
        <w:t xml:space="preserve">Bouch, P., Minto, C. &amp; Reid, D.G. (2021). Comparative performance of data-poor CMSY and data-moderate SPiCT stock assessment methods when applied to data-rich, real-world stocks. ICES Journal of Marine Science 78, 264–279.</w:t>
      </w:r>
    </w:p>
    <w:p>
      <w:pPr>
        <w:spacing w:after="160" w:line="276"/>
      </w:pPr>
      <w:r>
        <w:rPr>
          <w:rFonts w:ascii="Calibri" w:cs="Calibri" w:eastAsia="Calibri" w:hAnsi="Calibri"/>
          <w:sz w:val="22"/>
          <w:szCs w:val="22"/>
        </w:rPr>
        <w:t xml:space="preserve">Froese, R., Demirel, N., Coro, G., Kleisner, K.M. &amp; Winker, H. (2017). Estimating fisheries reference points from catch and resilience. Fish and Fisheries 18, 506–526.</w:t>
      </w:r>
    </w:p>
    <w:p>
      <w:pPr>
        <w:spacing w:after="160" w:line="276"/>
      </w:pPr>
      <w:r>
        <w:rPr>
          <w:rFonts w:ascii="Calibri" w:cs="Calibri" w:eastAsia="Calibri" w:hAnsi="Calibri"/>
          <w:sz w:val="22"/>
          <w:szCs w:val="22"/>
        </w:rPr>
        <w:t xml:space="preserve">Froese, R., Winker, H., Coro, G., Palomares, M.L.D., Tsikliras, A.C., Dimarchopoulou, D., Touloumis, K., Demirel, N., Vianna, G.M.S., Scarcella, G., Schijns, R., Liang, C. &amp; Pauly, D. (2023). New developments in the analysis of catch time series as the basis for fish stock assessments: The CMSY++ method. Acta Ichthyologica et Piscatoria 53, 173–189.</w:t>
      </w:r>
    </w:p>
    <w:p>
      <w:pPr>
        <w:spacing w:after="160" w:line="276"/>
      </w:pPr>
      <w:r>
        <w:rPr>
          <w:rFonts w:ascii="Calibri" w:cs="Calibri" w:eastAsia="Calibri" w:hAnsi="Calibri"/>
          <w:sz w:val="22"/>
          <w:szCs w:val="22"/>
        </w:rPr>
        <w:t xml:space="preserve">Kimura, D.K. &amp; Tagart, J.V. (1982). Stock Reduction Analysis, another solution to the catch equations. Canadian Journal of Fisheries and Aquatic Sciences 39, 1467–1472.</w:t>
      </w:r>
    </w:p>
    <w:p>
      <w:pPr>
        <w:spacing w:after="160" w:line="276"/>
      </w:pPr>
      <w:r>
        <w:rPr>
          <w:rFonts w:ascii="Calibri" w:cs="Calibri" w:eastAsia="Calibri" w:hAnsi="Calibri"/>
          <w:sz w:val="22"/>
          <w:szCs w:val="22"/>
        </w:rPr>
        <w:t xml:space="preserve">MacCall, A.D. (2009). Depletion-corrected average catch: a simple formula for estimating sustainable yields in data-poor situations. ICES Journal of Marine Science 66, 2267–2271.</w:t>
      </w:r>
    </w:p>
    <w:p>
      <w:pPr>
        <w:spacing w:after="160" w:line="276"/>
      </w:pPr>
      <w:r>
        <w:rPr>
          <w:rFonts w:ascii="Calibri" w:cs="Calibri" w:eastAsia="Calibri" w:hAnsi="Calibri"/>
          <w:sz w:val="22"/>
          <w:szCs w:val="22"/>
        </w:rPr>
        <w:t xml:space="preserve">Martell, S. &amp; Froese, R. (2013). A simple method for estimating MSY from catch and resilience. Fish and Fisheries 14, 504–514.</w:t>
      </w:r>
    </w:p>
    <w:p>
      <w:pPr>
        <w:spacing w:after="160" w:line="276"/>
      </w:pPr>
      <w:r>
        <w:rPr>
          <w:rFonts w:ascii="Calibri" w:cs="Calibri" w:eastAsia="Calibri" w:hAnsi="Calibri"/>
          <w:sz w:val="22"/>
          <w:szCs w:val="22"/>
        </w:rPr>
        <w:t xml:space="preserve">Plummer, M. (2003). JAGS: A program for analysis of Bayesian graphical models using Gibbs sampling. Proceedings of the 3rd International Workshop on Distributed Statistical Computing.</w:t>
      </w:r>
    </w:p>
    <w:p>
      <w:pPr>
        <w:spacing w:after="160" w:line="276"/>
      </w:pPr>
      <w:r>
        <w:rPr>
          <w:rFonts w:ascii="Calibri" w:cs="Calibri" w:eastAsia="Calibri" w:hAnsi="Calibri"/>
          <w:sz w:val="22"/>
          <w:szCs w:val="22"/>
        </w:rPr>
        <w:t xml:space="preserve">Schaefer, M.B. (1954). Some aspects of the dynamics of populations important to the management of the commercial marine fisheries. Bulletin of the Inter-American Tropical Tuna Commission 1, 27–56.</w:t>
      </w:r>
    </w:p>
    <w:p>
      <w:pPr>
        <w:spacing w:after="160" w:line="276"/>
      </w:pPr>
      <w:r>
        <w:rPr>
          <w:rFonts w:ascii="Calibri" w:cs="Calibri" w:eastAsia="Calibri" w:hAnsi="Calibri"/>
          <w:sz w:val="22"/>
          <w:szCs w:val="22"/>
        </w:rPr>
        <w:t xml:space="preserve">Silva, M.L.S., Andrade, H.A. &amp; Frédou, F.L. How healthy are Brazil’s shrimp stocks? A catch-based assessment using reconstructed data. Manuscrito submetido à Fisheries Research.</w:t>
      </w:r>
    </w:p>
    <w:p>
      <w:pPr>
        <w:spacing w:after="160" w:line="276"/>
      </w:pPr>
      <w:r>
        <w:rPr>
          <w:rFonts w:ascii="Calibri" w:cs="Calibri" w:eastAsia="Calibri" w:hAnsi="Calibri"/>
          <w:sz w:val="22"/>
          <w:szCs w:val="22"/>
        </w:rPr>
        <w:t xml:space="preserve">Walters, C.J., Martell, S.J.D. &amp; Korman, J. (2006). A stochastic approach to stock reduction analysis. Canadian Journal of Fisheries and Aquatic Sciences 63, 212–223.</w:t>
      </w:r>
    </w:p>
    <w:p>
      <w:pPr>
        <w:spacing w:after="160" w:line="276"/>
      </w:pPr>
      <w:r>
        <w:rPr>
          <w:rFonts w:ascii="Calibri" w:cs="Calibri" w:eastAsia="Calibri" w:hAnsi="Calibri"/>
          <w:sz w:val="22"/>
          <w:szCs w:val="22"/>
        </w:rPr>
        <w:t xml:space="preserve">Zhou, S., Punt, A.E., Smith, A.D.M., Ye, Y., Haddon, M., Dichmont, C.M. &amp; Smith, D.C. (2017). An optimized catch-only assessment method for data poor fisheries. ICES Journal of Marine Science 75, 964–976.</w:t>
      </w:r>
    </w:p>
    <w:sectPr>
      <w:pgSz w:w="11907" w:h="16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pPr>
    <w:rPr>
      <w:rFonts w:ascii="Calibri" w:cs="Calibri" w:eastAsia="Calibri" w:hAnsi="Calibri"/>
      <w:b/>
      <w:bCs/>
      <w:color w:val="1F4E79"/>
      <w:sz w:val="32"/>
      <w:szCs w:val="32"/>
    </w:rPr>
  </w:style>
  <w:style w:type="paragraph" w:styleId="Heading2">
    <w:name w:val="Heading 2"/>
    <w:basedOn w:val="Normal"/>
    <w:next w:val="Normal"/>
    <w:qFormat/>
    <w:pPr>
      <w:keepNext/>
      <w:spacing w:after="120" w:before="260"/>
    </w:pPr>
    <w:rPr>
      <w:rFonts w:ascii="Calibri" w:cs="Calibri" w:eastAsia="Calibri" w:hAnsi="Calibri"/>
      <w:b/>
      <w:bCs/>
      <w:color w:val="2E5A8C"/>
      <w:sz w:val="26"/>
      <w:szCs w:val="26"/>
    </w:rPr>
  </w:style>
  <w:style w:type="paragraph" w:styleId="Heading3">
    <w:name w:val="Heading 3"/>
    <w:basedOn w:val="Normal"/>
    <w:next w:val="Normal"/>
    <w:qFormat/>
    <w:pPr>
      <w:keepNext/>
      <w:spacing w:after="100" w:before="200"/>
    </w:pPr>
    <w:rPr>
      <w:rFonts w:ascii="Calibri" w:cs="Calibri" w:eastAsia="Calibri" w:hAnsi="Calibri"/>
      <w:b/>
      <w:bCs/>
      <w:i/>
      <w:iCs/>
      <w:color w:val="2E5A8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2026-09-20T17:37:04.395Z</dcterms:created>
  <dcterms:modified xsi:type="dcterms:W3CDTF">2026-09-20T17:37:04.395Z</dcterms:modified>
</cp:coreProperties>
</file>

<file path=docProps/custom.xml><?xml version="1.0" encoding="utf-8"?>
<Properties xmlns="http://schemas.openxmlformats.org/officeDocument/2006/custom-properties" xmlns:vt="http://schemas.openxmlformats.org/officeDocument/2006/docPropsVTypes"/>
</file>