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44"/>
          <w:szCs w:val="44"/>
        </w:rPr>
        <w:t xml:space="preserve">JABBA</w:t>
      </w:r>
    </w:p>
    <w:p>
      <w:pPr>
        <w:spacing w:after="60"/>
        <w:jc w:val="center"/>
      </w:pPr>
      <w:r>
        <w:rPr>
          <w:b/>
          <w:bCs/>
          <w:color w:val="2E5A8C"/>
          <w:sz w:val="26"/>
          <w:szCs w:val="26"/>
        </w:rPr>
        <w:t xml:space="preserve">Just Another Bayesian Biomass Assessment</w:t>
      </w:r>
    </w:p>
    <w:p>
      <w:pPr>
        <w:spacing w:after="260"/>
        <w:jc w:val="center"/>
      </w:pPr>
      <w:r>
        <w:rPr>
          <w:i/>
          <w:iCs/>
          <w:sz w:val="24"/>
          <w:szCs w:val="24"/>
        </w:rPr>
        <w:t xml:space="preserve">Guia didático: como r, K, captura e índice de abundância conversam dentro de um modelo bayesiano espaço-estado</w:t>
      </w:r>
    </w:p>
    <w:p>
      <w:pPr>
        <w:spacing w:after="340"/>
        <w:jc w:val="center"/>
      </w:pPr>
      <w:r>
        <w:rPr>
          <w:color w:val="555555"/>
          <w:sz w:val="20"/>
          <w:szCs w:val="20"/>
        </w:rPr>
        <w:t xml:space="preserve">Baseado em Winker, Carvalho &amp; Kapur (2018), no curso de Mourato &amp; Sant’Ana (2021) e na leitura direta do código de JABBA::build_jabba() e JABBA::fit_jabba().</w:t>
      </w:r>
    </w:p>
    <w:p>
      <w:pPr>
        <w:pBdr>
          <w:left w:val="single" w:color="2E5A8C" w:sz="18"/>
        </w:pBdr>
        <w:shd w:fill="EEF3FA" w:val="clear"/>
        <w:spacing w:after="200" w:before="120"/>
        <w:ind w:left="2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COMO LER ESTE DOCUMENTO  </w:t>
      </w:r>
      <w:r>
        <w:rPr>
          <w:rFonts w:ascii="Calibri" w:cs="Calibri" w:eastAsia="Calibri" w:hAnsi="Calibri"/>
          <w:sz w:val="22"/>
          <w:szCs w:val="22"/>
        </w:rPr>
        <w:t xml:space="preserve">A ordem aqui é a ordem em que o modelo precisa ser entendido, e não a ordem em que o código roda. Seções 1 e 2: o que é o JABBA e o que r, K e m significam de verdade. Seção 3: a dinâmica ano a ano de captura e biomassa, com um exemplo numérico calculado à mão. Seção 4: onde entra a CPUE e por que ela é a peça que separa r de K — é o coração da sua dúvida. Seção 5: o modelo espaço-estado (os dois erros). Seção 6: a máquina bayesiana (priors, verossimilhança, MCMC). Seção 7: o que build_jabba() e fit_jabba() de fato fazem, linha a linha. Seções 8 a 10: diagnósticos, projeções e limitações.</w:t>
      </w:r>
    </w:p>
    <w:p>
      <w:pPr>
        <w:pStyle w:val="Heading1"/>
        <w:spacing w:after="160" w:before="360"/>
      </w:pPr>
      <w:r>
        <w:t xml:space="preserve">1. O que é o JABBA e de onde ele veio</w:t>
      </w:r>
    </w:p>
    <w:p>
      <w:pPr>
        <w:pStyle w:val="Heading2"/>
        <w:spacing w:after="120" w:before="260"/>
      </w:pPr>
      <w:r>
        <w:t xml:space="preserve">1.1 O problema que ele resolve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Modelos de produção excedente (SPM, surplus production models) são a família de modelos de avaliação de estoque com menos parâmetros e menos exigência de dados que ainda assim produz estimativas de MSY e de pontos de referência de manejo. Eles tratam o estoque como uma única massa de biomassa, sem estrutura de idade: crescimento somático, reprodução, mortalidade natural e denso-dependência ficam todos embutidos na interação de dois parâmetros — a taxa intrínseca de crescimento populacional (r) e a capacidade de suporte (K).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Para rodar um SPM você precisa de duas coisas apenas: uma série de capturas e um índice de abundância. O índice quase sempre é CPUE padronizada. A pergunta que o modelo responde é: qual combinação de produtividade e tamanho de estoque explica, ao mesmo tempo, o quanto foi retirado e o que o índice de abundância mostrou ao longo do tempo?</w:t>
      </w:r>
    </w:p>
    <w:p>
      <w:pPr>
        <w:pStyle w:val="Heading2"/>
        <w:spacing w:after="120" w:before="260"/>
      </w:pPr>
      <w:r>
        <w:t xml:space="preserve">1.2 A linhagem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Schaefer (1954): </w:t>
      </w:r>
      <w:r>
        <w:rPr>
          <w:rFonts w:ascii="Calibri" w:cs="Calibri" w:eastAsia="Calibri" w:hAnsi="Calibri"/>
          <w:sz w:val="22"/>
          <w:szCs w:val="22"/>
        </w:rPr>
        <w:t xml:space="preserve">a curva logística clássica. Produção máxima exatamente em B = K/2, curva simétrica.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Pella &amp; Tomlinson (1969) e Fletcher (1978): </w:t>
      </w:r>
      <w:r>
        <w:rPr>
          <w:rFonts w:ascii="Calibri" w:cs="Calibri" w:eastAsia="Calibri" w:hAnsi="Calibri"/>
          <w:sz w:val="22"/>
          <w:szCs w:val="22"/>
        </w:rPr>
        <w:t xml:space="preserve">generalizam a curva com um terceiro parâmetro de forma (m), permitindo que o pico de produção fique em qualquer B/K, não só em 0,5.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Meyer &amp; Millar (1999) e Millar &amp; Meyer (2000): </w:t>
      </w:r>
      <w:r>
        <w:rPr>
          <w:rFonts w:ascii="Calibri" w:cs="Calibri" w:eastAsia="Calibri" w:hAnsi="Calibri"/>
          <w:sz w:val="22"/>
          <w:szCs w:val="22"/>
        </w:rPr>
        <w:t xml:space="preserve">formulam o SPM como modelo bayesiano espaço-estado, separando erro de processo (a natureza é variável) de erro de observação (o índice é medido com ruído). Esse é o salto conceitual que o JABBA herda.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ASPIC (Prager) e BSP2 (McAllister): </w:t>
      </w:r>
      <w:r>
        <w:rPr>
          <w:rFonts w:ascii="Calibri" w:cs="Calibri" w:eastAsia="Calibri" w:hAnsi="Calibri"/>
          <w:sz w:val="22"/>
          <w:szCs w:val="22"/>
        </w:rPr>
        <w:t xml:space="preserve">os softwares que dominaram as avaliações de atuns e tubarões nas RFMOs. O maior limite do ASPIC é não estimar erro de processo — os pontos de referência ficam inteiramente dependentes das tendências do índice.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JABBA (Winker, Carvalho &amp; Kapur, 2018): </w:t>
      </w:r>
      <w:r>
        <w:rPr>
          <w:rFonts w:ascii="Calibri" w:cs="Calibri" w:eastAsia="Calibri" w:hAnsi="Calibri"/>
          <w:sz w:val="22"/>
          <w:szCs w:val="22"/>
        </w:rPr>
        <w:t xml:space="preserve">um pacote R aberto que roda em JAGS, unificando essas ideias com foco em flexibilidade de cenários, estabilidade de convergência e um conjunto embutido de diagnósticos.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O que o JABBA trouxe de novo, segundo o próprio artigo: (1) ajuste e ponderação automática de múltiplas séries de CPUE dentro de um arcabouço espaço-estado; (2) estimação de variância de observação adicional por índice ou por grupo de índices; (3) escolha entre Fox, Schaefer ou Pella-Tomlinson, com opção de estimar a forma; (4) opções de fixar ou estimar as componentes de variância de processo e observação; (5) ferramentas de diagnóstico; (6) projeções sob regimes alternativos de captura; e (7) um conjunto de gráficos prontos.</w:t>
      </w:r>
    </w:p>
    <w:p>
      <w:pPr>
        <w:pStyle w:val="Heading1"/>
        <w:spacing w:after="160" w:before="360"/>
      </w:pPr>
      <w:r>
        <w:t xml:space="preserve">2. As três peças da produção: r, K e m</w:t>
      </w:r>
    </w:p>
    <w:p>
      <w:pPr>
        <w:pStyle w:val="Heading2"/>
        <w:spacing w:after="120" w:before="260"/>
      </w:pPr>
      <w:r>
        <w:t xml:space="preserve">2.1 O que cada uma significa, em linguagem simples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 (capacidade de suporte) = o tamanho. </w:t>
      </w:r>
      <w:r>
        <w:rPr>
          <w:rFonts w:ascii="Calibri" w:cs="Calibri" w:eastAsia="Calibri" w:hAnsi="Calibri"/>
          <w:sz w:val="22"/>
          <w:szCs w:val="22"/>
        </w:rPr>
        <w:t xml:space="preserve">A biomassa que o estoque atinge sem pesca nenhuma. Define a escala vertical de tudo: biomassa, MSY, Bmsy.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 (taxa intrínseca de crescimento) = a velocidade. </w:t>
      </w:r>
      <w:r>
        <w:rPr>
          <w:rFonts w:ascii="Calibri" w:cs="Calibri" w:eastAsia="Calibri" w:hAnsi="Calibri"/>
          <w:sz w:val="22"/>
          <w:szCs w:val="22"/>
        </w:rPr>
        <w:t xml:space="preserve">O quão rápido a população repõe o que foi retirado quando está longe de K. Um estoque com r alto aguenta retiradas proporcionalmente maiores e se recupera mais rápido.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 (parâmetro de forma) = onde fica o pico. </w:t>
      </w:r>
      <w:r>
        <w:rPr>
          <w:rFonts w:ascii="Calibri" w:cs="Calibri" w:eastAsia="Calibri" w:hAnsi="Calibri"/>
          <w:sz w:val="22"/>
          <w:szCs w:val="22"/>
        </w:rPr>
        <w:t xml:space="preserve">Define em que fração de K a produção é máxima, ou seja, onde está Bmsy. Não muda o “quanto”, muda o “onde”.</w:t>
      </w:r>
    </w:p>
    <w:p>
      <w:pPr>
        <w:pStyle w:val="Heading2"/>
        <w:spacing w:after="120" w:before="260"/>
      </w:pPr>
      <w:r>
        <w:t xml:space="preserve">2.2 A função de produção e os pontos de referência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 função de produção excedente generalizada de Pella-Tomlinson, que é a base do JABBA:</w:t>
      </w:r>
    </w:p>
    <w:p>
      <w:pPr>
        <w:spacing w:after="200" w:before="12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SP(t) = [r / (m − 1)] · B(t) · [1 − (B(t)/K)^(m−1)]      (Eq. 1)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SP é a produção excedente do ano: tudo que a população produziu de biomassa nova (crescimento + recrutamento − mortalidade natural) e que, em tese, poderia ser retirado sem reduzir o estoque. Repare no comportamento da equação nos extremos: se B está perto de K, o termo entre colchetes vai a zero e a produção some (o estoque está cheio, não sobra nada); se B está perto de zero, B multiplicando o resto leva a produção a zero também (não há peixe para produzir). No meio do caminho fica o pico.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Desse pico saem todos os pontos de referência, sem precisar estimar nada a mais: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300"/>
        <w:gridCol w:w="1500"/>
      </w:tblGrid>
      <w:tr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Quantidade</w:t>
            </w:r>
          </w:p>
        </w:tc>
        <w:tc>
          <w:tcPr>
            <w:tcW w:type="dxa" w:w="4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Fórmula</w:t>
            </w:r>
          </w:p>
        </w:tc>
        <w:tc>
          <w:tcPr>
            <w:tcW w:type="dxa" w:w="1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Eq.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Bmsy/K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m^(−1/(m−1))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(2)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Bmsy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 · m^(−1/(m−1))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(3)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Fmsy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[r/(m−1)] · (1 − 1/m)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(4)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 (mortalidade por pesca)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 / B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(5)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MSY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Fmsy · Bmsy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(6)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 (invertendo)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(MSY/Bmsy) · (m−1)/(1 − 1/m)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(7)</w:t>
            </w:r>
          </w:p>
        </w:tc>
      </w:tr>
    </w:tbl>
    <w:p>
      <w:pPr>
        <w:pBdr>
          <w:left w:val="single" w:color="2E5A8C" w:sz="18"/>
        </w:pBdr>
        <w:shd w:fill="EEF3FA" w:val="clear"/>
        <w:spacing w:after="200" w:before="120"/>
        <w:ind w:left="2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POR QUE A EQ. 7 IMPORTA  </w:t>
      </w:r>
      <w:r>
        <w:rPr>
          <w:rFonts w:ascii="Calibri" w:cs="Calibri" w:eastAsia="Calibri" w:hAnsi="Calibri"/>
          <w:sz w:val="22"/>
          <w:szCs w:val="22"/>
        </w:rPr>
        <w:t xml:space="preserve">Ela permite traduzir resultados de um modelo estruturado por idade (que estima MSY e Bmsy via análise por recruta com curva de Beverton-Holt) em valores de r e m para alimentar o SPM. É assim que priors “espécie-específicos” de r saem de modelos de equilíbrio demográfico, em vez de virem só de categorias genéricas de resiliência.</w:t>
      </w:r>
    </w:p>
    <w:p>
      <w:pPr>
        <w:pStyle w:val="Heading2"/>
        <w:spacing w:after="120" w:before="260"/>
      </w:pPr>
      <w:r>
        <w:t xml:space="preserve">2.3 O valor de m decide o modelo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Os três “modelos” que você escolhe em model.type são, na verdade, o mesmo modelo com m diferente (valores calculados numericamente a partir da Eq. 2):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000"/>
        <w:gridCol w:w="2600"/>
      </w:tblGrid>
      <w:tr>
        <w:tc>
          <w:tcPr>
            <w:tcW w:type="dxa" w:w="2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model.type</w:t>
            </w:r>
          </w:p>
        </w:tc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Bmsy/K</w:t>
            </w:r>
          </w:p>
        </w:tc>
        <w:tc>
          <w:tcPr>
            <w:tcW w:type="dxa" w:w="2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Fmsy (se r = 0,40)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Fox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1,001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0,368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0,400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Schaefer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0,500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0,200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Pella (BmsyK = 0,40)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1,188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0,400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0,337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Pella (BmsyK = 0,30)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0,681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0,300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0,587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Pella_m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estimado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estimado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Duas leituras importantes dessa tabela. Primeira: quanto mais baixo o Bmsy/K que você assume, mais “produtivo” o estoque fica para um mesmo r — o Fmsy quase dobra entre Schaefer e Fox. Segunda: a escolha de m não é um detalhe técnico, é uma hipótese biológica sobre em que nível de depleção o estoque produz mais. No código, a conversão de Bmsy/K em m é feita por busca numérica:</w:t>
      </w:r>
    </w:p>
    <w:p>
      <w:pPr>
        <w:shd w:fill="F4F4F4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getshape = function(model, BmsyK) {</w:t>
      </w:r>
      <w:r>
        <w:rPr>
          <w:rFonts w:ascii="Consolas" w:cs="Consolas" w:eastAsia="Consolas" w:hAnsi="Consolas"/>
          <w:sz w:val="18"/>
          <w:szCs w:val="18"/>
        </w:rPr>
        <w:br/>
        <w:t xml:space="preserve">  ishape = seq(0.1, 10, 0.001)</w:t>
      </w:r>
      <w:r>
        <w:rPr>
          <w:rFonts w:ascii="Consolas" w:cs="Consolas" w:eastAsia="Consolas" w:hAnsi="Consolas"/>
          <w:sz w:val="18"/>
          <w:szCs w:val="18"/>
        </w:rPr>
        <w:br/>
        <w:t xml:space="preserve">  check.shape = ((ishape)^(-1/(ishape - 1)) - BmsyK)^2   # inverte a Eq. 2</w:t>
      </w:r>
      <w:r>
        <w:rPr>
          <w:rFonts w:ascii="Consolas" w:cs="Consolas" w:eastAsia="Consolas" w:hAnsi="Consolas"/>
          <w:sz w:val="18"/>
          <w:szCs w:val="18"/>
        </w:rPr>
        <w:br/>
        <w:t xml:space="preserve">  shape = ishape[check.shape == min(check.shape)]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Em Pella_m (model = 4), m deixa de ser fixo e passa a ser estimado com um prior lognormal de média m e CV = shape.CV (default 0,3).</w:t>
      </w:r>
    </w:p>
    <w:p>
      <w:pPr>
        <w:pStyle w:val="Heading2"/>
        <w:spacing w:after="120" w:before="260"/>
      </w:pPr>
      <w:r>
        <w:t xml:space="preserve">2.4 O “hockey-stick”: Plim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 formulação Pella-Tomlinson pura tem uma propriedade indesejável: para m ≤ 1, a produção por unidade de biomassa tende ao infinito quando a biomassa tende a zero — ou seja, o modelo acredita que um estoque quase extinto se recupera com força infinita. Para corrigir, JABBA permite acoplar uma função “taco de hóquei” abaixo de um limiar Plim:</w:t>
      </w:r>
    </w:p>
    <w:p>
      <w:pPr>
        <w:spacing w:after="200" w:before="12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SP(t) = [r / ((m−1)·Plim)] · B(t) · [1 − (B(t)/K)^(m−1)] · (B/K)   se B/K &lt; Plim      (Eq. 8)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Com Plim = 0 (default) nada disso entra em ação e o modelo é Pella-Tomlinson puro. Valores de Plim entre 0,2 e 0,25 são os mais usados como limiar de sobrepesca de recrutamento. Se você pedir um Plim maior que Bmsy/K, o JABBA automaticamente rebaixa Plim para o próprio Bmsy/K.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3. A dinâmica ano a ano: captura, produção e biomassa</w:t>
      </w:r>
    </w:p>
    <w:p>
      <w:pPr>
        <w:pStyle w:val="Heading2"/>
        <w:spacing w:after="120" w:before="260"/>
      </w:pPr>
      <w:r>
        <w:t xml:space="preserve">3.1 A equação em palavras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Ignorando por um instante o erro de processo, a dinâmica é simplesmente:</w:t>
      </w:r>
    </w:p>
    <w:p>
      <w:pPr>
        <w:spacing w:after="200" w:before="12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B(t) = B(t−1) + SP(B(t−1)) − C(t−1)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Biomassa de hoje = biomassa de ontem + o que a população produziu − o que a pesca tirou. Só isso. Toda a complexidade do JABBA está em (a) qual é a forma de SP (Seção 2), (b) reconhecer que essa conta não é exata (erro de processo, Seção 5) e (c) descobrir r, K e a biomassa inicial a partir do índice de abundância (Seções 4 e 6).</w:t>
      </w:r>
    </w:p>
    <w:p>
      <w:pPr>
        <w:pStyle w:val="Heading2"/>
        <w:spacing w:after="120" w:before="260"/>
      </w:pPr>
      <w:r>
        <w:t xml:space="preserve">3.2 Exemplo numérico: dois estoques com o MESMO MSY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Aqui está o ponto que costuma travar quem está começando. Considere esta série de capturas (15 anos, em toneladas), típica de uma pescaria que cresce, atinge um pico e depois recua: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75"/>
        <w:gridCol w:w="975"/>
        <w:gridCol w:w="975"/>
        <w:gridCol w:w="975"/>
        <w:gridCol w:w="975"/>
        <w:gridCol w:w="975"/>
        <w:gridCol w:w="975"/>
        <w:gridCol w:w="975"/>
      </w:tblGrid>
      <w:tr>
        <w:tc>
          <w:tcPr>
            <w:tcW w:type="dxa" w:w="1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Ano</w:t>
            </w:r>
          </w:p>
        </w:tc>
        <w:tc>
          <w:tcPr>
            <w:tcW w:type="dxa" w:w="975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975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975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975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975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975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975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975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 (t)</w:t>
            </w:r>
          </w:p>
        </w:tc>
        <w:tc>
          <w:tcPr>
            <w:tcW w:type="dxa" w:w="9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W w:type="dxa" w:w="9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400</w:t>
            </w:r>
          </w:p>
        </w:tc>
        <w:tc>
          <w:tcPr>
            <w:tcW w:type="dxa" w:w="9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700</w:t>
            </w:r>
          </w:p>
        </w:tc>
        <w:tc>
          <w:tcPr>
            <w:tcW w:type="dxa" w:w="9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9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1.300</w:t>
            </w:r>
          </w:p>
        </w:tc>
        <w:tc>
          <w:tcPr>
            <w:tcW w:type="dxa" w:w="9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1.400</w:t>
            </w:r>
          </w:p>
        </w:tc>
        <w:tc>
          <w:tcPr>
            <w:tcW w:type="dxa" w:w="9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1.300</w:t>
            </w:r>
          </w:p>
        </w:tc>
        <w:tc>
          <w:tcPr>
            <w:tcW w:type="dxa" w:w="9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1.200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14"/>
        <w:gridCol w:w="1114"/>
        <w:gridCol w:w="1114"/>
        <w:gridCol w:w="1114"/>
        <w:gridCol w:w="1114"/>
        <w:gridCol w:w="1114"/>
        <w:gridCol w:w="1114"/>
      </w:tblGrid>
      <w:tr>
        <w:tc>
          <w:tcPr>
            <w:tcW w:type="dxa" w:w="1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Ano</w:t>
            </w:r>
          </w:p>
        </w:tc>
        <w:tc>
          <w:tcPr>
            <w:tcW w:type="dxa" w:w="1114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1114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dxa" w:w="1114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11</w:t>
            </w:r>
          </w:p>
        </w:tc>
        <w:tc>
          <w:tcPr>
            <w:tcW w:type="dxa" w:w="1114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12</w:t>
            </w:r>
          </w:p>
        </w:tc>
        <w:tc>
          <w:tcPr>
            <w:tcW w:type="dxa" w:w="1114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13</w:t>
            </w:r>
          </w:p>
        </w:tc>
        <w:tc>
          <w:tcPr>
            <w:tcW w:type="dxa" w:w="1114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14</w:t>
            </w:r>
          </w:p>
        </w:tc>
        <w:tc>
          <w:tcPr>
            <w:tcW w:type="dxa" w:w="1114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 (t)</w:t>
            </w:r>
          </w:p>
        </w:tc>
        <w:tc>
          <w:tcPr>
            <w:tcW w:type="dxa" w:w="111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1.100</w:t>
            </w:r>
          </w:p>
        </w:tc>
        <w:tc>
          <w:tcPr>
            <w:tcW w:type="dxa" w:w="111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111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900</w:t>
            </w:r>
          </w:p>
        </w:tc>
        <w:tc>
          <w:tcPr>
            <w:tcW w:type="dxa" w:w="111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850</w:t>
            </w:r>
          </w:p>
        </w:tc>
        <w:tc>
          <w:tcPr>
            <w:tcW w:type="dxa" w:w="111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800</w:t>
            </w:r>
          </w:p>
        </w:tc>
        <w:tc>
          <w:tcPr>
            <w:tcW w:type="dxa" w:w="111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780</w:t>
            </w:r>
          </w:p>
        </w:tc>
        <w:tc>
          <w:tcPr>
            <w:tcW w:type="dxa" w:w="111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760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Agora rode a dinâmica (Schaefer, m = 2, biomassa inicial = 0,95·K) com dois pares de parâmetros diferentes que dão exatamente o mesmo MSY = r·K/4 = 1.000 t: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00"/>
      </w:tblGrid>
      <w:tr>
        <w:tc>
          <w:tcPr>
            <w:tcW w:type="dxa" w:w="2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 A: r = 0,40, K = 10.000</w:t>
            </w:r>
          </w:p>
        </w:tc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 B: r = 0,20, K = 20.000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MSY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1.000 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1.000 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Bmsy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5.000 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10.000 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 no ano 1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9.500 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19.000 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 no ano 15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6.434 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14.213 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B/K no ano 15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0,64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0,71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B/Bmsy no ano 15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1,29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1,42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Menor B/K da série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0,60 (ano 11)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0,71 (ano 13)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Queda total do índice implícito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≈ 37%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≈ 25%</w:t>
            </w:r>
          </w:p>
        </w:tc>
      </w:tr>
    </w:tbl>
    <w:p>
      <w:pPr>
        <w:pBdr>
          <w:left w:val="single" w:color="2E5A8C" w:sz="18"/>
        </w:pBdr>
        <w:shd w:fill="EEF3FA" w:val="clear"/>
        <w:spacing w:after="200" w:before="120"/>
        <w:ind w:left="2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A SACADA  </w:t>
      </w:r>
      <w:r>
        <w:rPr>
          <w:rFonts w:ascii="Calibri" w:cs="Calibri" w:eastAsia="Calibri" w:hAnsi="Calibri"/>
          <w:sz w:val="22"/>
          <w:szCs w:val="22"/>
        </w:rPr>
        <w:t xml:space="preserve">Os dois pares produzem o MESMO MSY, mas trajetórias de biomassa relativa bem diferentes. O estoque de r alto e K pequeno (Par A) “sente” muito mais as capturas: cai a 60% de K e o índice de abundância despenca ~37%. O estoque de r baixo e K grande (Par B) mal se mexe: fica em 71% de K e o índice cai só ~25%. Ou seja: a série de capturas sozinha NÃO consegue separar r de K — mas a MAGNITUDE do declínio do índice consegue. É exatamente para isso que a CPUE serve no JABBA.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Esse é o motivo pelo qual, em modelos de produção, r e K são quase sempre fortemente correlacionados na posterior: existe uma “rua” de combinações que produzem MSY parecidos. O que quebra o empate é o quanto o índice caiu (e subiu) em relação ao quanto foi retirado.</w:t>
      </w:r>
    </w:p>
    <w:p>
      <w:pPr>
        <w:pStyle w:val="Heading2"/>
        <w:spacing w:after="120" w:before="260"/>
      </w:pPr>
      <w:r>
        <w:t xml:space="preserve">3.3 Exemplo numérico: como r, K, biomassa, q e CPUE se ajustam juntos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 Seção 3.2 mostrou o problema: Par A e Par B são indistinguíveis olhando só para a captura. Agora vamos ver a solução — como o JABBA usa um índice de CPUE observado para decidir qual dos dois (ou de qualquer outro candidato) é mais crível. A ideia é simples e é literalmente o que a verossimilhança da Eq. 12 calcula a cada iteração do MCMC: para cada combinação candidata de parâmetros, simule a biomassa, preveja o índice, compare com o índice observado e dê uma nota. Combinações com nota melhor recebem mais peso na posterior.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Suponha que, além da captura, você também tenha observado este índice de CPUE ao longo dos mesmos 15 anos (valores realistas, com um pouco de ruído de observação — nenhum dado de campo é perfeitamente suave):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75"/>
        <w:gridCol w:w="975"/>
        <w:gridCol w:w="975"/>
        <w:gridCol w:w="975"/>
        <w:gridCol w:w="975"/>
        <w:gridCol w:w="975"/>
        <w:gridCol w:w="975"/>
        <w:gridCol w:w="975"/>
      </w:tblGrid>
      <w:tr>
        <w:tc>
          <w:tcPr>
            <w:tcW w:type="dxa" w:w="1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Ano</w:t>
            </w:r>
          </w:p>
        </w:tc>
        <w:tc>
          <w:tcPr>
            <w:tcW w:type="dxa" w:w="975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975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975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975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975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975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975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975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CPUE obs.</w:t>
            </w:r>
          </w:p>
        </w:tc>
        <w:tc>
          <w:tcPr>
            <w:tcW w:type="dxa" w:w="9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9,62</w:t>
            </w:r>
          </w:p>
        </w:tc>
        <w:tc>
          <w:tcPr>
            <w:tcW w:type="dxa" w:w="9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9,10</w:t>
            </w:r>
          </w:p>
        </w:tc>
        <w:tc>
          <w:tcPr>
            <w:tcW w:type="dxa" w:w="9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9,57</w:t>
            </w:r>
          </w:p>
        </w:tc>
        <w:tc>
          <w:tcPr>
            <w:tcW w:type="dxa" w:w="9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9,19</w:t>
            </w:r>
          </w:p>
        </w:tc>
        <w:tc>
          <w:tcPr>
            <w:tcW w:type="dxa" w:w="9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7,64</w:t>
            </w:r>
          </w:p>
        </w:tc>
        <w:tc>
          <w:tcPr>
            <w:tcW w:type="dxa" w:w="9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7,15</w:t>
            </w:r>
          </w:p>
        </w:tc>
        <w:tc>
          <w:tcPr>
            <w:tcW w:type="dxa" w:w="9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6,91</w:t>
            </w:r>
          </w:p>
        </w:tc>
        <w:tc>
          <w:tcPr>
            <w:tcW w:type="dxa" w:w="9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6,35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14"/>
        <w:gridCol w:w="1114"/>
        <w:gridCol w:w="1114"/>
        <w:gridCol w:w="1114"/>
        <w:gridCol w:w="1114"/>
        <w:gridCol w:w="1114"/>
        <w:gridCol w:w="1114"/>
      </w:tblGrid>
      <w:tr>
        <w:tc>
          <w:tcPr>
            <w:tcW w:type="dxa" w:w="1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Ano</w:t>
            </w:r>
          </w:p>
        </w:tc>
        <w:tc>
          <w:tcPr>
            <w:tcW w:type="dxa" w:w="1114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1114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dxa" w:w="1114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11</w:t>
            </w:r>
          </w:p>
        </w:tc>
        <w:tc>
          <w:tcPr>
            <w:tcW w:type="dxa" w:w="1114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12</w:t>
            </w:r>
          </w:p>
        </w:tc>
        <w:tc>
          <w:tcPr>
            <w:tcW w:type="dxa" w:w="1114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13</w:t>
            </w:r>
          </w:p>
        </w:tc>
        <w:tc>
          <w:tcPr>
            <w:tcW w:type="dxa" w:w="1114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14</w:t>
            </w:r>
          </w:p>
        </w:tc>
        <w:tc>
          <w:tcPr>
            <w:tcW w:type="dxa" w:w="1114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CPUE obs.</w:t>
            </w:r>
          </w:p>
        </w:tc>
        <w:tc>
          <w:tcPr>
            <w:tcW w:type="dxa" w:w="111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6,15</w:t>
            </w:r>
          </w:p>
        </w:tc>
        <w:tc>
          <w:tcPr>
            <w:tcW w:type="dxa" w:w="111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5,80</w:t>
            </w:r>
          </w:p>
        </w:tc>
        <w:tc>
          <w:tcPr>
            <w:tcW w:type="dxa" w:w="111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6,17</w:t>
            </w:r>
          </w:p>
        </w:tc>
        <w:tc>
          <w:tcPr>
            <w:tcW w:type="dxa" w:w="111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6,21</w:t>
            </w:r>
          </w:p>
        </w:tc>
        <w:tc>
          <w:tcPr>
            <w:tcW w:type="dxa" w:w="111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6,15</w:t>
            </w:r>
          </w:p>
        </w:tc>
        <w:tc>
          <w:tcPr>
            <w:tcW w:type="dxa" w:w="111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6,57</w:t>
            </w:r>
          </w:p>
        </w:tc>
        <w:tc>
          <w:tcPr>
            <w:tcW w:type="dxa" w:w="111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6,56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(Para deixar o exercício verificável, esse índice foi construído a partir da trajetória de biomassa do Par A com um ruído de observação de ~4% — mas ao ajustar o modelo você não sabe disso de antemão; é exatamente o que o JABBA precisa descobrir.)</w:t>
      </w:r>
    </w:p>
    <w:p>
      <w:pPr>
        <w:pStyle w:val="Heading3"/>
        <w:spacing w:after="100" w:before="200"/>
      </w:pPr>
      <w:r>
        <w:t xml:space="preserve">Passo 1 — para cada candidato, simule a biomassa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Já temos B(t) do Par A e do Par B calculados na Seção 3.2. Vamos incluir um terceiro candidato, Par C, também sobre a mesma “rua” de MSY = 1.000 t, para deixar claro que o teste funciona para qualquer ponto dessa rua, não só nas duas pontas: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400"/>
      </w:tblGrid>
      <w:tr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Candidato A</w:t>
            </w:r>
          </w:p>
        </w:tc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Candidato B</w:t>
            </w:r>
          </w:p>
        </w:tc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Candidato C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0,40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0,20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0,28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10.000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20.000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14.286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MSY (idêntico nos três)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1.000 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1.000 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1.000 t</w:t>
            </w:r>
          </w:p>
        </w:tc>
      </w:tr>
    </w:tbl>
    <w:p>
      <w:pPr>
        <w:pStyle w:val="Heading3"/>
        <w:spacing w:after="100" w:before="200"/>
      </w:pPr>
      <w:r>
        <w:t xml:space="preserve">Passo 2 — para cada candidato, ache o q que melhor explica o índice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O JABBA não fixa q: ele é estimado junto com o resto (Seção 6.2). Para ilustrar o mecanismo à mão, achamos o q que melhor alinha a biomassa simulada de cada candidato ao índice observado, minimizando a soma dos resíduos ao quadrado em escala log — a mesma escala em que a Eq. 11 define o erro de observação:</w:t>
      </w:r>
    </w:p>
    <w:p>
      <w:pPr>
        <w:spacing w:after="200" w:before="12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log q̂ = média [ log(CPUEobs(t)) − log(Bcandidato(t)) ]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Isso é só uma regressão linear (em log) passando pela origem: dado o formato da trajetória de biomassa de cada candidato, q̂ é o fator de escala que melhor a encaixa no índice observado. É o mesmo papel de q na Eq. 11 — ele absorve a escala; quem decide se o candidato é bom ou ruim é a FORMA da trajetória prevista, não o q em si.</w:t>
      </w:r>
    </w:p>
    <w:p>
      <w:pPr>
        <w:pStyle w:val="Heading3"/>
        <w:spacing w:after="100" w:before="200"/>
      </w:pPr>
      <w:r>
        <w:t xml:space="preserve">Passo 3 — preveja o índice e compare com o observado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Com q̂ em mãos, a previsão de cada candidato é CPUÊ(t) = q̂ · Bcandidato(t). Comparando com o índice observado em alguns anos: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66"/>
        <w:gridCol w:w="1266"/>
        <w:gridCol w:w="1266"/>
        <w:gridCol w:w="1266"/>
        <w:gridCol w:w="1266"/>
        <w:gridCol w:w="1266"/>
      </w:tblGrid>
      <w:tr>
        <w:tc>
          <w:tcPr>
            <w:tcW w:type="dxa" w:w="1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Ano</w:t>
            </w:r>
          </w:p>
        </w:tc>
        <w:tc>
          <w:tcPr>
            <w:tcW w:type="dxa" w:w="1266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266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1266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1266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dxa" w:w="1266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13</w:t>
            </w:r>
          </w:p>
        </w:tc>
        <w:tc>
          <w:tcPr>
            <w:tcW w:type="dxa" w:w="1266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CPUE obs.</w:t>
            </w:r>
          </w:p>
        </w:tc>
        <w:tc>
          <w:tcPr>
            <w:tcW w:type="dxa" w:w="12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9,62</w:t>
            </w:r>
          </w:p>
        </w:tc>
        <w:tc>
          <w:tcPr>
            <w:tcW w:type="dxa" w:w="12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9,19</w:t>
            </w:r>
          </w:p>
        </w:tc>
        <w:tc>
          <w:tcPr>
            <w:tcW w:type="dxa" w:w="12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6,91</w:t>
            </w:r>
          </w:p>
        </w:tc>
        <w:tc>
          <w:tcPr>
            <w:tcW w:type="dxa" w:w="12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5,80</w:t>
            </w:r>
          </w:p>
        </w:tc>
        <w:tc>
          <w:tcPr>
            <w:tcW w:type="dxa" w:w="12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6,15</w:t>
            </w:r>
          </w:p>
        </w:tc>
        <w:tc>
          <w:tcPr>
            <w:tcW w:type="dxa" w:w="12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6,56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Prevista (Cand. A)</w:t>
            </w:r>
          </w:p>
        </w:tc>
        <w:tc>
          <w:tcPr>
            <w:tcW w:type="dxa" w:w="12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9,50</w:t>
            </w:r>
          </w:p>
        </w:tc>
        <w:tc>
          <w:tcPr>
            <w:tcW w:type="dxa" w:w="12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8,85</w:t>
            </w:r>
          </w:p>
        </w:tc>
        <w:tc>
          <w:tcPr>
            <w:tcW w:type="dxa" w:w="12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6,88</w:t>
            </w:r>
          </w:p>
        </w:tc>
        <w:tc>
          <w:tcPr>
            <w:tcW w:type="dxa" w:w="12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6,00</w:t>
            </w:r>
          </w:p>
        </w:tc>
        <w:tc>
          <w:tcPr>
            <w:tcW w:type="dxa" w:w="12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6,13</w:t>
            </w:r>
          </w:p>
        </w:tc>
        <w:tc>
          <w:tcPr>
            <w:tcW w:type="dxa" w:w="12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6,43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Resíduo (Cand. A)</w:t>
            </w:r>
          </w:p>
        </w:tc>
        <w:tc>
          <w:tcPr>
            <w:tcW w:type="dxa" w:w="12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+1,3%</w:t>
            </w:r>
          </w:p>
        </w:tc>
        <w:tc>
          <w:tcPr>
            <w:tcW w:type="dxa" w:w="12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+3,9%</w:t>
            </w:r>
          </w:p>
        </w:tc>
        <w:tc>
          <w:tcPr>
            <w:tcW w:type="dxa" w:w="12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+0,5%</w:t>
            </w:r>
          </w:p>
        </w:tc>
        <w:tc>
          <w:tcPr>
            <w:tcW w:type="dxa" w:w="12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−3,3%</w:t>
            </w:r>
          </w:p>
        </w:tc>
        <w:tc>
          <w:tcPr>
            <w:tcW w:type="dxa" w:w="12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+0,3%</w:t>
            </w:r>
          </w:p>
        </w:tc>
        <w:tc>
          <w:tcPr>
            <w:tcW w:type="dxa" w:w="12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+2,0%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Prevista (Cand. B)</w:t>
            </w:r>
          </w:p>
        </w:tc>
        <w:tc>
          <w:tcPr>
            <w:tcW w:type="dxa" w:w="12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8,54</w:t>
            </w:r>
          </w:p>
        </w:tc>
        <w:tc>
          <w:tcPr>
            <w:tcW w:type="dxa" w:w="12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8,23</w:t>
            </w:r>
          </w:p>
        </w:tc>
        <w:tc>
          <w:tcPr>
            <w:tcW w:type="dxa" w:w="12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7,14</w:t>
            </w:r>
          </w:p>
        </w:tc>
        <w:tc>
          <w:tcPr>
            <w:tcW w:type="dxa" w:w="12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6,49</w:t>
            </w:r>
          </w:p>
        </w:tc>
        <w:tc>
          <w:tcPr>
            <w:tcW w:type="dxa" w:w="12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6,35</w:t>
            </w:r>
          </w:p>
        </w:tc>
        <w:tc>
          <w:tcPr>
            <w:tcW w:type="dxa" w:w="12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6,39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Resíduo (Cand. B)</w:t>
            </w:r>
          </w:p>
        </w:tc>
        <w:tc>
          <w:tcPr>
            <w:tcW w:type="dxa" w:w="12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+12,7%</w:t>
            </w:r>
          </w:p>
        </w:tc>
        <w:tc>
          <w:tcPr>
            <w:tcW w:type="dxa" w:w="12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+11,7%</w:t>
            </w:r>
          </w:p>
        </w:tc>
        <w:tc>
          <w:tcPr>
            <w:tcW w:type="dxa" w:w="12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−3,2%</w:t>
            </w:r>
          </w:p>
        </w:tc>
        <w:tc>
          <w:tcPr>
            <w:tcW w:type="dxa" w:w="12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−10,6%</w:t>
            </w:r>
          </w:p>
        </w:tc>
        <w:tc>
          <w:tcPr>
            <w:tcW w:type="dxa" w:w="12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−3,2%</w:t>
            </w:r>
          </w:p>
        </w:tc>
        <w:tc>
          <w:tcPr>
            <w:tcW w:type="dxa" w:w="12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+2,7%</w:t>
            </w:r>
          </w:p>
        </w:tc>
      </w:tr>
    </w:tbl>
    <w:p>
      <w:pPr>
        <w:pStyle w:val="Heading3"/>
        <w:spacing w:after="100" w:before="200"/>
      </w:pPr>
      <w:r>
        <w:t xml:space="preserve">Passo 4 — transforme o erro em nota (é isso que a verossimilhança faz)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Somando o quadrado dos resíduos em log dos 15 anos (não só dos 6 mostrados acima) para cada candidato, e olhando o erro percentual médio: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0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Candidato A (r=0,40 / K=10.000)</w:t>
            </w:r>
          </w:p>
        </w:tc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Candidato B (r=0,20 / K=20.000)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Candidato C (r=0,28 / K=14.286)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q̂ ajustado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0,00100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0,00045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0,00066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Soma dos resíduos² (log)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0,019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0,080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0,039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Erro percentual médio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≈ 2,9%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≈ 6,4%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≈ 4,3%</w:t>
            </w:r>
          </w:p>
        </w:tc>
      </w:tr>
    </w:tbl>
    <w:p>
      <w:pPr>
        <w:pBdr>
          <w:left w:val="single" w:color="2E5A8C" w:sz="18"/>
        </w:pBdr>
        <w:shd w:fill="EEF3FA" w:val="clear"/>
        <w:spacing w:after="200" w:before="120"/>
        <w:ind w:left="2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A SACADA (parte 2)  </w:t>
      </w:r>
      <w:r>
        <w:rPr>
          <w:rFonts w:ascii="Calibri" w:cs="Calibri" w:eastAsia="Calibri" w:hAnsi="Calibri"/>
          <w:sz w:val="22"/>
          <w:szCs w:val="22"/>
        </w:rPr>
        <w:t xml:space="preserve">O Candidato A erra pouco e sem padrão. O Candidato B erra sistematicamente — sempre para cima no início da série e para baixo no meio —, sinal de que sua FORMA de trajetória não bate com o índice, não importa qual q você escolha para reescalar. O Candidato C, no meio da “rua”, erra uma quantidade intermediária. A soma dos resíduos ao quadrado é, a menos de constantes e de σ²(ε) (Eq. 14), exatamente a log-verossimilhança da Eq. 11: quanto menor o SSQ, maior a verossimilhança, e mais peso esse ponto (r, K, q) recebe na posterior da Eq. 12.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É essa é a resposta direta à pergunta que abriu a Seção 3: a captura sozinha deixa r e K empatados (Seção 3.2); a CPUE desempata, porque exige que a mesma trajetória de biomassa explique tanto a captura quanto o índice observado ao mesmo tempo, com um único q por série.</w:t>
      </w:r>
    </w:p>
    <w:p>
      <w:pPr>
        <w:pBdr>
          <w:left w:val="single" w:color="2E5A8C" w:sz="18"/>
        </w:pBdr>
        <w:shd w:fill="EEF3FA" w:val="clear"/>
        <w:spacing w:after="200" w:before="120"/>
        <w:ind w:left="2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O QUE O MCMC FAZ NA PRÁTICA  </w:t>
      </w:r>
      <w:r>
        <w:rPr>
          <w:rFonts w:ascii="Calibri" w:cs="Calibri" w:eastAsia="Calibri" w:hAnsi="Calibri"/>
          <w:sz w:val="22"/>
          <w:szCs w:val="22"/>
        </w:rPr>
        <w:t xml:space="preserve">Fizemos esse teste “na mão” para só 3 candidatos, com q resolvido por uma conta direta. O JAGS por trás do fit_jabba() faz a mesma conta — simular B(t) pelas Eqs. 9-10, prever o índice pela Eq. 11, comparar com o dado observado e converter o erro em log-verossimilhança — para milhares de combinações de (r, K, q, φ, σ²processo, σ²obs, ...) propostas uma a uma, em cada uma das iterações da cadeia (30.000 por padrão, Seção 6.3). Cada proposta também carrega o peso do prior daquele parâmetro (Seção 6.2): um candidato pode até explicar bem a CPUE, mas se exigir um r ou K muito distante do prior, ele também perde peso. O conjunto dos pontos onde a cadeia passou mais tempo — depois de descartar o burn-in e afinar (thin) — É a posterior: não um único “melhor” (r, K, q, B(t)), mas a nuvem inteira de combinações plausíveis, cada uma pesada por quão bem (e quão plausivelmente, dado o prior) ela explica tanto a captura quanto a CPUE ao mesmo tempo.</w:t>
      </w:r>
    </w:p>
    <w:p>
      <w:pPr>
        <w:pStyle w:val="Heading1"/>
        <w:spacing w:after="160" w:before="360"/>
      </w:pPr>
      <w:r>
        <w:t xml:space="preserve">4. Onde a CPUE entra: a equação de observação</w:t>
      </w:r>
    </w:p>
    <w:p>
      <w:pPr>
        <w:pStyle w:val="Heading2"/>
        <w:spacing w:after="120" w:before="260"/>
      </w:pPr>
      <w:r>
        <w:t xml:space="preserve">4.1 A ligação entre biomassa e índice</w:t>
      </w:r>
    </w:p>
    <w:p>
      <w:pPr>
        <w:spacing w:after="200" w:before="12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I(i,y) = q(i) · B(y) · e^ε(i,y),     ε ~ Normal(0, σ²(ε,y,i))      (Eq. 11)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Em palavras: o índice observado do ano y na série i é proporcional à biomassa daquele ano, com a constante de proporcionalidade sendo a capturabilidade q(i) — e o que sobra é erro de observação, multiplicativo (por isso o exponencial) e, portanto, aditivo em escala logarítmica. É por isso que todo ajuste e todo resíduo do JABBA são calculados em log.</w:t>
      </w:r>
    </w:p>
    <w:p>
      <w:pPr>
        <w:pStyle w:val="Heading2"/>
        <w:spacing w:after="120" w:before="260"/>
      </w:pPr>
      <w:r>
        <w:t xml:space="preserve">4.2 A consequência mais importante: só a FORMA do índice importa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Como q é estimado livremente pelo modelo (e o prior default é praticamente não-informativo — veja a Seção 6.2), qualquer multiplicação constante do índice inteiro é absorvida por q. Se você multiplicar toda a sua série de CPUE por 3, o modelo simplesmente estima um q três vezes menor e chega exatamente ao mesmo ajuste de biomassa, MSY e status.</w:t>
      </w:r>
    </w:p>
    <w:p>
      <w:pPr>
        <w:pBdr>
          <w:left w:val="single" w:color="2E5A8C" w:sz="18"/>
        </w:pBdr>
        <w:shd w:fill="EEF3FA" w:val="clear"/>
        <w:spacing w:after="200" w:before="120"/>
        <w:ind w:left="2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REGRA PRÁTICA  </w:t>
      </w:r>
      <w:r>
        <w:rPr>
          <w:rFonts w:ascii="Calibri" w:cs="Calibri" w:eastAsia="Calibri" w:hAnsi="Calibri"/>
          <w:sz w:val="22"/>
          <w:szCs w:val="22"/>
        </w:rPr>
        <w:t xml:space="preserve">O nível absoluto da CPUE não informa nada sobre o tamanho do estoque. O que informa é a TENDÊNCIA: o quanto o índice sobe e desce ao longo do tempo, e o quanto isso é coerente com o que foi retirado. Um índice que cai 40% ao longo de 20 anos de pesca crescente está dizendo “o estoque sentiu”; um índice plano diante da mesma retirada está dizendo “o estoque é grande e/ou produtivo o suficiente para absorver isso”.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Corolário incômodo: se a sua CPUE não reflete abundância (mudança de alvo, mudança de tecnologia, hiperestabilidade), o modelo vai mesmo assim interpretar a forma dela como se fosse abundância. Nenhum diagnóstico interno do JABBA consegue corrigir uma CPUE que está medindo outra coisa.</w:t>
      </w:r>
    </w:p>
    <w:p>
      <w:pPr>
        <w:pStyle w:val="Heading2"/>
        <w:spacing w:after="120" w:before="260"/>
      </w:pPr>
      <w:r>
        <w:t xml:space="preserve">4.3 Vários índices ao mesmo tempo: sets.q e sets.var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O JABBA aceita quantas séries de CPUE você quiser, em um único arquivo, com anos faltantes onde não houver dado. Dois argumentos controlam como elas são tratadas: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sets.q: </w:t>
      </w:r>
      <w:r>
        <w:rPr>
          <w:rFonts w:ascii="Calibri" w:cs="Calibri" w:eastAsia="Calibri" w:hAnsi="Calibri"/>
          <w:sz w:val="22"/>
          <w:szCs w:val="22"/>
        </w:rPr>
        <w:t xml:space="preserve">qual q pertence a qual índice. O default 1:(ncol(cpue)-1) dá um q por índice. Se você passar sets.q = c(1,1,2), as duas primeiras séries compartilham a mesma capturabilidade (útil quando são a mesma frota partida em dois períodos por questão operacional) e a terceira tem a sua.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sets.var: </w:t>
      </w:r>
      <w:r>
        <w:rPr>
          <w:rFonts w:ascii="Calibri" w:cs="Calibri" w:eastAsia="Calibri" w:hAnsi="Calibri"/>
          <w:sz w:val="22"/>
          <w:szCs w:val="22"/>
        </w:rPr>
        <w:t xml:space="preserve">qual variância de observação estimada pertence a qual índice. Mesma lógica: séries que você acredita terem qualidade parecida podem compartilhar uma variância, o que economiza parâmetros e estabiliza a estimação.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Esse par de argumentos é a principal ferramenta de ponderação de dados (data weighting) do JABBA: séries mais ruidosas acabam recebendo variância maior e, portanto, menos peso no ajuste — automaticamente, porque a variância é estimada a partir dos próprios resíduos.</w:t>
      </w:r>
    </w:p>
    <w:p>
      <w:pPr>
        <w:pStyle w:val="Heading2"/>
        <w:spacing w:after="120" w:before="260"/>
      </w:pPr>
      <w:r>
        <w:t xml:space="preserve">4.4 As três componentes da variância de observação</w:t>
      </w:r>
    </w:p>
    <w:p>
      <w:pPr>
        <w:spacing w:after="200" w:before="12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σ²(ε,y,i) = σ²(SE,y,i) + σ²(fix) + σ²(est,i)      (Eq. 14)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σ²(SE,y,i) — externa: </w:t>
      </w:r>
      <w:r>
        <w:rPr>
          <w:rFonts w:ascii="Calibri" w:cs="Calibri" w:eastAsia="Calibri" w:hAnsi="Calibri"/>
          <w:sz w:val="22"/>
          <w:szCs w:val="22"/>
        </w:rPr>
        <w:t xml:space="preserve">os erros-padrão que você passa no argumento se, tipicamente vindos do próprio modelo de padronização da CPUE (um GLM/GAM). Representam a incerteza estatística de cada ponto.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σ²(fix) — fixa: </w:t>
      </w:r>
      <w:r>
        <w:rPr>
          <w:rFonts w:ascii="Calibri" w:cs="Calibri" w:eastAsia="Calibri" w:hAnsi="Calibri"/>
          <w:sz w:val="22"/>
          <w:szCs w:val="22"/>
        </w:rPr>
        <w:t xml:space="preserve">o argumento fixed.obsE, um piso mínimo de ruído. O default é 0,1 quando não há se, e 0,001 quando há. Existe porque erros-padrão de padronização quase sempre subestimam a variabilidade real (não capturam variação interanual de capturabilidade).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σ²(est,i) — estimada: </w:t>
      </w:r>
      <w:r>
        <w:rPr>
          <w:rFonts w:ascii="Calibri" w:cs="Calibri" w:eastAsia="Calibri" w:hAnsi="Calibri"/>
          <w:sz w:val="22"/>
          <w:szCs w:val="22"/>
        </w:rPr>
        <w:t xml:space="preserve">variância adicional estimada pelo próprio modelo (ligada por sigma.est = TRUE), que absorve o desajuste que sobrou. É isso que faz a ponderação entre séries conflitantes.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Francis (2011) e Francis et al. (2003) sugerem que o erro total de observação de índices de CPUE raramente fica abaixo de 0,1–0,4, e que a porção atribuível à variação interanual de capturabilidade sozinha gira em torno de 0,15–0,2. Por isso o hábito de colocar um piso via fixed.obsE não é um truque numérico: é um reconhecimento honesto de que a CPUE é mais ruidosa do que o erro-padrão do GLM sugere.</w:t>
      </w:r>
    </w:p>
    <w:p>
      <w:pPr>
        <w:pStyle w:val="Heading1"/>
        <w:spacing w:after="160" w:before="360"/>
      </w:pPr>
      <w:r>
        <w:t xml:space="preserve">5. O modelo espaço-estado: os dois erros</w:t>
      </w:r>
    </w:p>
    <w:p>
      <w:pPr>
        <w:pStyle w:val="Heading2"/>
        <w:spacing w:after="120" w:before="260"/>
      </w:pPr>
      <w:r>
        <w:t xml:space="preserve">5.1 Estado e observação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Um modelo espaço-estado tem duas camadas, e confundi-las é o erro conceitual mais comum: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Equação de processo (o estado, que ninguém observa): </w:t>
      </w:r>
      <w:r>
        <w:rPr>
          <w:rFonts w:ascii="Calibri" w:cs="Calibri" w:eastAsia="Calibri" w:hAnsi="Calibri"/>
          <w:sz w:val="22"/>
          <w:szCs w:val="22"/>
        </w:rPr>
        <w:t xml:space="preserve">a biomassa verdadeira evolui pela dinâmica de produção, mas com ruído próprio — o erro de processo. Recrutamento varia, o ambiente muda, o modelo é uma simplificação. Esse erro representa tudo isso.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Equação de observação (o que se mede): </w:t>
      </w:r>
      <w:r>
        <w:rPr>
          <w:rFonts w:ascii="Calibri" w:cs="Calibri" w:eastAsia="Calibri" w:hAnsi="Calibri"/>
          <w:sz w:val="22"/>
          <w:szCs w:val="22"/>
        </w:rPr>
        <w:t xml:space="preserve">a CPUE é uma medida indireta e imperfeita desse estado, ligada a ele por q e contaminada por erro de observação.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 vantagem prática de separar os dois: um ano de CPUE absurdamente alto não é obrigado a virar um pico real de biomassa. O modelo pode classificar aquilo como ruído de medição, preservando uma trajetória de biomassa suave. Em um modelo sem erro de processo (como o ASPIC), a trajetória de biomassa é uma função determinística dos parâmetros — toda a discrepância vira erro de observação, e os pontos de referência ficam totalmente reféns da tendência do índice.</w:t>
      </w:r>
    </w:p>
    <w:p>
      <w:pPr>
        <w:pStyle w:val="Heading2"/>
        <w:spacing w:after="120" w:before="260"/>
      </w:pPr>
      <w:r>
        <w:t xml:space="preserve">5.2 A equação de processo do JABBA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O JABBA não trabalha com B diretamente, e sim com a biomassa relativa P(y) = B(y)/K. A equação de processo, na forma estocástica (Eq. 9 do artigo), é:</w:t>
      </w:r>
    </w:p>
    <w:p>
      <w:pPr>
        <w:spacing w:after="200" w:before="12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P(1) = φ · e^η(1)      (primeiro ano)</w:t>
      </w:r>
    </w:p>
    <w:p>
      <w:pPr>
        <w:spacing w:after="200" w:before="12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P(y) = { P(y−1) + [r/(m−1)] · P(y−1) · [1 − P(y−1)^(m−1)] − Σ C(f,y−1)/K } · e^η(y)</w:t>
      </w:r>
    </w:p>
    <w:p>
      <w:pPr>
        <w:spacing w:after="200" w:before="12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η ~ Normal(0, σ²η)     e     B(y) = P(y) · K      (Eq. 10)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Três detalhes que valem atenção: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φ (psi) é a depleção inicial. </w:t>
      </w:r>
      <w:r>
        <w:rPr>
          <w:rFonts w:ascii="Calibri" w:cs="Calibri" w:eastAsia="Calibri" w:hAnsi="Calibri"/>
          <w:sz w:val="22"/>
          <w:szCs w:val="22"/>
        </w:rPr>
        <w:t xml:space="preserve">É o parâmetro que fixa onde a trajetória começa: φ = B(ano 1)/K. Se você acredita que a série começa com o estoque praticamente virgem, φ ≈ 0,9–1,0; se a pescaria já era antiga quando a série começa, φ é bem menor. É um dos três priors que mais mexem no resultado.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que P em vez de B: </w:t>
      </w:r>
      <w:r>
        <w:rPr>
          <w:rFonts w:ascii="Calibri" w:cs="Calibri" w:eastAsia="Calibri" w:hAnsi="Calibri"/>
          <w:sz w:val="22"/>
          <w:szCs w:val="22"/>
        </w:rPr>
        <w:t xml:space="preserve">reparametrizar em biomassa relativa melhora muito a eficiência do amostrador MCMC — P vive entre 0 e ~1, enquanto B vive na casa dos milhares, e parâmetros em escalas muito diferentes atrapalham a mistura das cadeias.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erro de processo é multiplicativo: </w:t>
      </w:r>
      <w:r>
        <w:rPr>
          <w:rFonts w:ascii="Calibri" w:cs="Calibri" w:eastAsia="Calibri" w:hAnsi="Calibri"/>
          <w:sz w:val="22"/>
          <w:szCs w:val="22"/>
        </w:rPr>
        <w:t xml:space="preserve">entra como e^η multiplicando toda a previsão. Os desvios estimados ano a ano saem no objeto como Proc.Dev, e são um diagnóstico valioso: se eles têm padrão sistemático (uma sequência longa de positivos, depois negativos), o modelo está compensando com “choques” aquilo que a estrutura dele não consegue explicar.</w:t>
      </w:r>
    </w:p>
    <w:p>
      <w:pPr>
        <w:pStyle w:val="Heading2"/>
        <w:spacing w:after="120" w:before="260"/>
      </w:pPr>
      <w:r>
        <w:t xml:space="preserve">5.3 Penalidades suaves nos limites de P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Para melhorar a convergência, o JABBA impõe penalidades suaves (soft boundaries) quando P sai da faixa plausível — o argumento P_bound, default c(0,02 , 1,3). A verossimilhança é penalizada progressivamente quanto mais P se afasta desses limites, em vez de haver um corte abrupto. Existem penalidades análogas para K (K_bounds), para q (q_bounds) e para as variâncias (sigmaobs_bound, sigmaproc_bound). Nos objetos de dados do modelo elas aparecem como os vetores pen.P, pen.bk, proc.pen, K.pen e obs.pen, todos inicializados em zero.</w:t>
      </w:r>
    </w:p>
    <w:p>
      <w:pPr>
        <w:pStyle w:val="Heading1"/>
        <w:spacing w:after="160" w:before="360"/>
      </w:pPr>
      <w:r>
        <w:t xml:space="preserve">6. A máquina bayesiana</w:t>
      </w:r>
    </w:p>
    <w:p>
      <w:pPr>
        <w:pStyle w:val="Heading2"/>
        <w:spacing w:after="120" w:before="260"/>
      </w:pPr>
      <w:r>
        <w:t xml:space="preserve">6.1 O que o teorema de Bayes faz aqui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O conjunto de parâmetros desconhecidos é θ = {K, r, φ, σ²η, σ²ε,i}, mais os n estados não observados η = {η1, ..., ηn}, mais os q. A posterior conjunta (Eq. 12 do artigo) se fatora assim:</w:t>
      </w:r>
    </w:p>
    <w:p>
      <w:pPr>
        <w:spacing w:after="200" w:before="12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p(θ, η | I) ∝ p(K)·p(r)·p(φ)·p(σ²η)·p(q)·p(σ²ε)  ×  p(P1|φ,K,σ²η) · ∏ p(Py | Py−1, K, r, φ, σ²η)  ×  ∏ p(I(y) | P(y), q, σ²ε)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Lendo da esquerda para a direita: o primeiro bloco são os priors; o segundo é a probabilidade da trajetória de biomassa dada a dinâmica de produção (a camada de processo); o terceiro é a verossimilhança dos dados de CPUE dada a trajetória (a camada de observação). O MCMC amostra dessa distribuição conjunta — ou seja, estima parâmetros e estados ao mesmo tempo, propagando a incerteza de um para o outro.</w:t>
      </w:r>
    </w:p>
    <w:p>
      <w:pPr>
        <w:pStyle w:val="Heading2"/>
        <w:spacing w:after="120" w:before="260"/>
      </w:pPr>
      <w:r>
        <w:t xml:space="preserve">6.2 Os priors, um a um (com o código real)</w:t>
      </w:r>
    </w:p>
    <w:p>
      <w:pPr>
        <w:pStyle w:val="Heading3"/>
        <w:spacing w:after="100" w:before="200"/>
      </w:pPr>
      <w:r>
        <w:t xml:space="preserve">Prior de r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Duas formas de entrada. Com r.dist = "lnorm", você passa média e CV. Com r.dist = "range", você passa mínimo e máximo, e o JABBA converte para lognormal assumindo que o intervalo cobre 4 desvios-padrão em log (a Eq. 13 do artigo):</w:t>
      </w:r>
    </w:p>
    <w:p>
      <w:pPr>
        <w:shd w:fill="F4F4F4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log.r = mean(log(start.r))              # media log = media dos logs dos extremos</w:t>
      </w:r>
      <w:r>
        <w:rPr>
          <w:rFonts w:ascii="Consolas" w:cs="Consolas" w:eastAsia="Consolas" w:hAnsi="Consolas"/>
          <w:sz w:val="18"/>
          <w:szCs w:val="18"/>
        </w:rPr>
        <w:br/>
        <w:t xml:space="preserve">sd.r  = abs(log.r - log(start.r[1]))/2  # metade da distancia ao limite inferior</w:t>
      </w:r>
      <w:r>
        <w:rPr>
          <w:rFonts w:ascii="Consolas" w:cs="Consolas" w:eastAsia="Consolas" w:hAnsi="Consolas"/>
          <w:sz w:val="18"/>
          <w:szCs w:val="18"/>
        </w:rPr>
        <w:br/>
        <w:t xml:space="preserve">CV.r  = sqrt(exp(sd.r^2) - 1)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Exemplo verificado: um range de r = [0,20 ; 0,80] vira uma lognormal com mediana 0,40 e sd(log) = 0,347, o que equivale a um CV de 0,36. Já um range de [0,05 ; 0,50] vira mediana 0,158, sd(log) = 0,576, CV = 0,63 — bem menos informativo. As categorias de resiliência do FishBase estão embutidas: "High" = [0,6 ; 1,5], "Medium" = [0,2 ; 0,8], "Low" = [0,05 ; 0,5] e o resto = [0,015 ; 0,1].</w:t>
      </w:r>
    </w:p>
    <w:p>
      <w:pPr>
        <w:pStyle w:val="Heading3"/>
        <w:spacing w:after="100" w:before="200"/>
      </w:pPr>
      <w:r>
        <w:t xml:space="preserve">Prior de K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Mesma lógica de lnorm ou range. O default, quando você não passa nada, é agressivamente vago:</w:t>
      </w:r>
    </w:p>
    <w:p>
      <w:pPr>
        <w:shd w:fill="F4F4F4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if (is.null(K.prior)) K.prior = c(8 * max(Catch), 1)   # media = 8x a captura maxima, CV = 1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Um CV de 1 é um prior muito largo. Vale sempre substituir por algo defensável para o seu estoque — a mensagem que o próprio pacote imprime no console (“ALWAYS ENSURE to adjust default settings to your specific stock”) não é decorativa.</w:t>
      </w:r>
    </w:p>
    <w:p>
      <w:pPr>
        <w:pStyle w:val="Heading3"/>
        <w:spacing w:after="100" w:before="200"/>
      </w:pPr>
      <w:r>
        <w:t xml:space="preserve">Prior de φ (psi, a depleção inicial)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Aceita lognormal ou beta (psi.dist), sempre especificado como média e CV. A opção beta existe porque φ é uma razão limitada entre 0 e 1, e a beta respeita esse limite naturalmente; internamente, get_beta() converte média e CV nos parâmetros de forma da beta.</w:t>
      </w:r>
    </w:p>
    <w:p>
      <w:pPr>
        <w:pStyle w:val="Heading3"/>
        <w:spacing w:after="100" w:before="200"/>
      </w:pPr>
      <w:r>
        <w:t xml:space="preserve">Prior de q (capturabilidade)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Por padrão, q não recebe prior informativo nenhum: ele fica limitado apenas pelos q_bounds, cujo default é c(1e−30 , 100^10) — na prática, uma faixa tão larga que equivale a um prior plano. Isso é coerente com a Seção 4.2: como só a forma do índice informa, deixar q livre é a escolha natural. Você pode especificar q1.prior se tiver informação externa (por exemplo, um estudo de eficiência de captura).</w:t>
      </w:r>
    </w:p>
    <w:p>
      <w:pPr>
        <w:pStyle w:val="Heading3"/>
        <w:spacing w:after="100" w:before="200"/>
      </w:pPr>
      <w:r>
        <w:t xml:space="preserve">Prior da variância de processo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 variância de processo recebe um prior gama-inverso, controlado pelo argumento igamma, com default c(4 , 0.01):</w:t>
      </w:r>
    </w:p>
    <w:p>
      <w:pPr>
        <w:spacing w:after="200" w:before="12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σ²η ~ 1 / Gamma(4 , 0.01)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Simulando esse prior, o desvio-padrão de processo implícito tem média ≈ 0,055, intervalo de 95% de aproximadamente 0,034 a 0,096 e CV de ≈ 29% — batendo com o que o artigo reporta (média 0,059, IC 95% de ~0,03 a 0,1, CV 28%). Em outras palavras: o default assume que a biomassa verdadeira se desvia da previsão determinística em torno de 3% a 10% ao ano. Não é um prior neutro — é uma afirmação sobre quanta variabilidade natural você admite, e vale a pena testá-lo em análise de sensibilidade.</w:t>
      </w:r>
    </w:p>
    <w:p>
      <w:pPr>
        <w:pBdr>
          <w:left w:val="single" w:color="2E5A8C" w:sz="18"/>
        </w:pBdr>
        <w:shd w:fill="EEF3FA" w:val="clear"/>
        <w:spacing w:after="200" w:before="120"/>
        <w:ind w:left="2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CUIDADO CLÁSSICO  </w:t>
      </w:r>
      <w:r>
        <w:rPr>
          <w:rFonts w:ascii="Calibri" w:cs="Calibri" w:eastAsia="Calibri" w:hAnsi="Calibri"/>
          <w:sz w:val="22"/>
          <w:szCs w:val="22"/>
        </w:rPr>
        <w:t xml:space="preserve">Captura e CPUE sozinhas raramente contêm informação suficiente para separar erro de processo de erro de observação. Se você liga tudo para ser estimado ao mesmo tempo sem priors informativos, o modelo pode simplesmente escolher explicar todo o desajuste como “choque de processo” e ajustar a CPUE quase perfeitamente — sobreajuste disfarçado de bom ajuste. Daí a prática de fixar um piso de erro de observação (fixed.obsE) e manter o prior de processo informativo.</w:t>
      </w:r>
    </w:p>
    <w:p>
      <w:pPr>
        <w:pStyle w:val="Heading3"/>
        <w:spacing w:after="100" w:before="200"/>
      </w:pPr>
      <w:r>
        <w:t xml:space="preserve">Erro na captura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Com add.catch.CV = TRUE (default), a captura deixa de ser tratada como conhecida sem erro e recebe um CV (catch.cv, default 0,1). A captura estimada sai no objeto como estC. É especialmente relevante quando há suspeita de subnotificação — existe inclusive a opção catch.error = "under".</w:t>
      </w:r>
    </w:p>
    <w:p>
      <w:pPr>
        <w:pStyle w:val="Heading2"/>
        <w:spacing w:after="120" w:before="260"/>
      </w:pPr>
      <w:r>
        <w:t xml:space="preserve">6.3 Como o MCMC estima tudo isso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JABBA escreve um modelo JAGS (via a função interna jabba2jags) e o executa com R2jags::jags(). Os controles ficam em fit_jabba():</w:t>
      </w:r>
    </w:p>
    <w:p>
      <w:pPr>
        <w:shd w:fill="F4F4F4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mod &lt;- R2jags::jags(jbd, inits, params, file.path(tmpath,"JABBA.jags"),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n.chains = nc,    # default 2 cadeias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n.thin  = nt,     # default 5  (guarda 1 a cada 5)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n.iter  = ni,     # default 30000 iteracoes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n.burnin = nb)    # default 5000 descartadas no aquecimento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Em números: 30.000 iterações por cadeia, menos 5.000 de aquecimento, divididas por um thinning de 5, vezes 2 cadeias = 10.000 amostras guardadas da posterior (a variável nsaved no código). Cada uma dessas 10.000 amostras é um “mundo possível” completo e internamente consistente: um valor de K, um de r, um de cada q, e a trajetória inteira de biomassa daquele mundo. Todos os resultados que você lê depois (mediana, IC 95%, probabilidade de estar sobrepescado) são simplesmente resumos dessas 10.000 trajetórias.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7. O que realmente acontece quando você roda</w:t>
      </w:r>
    </w:p>
    <w:p>
      <w:pPr>
        <w:pStyle w:val="Heading2"/>
        <w:spacing w:after="120" w:before="260"/>
      </w:pPr>
      <w:r>
        <w:t xml:space="preserve">7.1 build_jabba(): monta e converte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Essa função não estima nada. Ela: (i) verifica que captura e CPUE têm os mesmos anos em ordem sequencial; (ii) agrega múltiplas colunas de captura em um total, se houver; (iii) monta a matriz de variâncias de observação combinando se, fixed.obsE e a estrutura de sets.var; (iv) converte todos os priors para a parametrização que o JAGS espera (a conversão de range para lognormal da Seção 6.2); (v) resolve m a partir de model.type e BmsyK; e (vi) devolve uma lista com três partes: $data (os dados crus), $jagsdata (tudo o que vai para o JAGS) e $settings (as opções). Se você não passar cpue, ele entra em modo catch-only, criando um índice fictício com um único valor.</w:t>
      </w:r>
    </w:p>
    <w:p>
      <w:pPr>
        <w:pStyle w:val="Heading2"/>
        <w:spacing w:after="120" w:before="260"/>
      </w:pPr>
      <w:r>
        <w:t xml:space="preserve">7.2 fit_jabba(): o truque de escala que quase ninguém percebe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Antes de chamar o JAGS, o fit_jabba divide toda a série de captura pela captura média, e ajusta junto os priors e limites que dependem dessa escala:</w:t>
      </w:r>
    </w:p>
    <w:p>
      <w:pPr>
        <w:shd w:fill="F4F4F4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mucatch   &lt;- mean(TC.raw, na.rm=TRUE)</w:t>
      </w:r>
      <w:r>
        <w:rPr>
          <w:rFonts w:ascii="Consolas" w:cs="Consolas" w:eastAsia="Consolas" w:hAnsi="Consolas"/>
          <w:sz w:val="18"/>
          <w:szCs w:val="18"/>
        </w:rPr>
        <w:br/>
        <w:t xml:space="preserve">jbd$TC    &lt;- TC.raw/mucatch          # capturas em unidades de 'captura media'</w:t>
      </w:r>
      <w:r>
        <w:rPr>
          <w:rFonts w:ascii="Consolas" w:cs="Consolas" w:eastAsia="Consolas" w:hAnsi="Consolas"/>
          <w:sz w:val="18"/>
          <w:szCs w:val="18"/>
        </w:rPr>
        <w:br/>
        <w:t xml:space="preserve">jbd$K.pr[1]   &lt;- jbd$K.pr[1]/mucatch # o prior de K acompanha</w:t>
      </w:r>
      <w:r>
        <w:rPr>
          <w:rFonts w:ascii="Consolas" w:cs="Consolas" w:eastAsia="Consolas" w:hAnsi="Consolas"/>
          <w:sz w:val="18"/>
          <w:szCs w:val="18"/>
        </w:rPr>
        <w:br/>
        <w:t xml:space="preserve">jbd$q_bounds  &lt;- jbd$q_bounds * mucatch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Depois que o MCMC termina, as posteriores são trazidas de volta à escala original:</w:t>
      </w:r>
    </w:p>
    <w:p>
      <w:pPr>
        <w:shd w:fill="F4F4F4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posteriors$K     &lt;- posteriors$K * mucatch</w:t>
      </w:r>
      <w:r>
        <w:rPr>
          <w:rFonts w:ascii="Consolas" w:cs="Consolas" w:eastAsia="Consolas" w:hAnsi="Consolas"/>
          <w:sz w:val="18"/>
          <w:szCs w:val="18"/>
        </w:rPr>
        <w:br/>
        <w:t xml:space="preserve">posteriors$SB    &lt;- posteriors$SB * mucatch</w:t>
      </w:r>
      <w:r>
        <w:rPr>
          <w:rFonts w:ascii="Consolas" w:cs="Consolas" w:eastAsia="Consolas" w:hAnsi="Consolas"/>
          <w:sz w:val="18"/>
          <w:szCs w:val="18"/>
        </w:rPr>
        <w:br/>
        <w:t xml:space="preserve">posteriors$SBmsy &lt;- posteriors$SBmsy * mucatch</w:t>
      </w:r>
      <w:r>
        <w:rPr>
          <w:rFonts w:ascii="Consolas" w:cs="Consolas" w:eastAsia="Consolas" w:hAnsi="Consolas"/>
          <w:sz w:val="18"/>
          <w:szCs w:val="18"/>
        </w:rPr>
        <w:br/>
        <w:t xml:space="preserve">posteriors$MSY   &lt;- posteriors$MSY * mucatch</w:t>
      </w:r>
      <w:r>
        <w:rPr>
          <w:rFonts w:ascii="Consolas" w:cs="Consolas" w:eastAsia="Consolas" w:hAnsi="Consolas"/>
          <w:sz w:val="18"/>
          <w:szCs w:val="18"/>
        </w:rPr>
        <w:br/>
        <w:t xml:space="preserve">posteriors$q     &lt;- posteriors$q / mucatch   # q vai no sentido inverso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Por que isso existe: amostradores MCMC funcionam muito melhor quando as quantidades estimadas estão em escalas comparáveis. Trabalhar internamente com capturas em torno de 1 (em vez de milhares de toneladas) melhora bastante a mistura das cadeias. É puramente numérico — não muda o modelo — mas explica por que o q que sai no objeto está em uma escala que só faz sentido junto com as unidades da CPUE original.</w:t>
      </w:r>
    </w:p>
    <w:p>
      <w:pPr>
        <w:pStyle w:val="Heading2"/>
        <w:spacing w:after="120" w:before="260"/>
      </w:pPr>
      <w:r>
        <w:t xml:space="preserve">7.3 Valores iniciais e o que é monitorado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Os valores iniciais de cada cadeia são sorteados (não fixos), o que é bom: cadeias partindo de pontos diferentes que convergem para a mesma região é justamente o que os diagnósticos de convergência testam. Repare que o chute inicial de q vem dos próprios dados — a razão entre o índice e a captura:</w:t>
      </w:r>
    </w:p>
    <w:p>
      <w:pPr>
        <w:shd w:fill="F4F4F4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inits &lt;- function() list(</w:t>
      </w:r>
      <w:r>
        <w:rPr>
          <w:rFonts w:ascii="Consolas" w:cs="Consolas" w:eastAsia="Consolas" w:hAnsi="Consolas"/>
          <w:sz w:val="18"/>
          <w:szCs w:val="18"/>
        </w:rPr>
        <w:br/>
        <w:t xml:space="preserve">  K = rlnorm(1, log(jbd$K.pr[1]) - 0.5*0.3^2, 0.3),</w:t>
      </w:r>
      <w:r>
        <w:rPr>
          <w:rFonts w:ascii="Consolas" w:cs="Consolas" w:eastAsia="Consolas" w:hAnsi="Consolas"/>
          <w:sz w:val="18"/>
          <w:szCs w:val="18"/>
        </w:rPr>
        <w:br/>
        <w:t xml:space="preserve">  r = rlnorm(1, log(jbd$r.pr[1]), jbd$r.pr[2]),</w:t>
      </w:r>
      <w:r>
        <w:rPr>
          <w:rFonts w:ascii="Consolas" w:cs="Consolas" w:eastAsia="Consolas" w:hAnsi="Consolas"/>
          <w:sz w:val="18"/>
          <w:szCs w:val="18"/>
        </w:rPr>
        <w:br/>
        <w:t xml:space="preserve">  q = runif(jbd$nq, min(jbd$I,na.rm=T)/max(jbd$TC,na.rm=T),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mean(jbd$I,na.rm=T)/max(jbd$TC,na.rm=T)),</w:t>
      </w:r>
      <w:r>
        <w:rPr>
          <w:rFonts w:ascii="Consolas" w:cs="Consolas" w:eastAsia="Consolas" w:hAnsi="Consolas"/>
          <w:sz w:val="18"/>
          <w:szCs w:val="18"/>
        </w:rPr>
        <w:br/>
        <w:t xml:space="preserve">  psi = rbeta(1, ab[1], ab[2]),</w:t>
      </w:r>
      <w:r>
        <w:rPr>
          <w:rFonts w:ascii="Consolas" w:cs="Consolas" w:eastAsia="Consolas" w:hAnsi="Consolas"/>
          <w:sz w:val="18"/>
          <w:szCs w:val="18"/>
        </w:rPr>
        <w:br/>
        <w:t xml:space="preserve">  isigma2.est = runif(1,20,100), itau2 = runif(jbd$nvar,80,200))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 lista de parâmetros monitorados (params) mostra bem o que o modelo devolve: K, r, q, psi, sigma2, tau2, m, Hmsy, SBmsy, MSY, BtoBmsy, HtoHmsy, CPUE, Ihat, Proc.Dev, P, SB, H, além das versões projetadas (prP, prBtoBmsy, prHtoHmsy) e TOE (o erro total de observação). Dois merecem destaque por serem facilmente confundidos: Ihat é a expectativa do índice (a linha ajustada), enquanto CPUE é a distribuição preditiva posterior do índice (a linha ajustada mais o ruído de observação). Resíduos são calculados contra Ihat; o teste preditivo posterior (PPC) usa os dois.</w:t>
      </w:r>
    </w:p>
    <w:p>
      <w:pPr>
        <w:pStyle w:val="Heading2"/>
        <w:spacing w:after="120" w:before="260"/>
      </w:pPr>
      <w:r>
        <w:t xml:space="preserve">7.4 O que sai no objeto jabba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contém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$pars / $estimates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Medianas e IC 95% de K, r, psi, sigma2, m e dos pontos de referência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$timeseries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Array [ano × (mu,lci,uci) × (B, F, BBmsy, FFmsy, BB0, procB, SPt)]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$diags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Observado, ajustado e resíduo por índice e por ano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$stats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N, número de parâmetros, DF, SDNR, RMSE, DIC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$pars_posterior / $refpts_posterior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 amostras completas da posterior (para gráficos priori–posteriori)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$kbtrj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Todas as trajetórias por iteração MCMC — a única fonte de B, F e B/K por iteração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$kobe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Amostras de B/Bmsy e F/Fmsy do último ano, para o gráfico de Kobe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$pfunc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curva de produção estimada (para o SP-phase-plot)</w:t>
            </w:r>
          </w:p>
        </w:tc>
      </w:tr>
    </w:tbl>
    <w:p>
      <w:pPr>
        <w:pStyle w:val="Heading1"/>
        <w:spacing w:after="160" w:before="360"/>
      </w:pPr>
      <w:r>
        <w:t xml:space="preserve">8. Diagnósticos: como saber se o ajuste presta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Essa é a parte que o artigo do JABBA trata como central, e não como apêndice. A lógica declarada é: conflito entre índices ou entre índice e estrutura do modelo deve ser tratado como diagnóstico de má especificação, não varrido para baixo do tapete.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RMSE (%) e SDNR: </w:t>
      </w:r>
      <w:r>
        <w:rPr>
          <w:rFonts w:ascii="Calibri" w:cs="Calibri" w:eastAsia="Calibri" w:hAnsi="Calibri"/>
          <w:sz w:val="22"/>
          <w:szCs w:val="22"/>
        </w:rPr>
        <w:t xml:space="preserve">o RMSE mede o desajuste médio em escala log; o SDNR (desvio-padrão dos resíduos normalizados) deve ficar em torno de 1 se as variâncias de observação estiverem bem calibradas. SDNR muito abaixo de 1 indica que você deu ao modelo mais liberdade de erro do que ele precisava.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Gráfico de resíduos: </w:t>
      </w:r>
      <w:r>
        <w:rPr>
          <w:rFonts w:ascii="Calibri" w:cs="Calibri" w:eastAsia="Calibri" w:hAnsi="Calibri"/>
          <w:sz w:val="22"/>
          <w:szCs w:val="22"/>
        </w:rPr>
        <w:t xml:space="preserve">resíduos em log por índice, com boxplot anual e um suavizador loess. O que se procura é ausência de padrão: caixas grandes num mesmo ano significam índices conflitantes entre si; um loess que sobe e desce sistematicamente indica que o modelo não está capturando a dinâmica.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Teste de corridas (runs test): </w:t>
      </w:r>
      <w:r>
        <w:rPr>
          <w:rFonts w:ascii="Calibri" w:cs="Calibri" w:eastAsia="Calibri" w:hAnsi="Calibri"/>
          <w:sz w:val="22"/>
          <w:szCs w:val="22"/>
        </w:rPr>
        <w:t xml:space="preserve">formaliza o olhômetro acima — testa se a sequência de sinais dos resíduos é aleatória ou autocorrelacionada.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DIC: </w:t>
      </w:r>
      <w:r>
        <w:rPr>
          <w:rFonts w:ascii="Calibri" w:cs="Calibri" w:eastAsia="Calibri" w:hAnsi="Calibri"/>
          <w:sz w:val="22"/>
          <w:szCs w:val="22"/>
        </w:rPr>
        <w:t xml:space="preserve">critério de informação para comparar modelos. Vale apenas entre modelos ajustados exatamente aos mesmos dados — comparar DIC de cenários com índices diferentes não significa nada.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Retrospectiva (Mohn’s rho): </w:t>
      </w:r>
      <w:r>
        <w:rPr>
          <w:rFonts w:ascii="Calibri" w:cs="Calibri" w:eastAsia="Calibri" w:hAnsi="Calibri"/>
          <w:sz w:val="22"/>
          <w:szCs w:val="22"/>
        </w:rPr>
        <w:t xml:space="preserve">reajusta o modelo removendo os últimos anos, um a um (argumento peels), e mede se as estimativas recentes mudam sistematicamente. Um padrão retrospectivo forte é o sinal mais confiável de problema estrutural.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Hindcast cross-validation (MASE): </w:t>
      </w:r>
      <w:r>
        <w:rPr>
          <w:rFonts w:ascii="Calibri" w:cs="Calibri" w:eastAsia="Calibri" w:hAnsi="Calibri"/>
          <w:sz w:val="22"/>
          <w:szCs w:val="22"/>
        </w:rPr>
        <w:t xml:space="preserve">vai além: usa os modelos “podados” para prever os pontos de índice que foram retirados, e compara com uma previsão ingênua (random walk). MASE &lt; 1 significa que o modelo prevê melhor que o palpite trivial — é o teste mais exigente da lista.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PPC (posterior predictive check): </w:t>
      </w:r>
      <w:r>
        <w:rPr>
          <w:rFonts w:ascii="Calibri" w:cs="Calibri" w:eastAsia="Calibri" w:hAnsi="Calibri"/>
          <w:sz w:val="22"/>
          <w:szCs w:val="22"/>
        </w:rPr>
        <w:t xml:space="preserve">compara a discrepância entre dado observado e ajuste com a discrepância entre dado simulado pela posterior e ajuste. É o do.ppc = TRUE no fit_jabba.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Convergência: </w:t>
      </w:r>
      <w:r>
        <w:rPr>
          <w:rFonts w:ascii="Calibri" w:cs="Calibri" w:eastAsia="Calibri" w:hAnsi="Calibri"/>
          <w:sz w:val="22"/>
          <w:szCs w:val="22"/>
        </w:rPr>
        <w:t xml:space="preserve">Geweke e Heidelberger-Welch saem prontos na tabela $pars (colunas Geweke.p e Heidel.p). p-valores muito baixos indicam cadeias que não convergiram.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Dois gráficos de interpretação, não de diagnóstico: o Kobe (B/Bmsy no eixo x, F/Fmsy no eixo y, quatro quadrantes, com a probabilidade de estar em cada um) e o SP-phase-plot, que desenha a curva de produção estimada e projeta sobre ela a trajetória de captura — se a captura está acima da curva de SP naquele nível de biomassa, o estoque está encolhendo, independentemente de em que quadrante do Kobe ele esteja.</w:t>
      </w:r>
    </w:p>
    <w:p>
      <w:pPr>
        <w:pStyle w:val="Heading1"/>
        <w:spacing w:after="160" w:before="360"/>
      </w:pPr>
      <w:r>
        <w:t xml:space="preserve">9. Projeções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Com projection = TRUE, o JABBA projeta a população para frente dentro do próprio MCMC — ou seja, cada uma das 10.000 amostras da posterior é projetada separadamente, e a incerteza da projeção já incorpora toda a incerteza de parâmetros e de estado. Os argumentos: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TACs: </w:t>
      </w:r>
      <w:r>
        <w:rPr>
          <w:rFonts w:ascii="Calibri" w:cs="Calibri" w:eastAsia="Calibri" w:hAnsi="Calibri"/>
          <w:sz w:val="22"/>
          <w:szCs w:val="22"/>
        </w:rPr>
        <w:t xml:space="preserve">o vetor de capturas fixas a testar. O default é uma sequência de 50% a 120% da captura do último ano.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TACint: </w:t>
      </w:r>
      <w:r>
        <w:rPr>
          <w:rFonts w:ascii="Calibri" w:cs="Calibri" w:eastAsia="Calibri" w:hAnsi="Calibri"/>
          <w:sz w:val="22"/>
          <w:szCs w:val="22"/>
        </w:rPr>
        <w:t xml:space="preserve">a captura assumida nos anos entre o fim dos dados e o início da regra de manejo (default: média dos dois últimos anos observados).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imp.yr: </w:t>
      </w:r>
      <w:r>
        <w:rPr>
          <w:rFonts w:ascii="Calibri" w:cs="Calibri" w:eastAsia="Calibri" w:hAnsi="Calibri"/>
          <w:sz w:val="22"/>
          <w:szCs w:val="22"/>
        </w:rPr>
        <w:t xml:space="preserve">o ano em que a nova TAC passa a valer.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pyrs: </w:t>
      </w:r>
      <w:r>
        <w:rPr>
          <w:rFonts w:ascii="Calibri" w:cs="Calibri" w:eastAsia="Calibri" w:hAnsi="Calibri"/>
          <w:sz w:val="22"/>
          <w:szCs w:val="22"/>
        </w:rPr>
        <w:t xml:space="preserve">por quantos anos projetar (default 10).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O resultado sai em $kbtrj com type = "prj", permitindo calcular diretamente a probabilidade de o estoque estar acima de Bmsy em um dado ano sob cada nível de captura — que é, na prática, o produto que um comitê de manejo quer ver.</w:t>
      </w:r>
    </w:p>
    <w:p>
      <w:pPr>
        <w:pStyle w:val="Heading1"/>
        <w:spacing w:after="160" w:before="360"/>
      </w:pPr>
      <w:r>
        <w:t xml:space="preserve">10. JABBA no contexto: comparação e limitações</w:t>
      </w:r>
    </w:p>
    <w:p>
      <w:pPr>
        <w:pStyle w:val="Heading2"/>
        <w:spacing w:after="120" w:before="260"/>
      </w:pPr>
      <w:r>
        <w:t xml:space="preserve">10.1 JABBA, CMSY++ e DB-SRA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300"/>
        <w:gridCol w:w="2100"/>
      </w:tblGrid>
      <w:tr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JABBA</w:t>
            </w:r>
          </w:p>
        </w:tc>
        <w:tc>
          <w:tcPr>
            <w:tcW w:type="dxa" w:w="2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CMSY++</w:t>
            </w:r>
          </w:p>
        </w:tc>
        <w:tc>
          <w:tcPr>
            <w:tcW w:type="dxa" w:w="2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DB-SRA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Dados mínimos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Captura + índice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Só captura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Só captura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Estrutura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Espaço-estado bayesiano (JAGS)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Espaço-estado bayesiano (JAGS)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Reconstrução com atraso (delay-difference)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Quem manda no resultado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tendência do índice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 prior de depleção (B/k)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 prior de depleção no ano de referência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Erro de processo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Sim, estimado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Sim, estimado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Forma da produção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Fox/Schaefer/Pella (m fixo ou estimado)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Schaefer modificado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Híbrido Schaefer-PTF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 diferença essencial: no CMSY++ e no DB-SRA, a informação que fixa a escala do estoque vem de um prior de depleção que você assume. No JABBA, ela vem da tendência do índice. Isso torna o JABBA mais exigente em dados, porém menos dependente de uma suposição arbitrária — desde que o índice realmente reflita abundância.</w:t>
      </w:r>
    </w:p>
    <w:p>
      <w:pPr>
        <w:pStyle w:val="Heading2"/>
        <w:spacing w:after="120" w:before="260"/>
      </w:pPr>
      <w:r>
        <w:t xml:space="preserve">10.2 O que pode dar errado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Índice que não mede abundância: </w:t>
      </w:r>
      <w:r>
        <w:rPr>
          <w:rFonts w:ascii="Calibri" w:cs="Calibri" w:eastAsia="Calibri" w:hAnsi="Calibri"/>
          <w:sz w:val="22"/>
          <w:szCs w:val="22"/>
        </w:rPr>
        <w:t xml:space="preserve">o modelo não tem como saber. Mudança de espécie-alvo, aumento de eficiência tecnológica (effort creep) e hiperestabilidade produzem tendências que o JABBA lerá como dinâmica populacional. É por isso que padronização de CPUE e análise de cenários com índices alternativos não são etapas opcionais.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 e K confundidos: </w:t>
      </w:r>
      <w:r>
        <w:rPr>
          <w:rFonts w:ascii="Calibri" w:cs="Calibri" w:eastAsia="Calibri" w:hAnsi="Calibri"/>
          <w:sz w:val="22"/>
          <w:szCs w:val="22"/>
        </w:rPr>
        <w:t xml:space="preserve">como mostrado na Seção 3.2, existe uma faixa larga de combinações com MSY parecido. Se o índice for curto, plano ou ruidoso, a posterior de r e K será essencialmente o prior. Comparar priori e posteriori parâmetro por parâmetro é o teste honesto de quanto os dados realmente informaram.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Erro de processo absorvendo tudo: </w:t>
      </w:r>
      <w:r>
        <w:rPr>
          <w:rFonts w:ascii="Calibri" w:cs="Calibri" w:eastAsia="Calibri" w:hAnsi="Calibri"/>
          <w:sz w:val="22"/>
          <w:szCs w:val="22"/>
        </w:rPr>
        <w:t xml:space="preserve">com variâncias livres demais, o modelo pode ajustar a CPUE quase perfeitamente à custa de desvios de processo implausíveis. Olhe sempre os Proc.Dev estimados: eles deveriam parecer ruído, não uma trajetória com padrão.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prior de φ (psi) fixando o resultado: </w:t>
      </w:r>
      <w:r>
        <w:rPr>
          <w:rFonts w:ascii="Calibri" w:cs="Calibri" w:eastAsia="Calibri" w:hAnsi="Calibri"/>
          <w:sz w:val="22"/>
          <w:szCs w:val="22"/>
        </w:rPr>
        <w:t xml:space="preserve">se a série de capturas começa no meio de uma pescaria já estabelecida, a suposição de depleção inicial praticamente determina a escala de tudo. Trate-a como hipótese a testar, não como detalhe de configuração.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Escolha de m como escolha biológica: </w:t>
      </w:r>
      <w:r>
        <w:rPr>
          <w:rFonts w:ascii="Calibri" w:cs="Calibri" w:eastAsia="Calibri" w:hAnsi="Calibri"/>
          <w:sz w:val="22"/>
          <w:szCs w:val="22"/>
        </w:rPr>
        <w:t xml:space="preserve">passar de Schaefer para Fox muda Bmsy/K de 0,50 para 0,37 e quase dobra o Fmsy para o mesmo r. É uma afirmação sobre a biologia do estoque, e deve ser justificada como tal (ou coberta por cenários alternativos).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Defaults vagos demais: </w:t>
      </w:r>
      <w:r>
        <w:rPr>
          <w:rFonts w:ascii="Calibri" w:cs="Calibri" w:eastAsia="Calibri" w:hAnsi="Calibri"/>
          <w:sz w:val="22"/>
          <w:szCs w:val="22"/>
        </w:rPr>
        <w:t xml:space="preserve">o prior default de K (média = 8× captura máxima, CV = 1) e o q sem prior existem para que o pacote rode em qualquer estoque — não porque sejam adequados ao seu.</w:t>
      </w:r>
    </w:p>
    <w:p>
      <w:pPr>
        <w:pStyle w:val="Heading1"/>
        <w:spacing w:after="160" w:before="360"/>
      </w:pPr>
      <w:r>
        <w:t xml:space="preserve">Referências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Fletcher, R.I. (1978). On the restructuring of the Pella-Tomlinson system. Fishery Bulletin 76, 515–521.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Fox, W.W. (1970). An exponential surplus-yield model for optimizing exploited fish populations. Transactions of the American Fisheries Society 99, 80–88.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Francis, R.I.C.C. (2011). Data weighting in statistical fisheries stock assessment models. Canadian Journal of Fisheries and Aquatic Sciences 68, 1124–1138.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Francis, R.I.C.C., Hurst, R.J. &amp; Renwick, J.A. (2003). Quantifying annual variation in catchability for commercial and research fishing. Fishery Bulletin 101, 293–304.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Meyer, R. &amp; Millar, R.B. (1999). BUGS in Bayesian stock assessments. Canadian Journal of Fisheries and Aquatic Sciences 56, 1078–1087.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Millar, R.B. &amp; Meyer, R. (2000). Non-linear state space modelling of fisheries biomass dynamics by using Metropolis-Hastings within-Gibbs sampling. Applied Statistics 49, 327–342.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Mourato, B. &amp; Sant’Ana, R. (2021). Introdução ao modelo bayesiano de produção excedente JABBA. Curso sobre Avaliação de Estoques Pesqueiros, Projeto SHRIMP, webinar de 19 de agosto de 2021.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Pella, J.J. &amp; Tomlinson, P.K. (1969). A generalized stock production model. Bulletin of the Inter-American Tropical Tuna Commission 13, 419–496.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Plummer, M. (2003). JAGS: A program for analysis of Bayesian graphical models using Gibbs sampling. Proceedings of the 3rd International Workshop on Distributed Statistical Computing.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Schaefer, M.B. (1954). Some aspects of the dynamics of populations important to the management of the commercial marine fisheries. Bulletin of the Inter-American Tropical Tuna Commission 1, 27–56.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Winker, H., Carvalho, F. &amp; Kapur, M. (2018). JABBA: Just Another Bayesian Biomass Assessment. Fisheries Research 204, 275–288.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Winker, H., Kimoto, A., Mourato, B.L., Tsepes, G. &amp; Ortiz, M. (2020). Development of Bayesian state-space surplus production model JABBA for assessing the Mediterranean swordfish (Xiphias gladius) stock. Collective Volume of Scientific Papers ICCAT 77(3), 508–536.</w:t>
      </w:r>
    </w:p>
    <w:sectPr>
      <w:pgSz w:w="11907" w:h="16840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60"/>
    </w:pPr>
    <w:rPr>
      <w:rFonts w:ascii="Calibri" w:cs="Calibri" w:eastAsia="Calibri" w:hAnsi="Calibri"/>
      <w:b/>
      <w:bCs/>
      <w:color w:val="2E5A8C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</w:pPr>
    <w:rPr>
      <w:rFonts w:ascii="Calibri" w:cs="Calibri" w:eastAsia="Calibri" w:hAnsi="Calibri"/>
      <w:b/>
      <w:bCs/>
      <w:i/>
      <w:iCs/>
      <w:color w:val="2E5A8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2026-09-20T22:55:13.334Z</dcterms:created>
  <dcterms:modified xsi:type="dcterms:W3CDTF">2026-09-20T22:55:13.344Z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