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left"/>
      </w:pPr>
      <w:r>
        <w:rPr>
          <w:rFonts w:ascii="Calibri" w:cs="Calibri" w:eastAsia="Calibri" w:hAnsi="Calibri"/>
          <w:b/>
          <w:bCs/>
          <w:color w:val="1F4E79"/>
          <w:sz w:val="40"/>
          <w:szCs w:val="40"/>
        </w:rPr>
        <w:t xml:space="preserve">DEPLETION-BASED STOCK REDUCTION ANALYSIS (DB-SRA)</w:t>
      </w:r>
    </w:p>
    <w:p>
      <w:pPr>
        <w:spacing w:after="320"/>
      </w:pPr>
      <w:r>
        <w:rPr>
          <w:rFonts w:ascii="Calibri" w:cs="Calibri" w:eastAsia="Calibri" w:hAnsi="Calibri"/>
          <w:i/>
          <w:iCs/>
          <w:color w:val="404040"/>
          <w:sz w:val="24"/>
          <w:szCs w:val="24"/>
        </w:rPr>
        <w:t xml:space="preserve">Guia didático: da lógica do método à escolha de implementação em R</w:t>
      </w:r>
    </w:p>
    <w:p>
      <w:pPr>
        <w:spacing w:after="320"/>
      </w:pPr>
      <w:r>
        <w:rPr>
          <w:color w:val="404040"/>
          <w:sz w:val="21"/>
          <w:szCs w:val="21"/>
        </w:rPr>
        <w:t xml:space="preserve">Baseado em Dick, E.J. &amp; MacCall, A.D. (2011). Depletion-Based Stock Reduction Analysis: A catch-based method for determining sustainable yields for data-poor fish stocks. Fisheries Research 110, 331–341.</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COMO LER ESTE DOCUMENTO  </w:t>
      </w:r>
      <w:r>
        <w:t xml:space="preserve">O texto segue a ordem em que o método precisa ser entendido: primeiro </w:t>
      </w:r>
      <w:r>
        <w:rPr>
          <w:b/>
          <w:bCs/>
        </w:rPr>
        <w:t xml:space="preserve">por que</w:t>
      </w:r>
      <w:r>
        <w:t xml:space="preserve"> ele existe e qual problema resolve; depois </w:t>
      </w:r>
      <w:r>
        <w:rPr>
          <w:b/>
          <w:bCs/>
        </w:rPr>
        <w:t xml:space="preserve">como</w:t>
      </w:r>
      <w:r>
        <w:t xml:space="preserve"> ele funciona por dentro (o modelo de produção e o algoritmo); em seguida </w:t>
      </w:r>
      <w:r>
        <w:rPr>
          <w:b/>
          <w:bCs/>
        </w:rPr>
        <w:t xml:space="preserve">o que</w:t>
      </w:r>
      <w:r>
        <w:t xml:space="preserve"> ele devolve e </w:t>
      </w:r>
      <w:r>
        <w:rPr>
          <w:b/>
          <w:bCs/>
        </w:rPr>
        <w:t xml:space="preserve">quando confiar</w:t>
      </w:r>
      <w:r>
        <w:t xml:space="preserve"> no resultado; e, por fim, uma comparação prática entre as duas implementações em R disponíveis, com recomendação de uso.</w:t>
      </w:r>
    </w:p>
    <w:p>
      <w:pPr>
        <w:pStyle w:val="Heading1"/>
        <w:pBdr>
          <w:bottom w:val="single" w:color="BFCFE3" w:sz="6" w:space="6"/>
        </w:pBdr>
        <w:spacing w:after="180" w:before="400"/>
      </w:pPr>
      <w:r>
        <w:rPr>
          <w:rFonts w:ascii="Calibri" w:cs="Calibri" w:eastAsia="Calibri" w:hAnsi="Calibri"/>
          <w:b/>
          <w:bCs/>
          <w:color w:val="1F4E79"/>
          <w:sz w:val="30"/>
          <w:szCs w:val="30"/>
        </w:rPr>
        <w:t xml:space="preserve">1. O que é o DB-SRA e por que ele existe</w:t>
      </w:r>
    </w:p>
    <w:p>
      <w:pPr>
        <w:spacing w:after="140" w:line="276"/>
        <w:jc w:val="both"/>
      </w:pPr>
      <w:r>
        <w:t xml:space="preserve">DB-SRA é um método para estimar rendimento sustentável e pontos de referência de manejo (K, Bmsy, Fmsy, MSY e o limite de sobrepesca) para estoques </w:t>
      </w:r>
      <w:r>
        <w:rPr>
          <w:b/>
          <w:bCs/>
        </w:rPr>
        <w:t xml:space="preserve">pobres em dados</w:t>
      </w:r>
      <w:r>
        <w:t xml:space="preserve"> — situações em que se tem uma série histórica de capturas, algum conhecimento biológico geral da espécie (mortalidade natural, idade de maturação) e uma ideia aproximada de quão depletado o estoque está hoje, mas </w:t>
      </w:r>
      <w:r>
        <w:rPr>
          <w:b/>
          <w:bCs/>
        </w:rPr>
        <w:t xml:space="preserve">não</w:t>
      </w:r>
      <w:r>
        <w:t xml:space="preserve"> se dispõe de um índice de abundância longo e confiável nem de dados suficientes para um modelo estruturado por idade.</w:t>
      </w:r>
    </w:p>
    <w:p>
      <w:pPr>
        <w:spacing w:after="140" w:line="276"/>
        <w:jc w:val="both"/>
      </w:pPr>
      <w:r>
        <w:t xml:space="preserve">O método nasce da fusão de duas ideias já existentes: </w:t>
      </w:r>
      <w:r>
        <w:rPr>
          <w:b/>
          <w:bCs/>
        </w:rPr>
        <w:t xml:space="preserve">Stock Reduction Analysis (SRA)</w:t>
      </w:r>
      <w:r>
        <w:t xml:space="preserve">, de Kimura et al. (1984) e formalizada de forma estocástica por Walters et al. (2006), e o </w:t>
      </w:r>
      <w:r>
        <w:rPr>
          <w:b/>
          <w:bCs/>
        </w:rPr>
        <w:t xml:space="preserve">Depletion-Corrected Average Catch (DCAC)</w:t>
      </w:r>
      <w:r>
        <w:t xml:space="preserve">, de MacCall (2009). A contribuição de Dick &amp; MacCall foi encaixar essas duas ideias em uma estrutura só, com uma função de produção nova, desenhada para funcionar bem mesmo em biomassas baixas — o que os modelos de produção clássicos (Schaefer, Fox, Pella-Tomlinson puro) não garantem.</w:t>
      </w:r>
    </w:p>
    <w:p>
      <w:pPr>
        <w:pStyle w:val="Heading2"/>
        <w:spacing w:after="120" w:before="260"/>
      </w:pPr>
      <w:r>
        <w:rPr>
          <w:rFonts w:ascii="Calibri" w:cs="Calibri" w:eastAsia="Calibri" w:hAnsi="Calibri"/>
          <w:b/>
          <w:bCs/>
          <w:color w:val="2E74B5"/>
          <w:sz w:val="24"/>
          <w:szCs w:val="24"/>
        </w:rPr>
        <w:t xml:space="preserve">1.1 O raciocínio central</w:t>
      </w:r>
    </w:p>
    <w:p>
      <w:pPr>
        <w:spacing w:after="140" w:line="276"/>
        <w:jc w:val="both"/>
      </w:pPr>
      <w:r>
        <w:t xml:space="preserve">A ideia-chave da SRA é simples de enunciar: se sabemos a captura retirada do estoque ano a ano, e sabemos (ou assumimos) que a biomassa mudou de um nível inicial não explorado (K) para um nível conhecido de depleção relativa em um ano recente, então existe </w:t>
      </w:r>
      <w:r>
        <w:rPr>
          <w:b/>
          <w:bCs/>
        </w:rPr>
        <w:t xml:space="preserve">um único valor de K</w:t>
      </w:r>
      <w:r>
        <w:t xml:space="preserve"> — a capacidade de suporte — que, combinado com uma função de produção e a série de capturas, reproduz essa trajetória de depleção. Encontrado esse K, os demais pontos de referência (Bmsy, Fmsy, MSY) saem quase de graça, porque a função de produção já os define como frações de K.</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EM UMA FRASE  </w:t>
      </w:r>
      <w:r>
        <w:t xml:space="preserve">DB-SRA não precisa de um índice de abundância porque </w:t>
      </w:r>
      <w:r>
        <w:rPr>
          <w:b/>
          <w:bCs/>
        </w:rPr>
        <w:t xml:space="preserve">usa a própria história de captura como o "experimento"</w:t>
      </w:r>
      <w:r>
        <w:t xml:space="preserve">: uma população que aguentou décadas de pesca e ainda está em pé revela, pela quantidade que foi capturada, algo sobre sua produtividade e sua escala.</w:t>
      </w:r>
    </w:p>
    <w:p>
      <w:pPr>
        <w:pStyle w:val="Heading1"/>
        <w:pBdr>
          <w:bottom w:val="single" w:color="BFCFE3" w:sz="6" w:space="6"/>
        </w:pBdr>
        <w:spacing w:after="180" w:before="400"/>
      </w:pPr>
      <w:r>
        <w:rPr>
          <w:rFonts w:ascii="Calibri" w:cs="Calibri" w:eastAsia="Calibri" w:hAnsi="Calibri"/>
          <w:b/>
          <w:bCs/>
          <w:color w:val="1F4E79"/>
          <w:sz w:val="30"/>
          <w:szCs w:val="30"/>
        </w:rPr>
        <w:t xml:space="preserve">2. O modelo de produção: a peça central do método</w:t>
      </w:r>
    </w:p>
    <w:p>
      <w:pPr>
        <w:spacing w:after="140" w:line="276"/>
        <w:jc w:val="both"/>
      </w:pPr>
      <w:r>
        <w:t xml:space="preserve">DB-SRA reconstrói a trajetória de biomassa com um modelo delay-difference simples:</w:t>
      </w:r>
    </w:p>
    <w:p>
      <w:pPr>
        <w:shd w:fill="F2F5FA" w:val="clear"/>
        <w:spacing w:after="140" w:before="120"/>
        <w:jc w:val="center"/>
      </w:pPr>
      <w:r>
        <w:rPr>
          <w:rFonts w:ascii="Consolas" w:cs="Consolas" w:eastAsia="Consolas" w:hAnsi="Consolas"/>
          <w:color w:val="1F3864"/>
          <w:sz w:val="20"/>
          <w:szCs w:val="20"/>
        </w:rPr>
        <w:t xml:space="preserve">B_t = B_(t-1) + P(B_(t-a)) − C_(t-1)</w:t>
      </w:r>
    </w:p>
    <w:p>
      <w:pPr>
        <w:spacing w:after="140" w:line="276"/>
        <w:jc w:val="both"/>
      </w:pPr>
      <w:r>
        <w:t xml:space="preserve">em que C é a captura, B a biomassa, a a idade média de entrada na biomassa reprodutiva (idade de maturação) e P a produção líquida anual, calculada a partir da biomassa </w:t>
      </w:r>
      <w:r>
        <w:rPr>
          <w:b/>
          <w:bCs/>
        </w:rPr>
        <w:t xml:space="preserve">a anos antes</w:t>
      </w:r>
      <w:r>
        <w:t xml:space="preserve"> — o termo de defasagem (delay) que dá nome ao modelo. A cada passo, soma-se a produção biológica e subtrai-se a captura do período anterior.</w:t>
      </w:r>
    </w:p>
    <w:p>
      <w:pPr>
        <w:spacing w:after="140" w:line="276"/>
        <w:jc w:val="both"/>
      </w:pPr>
      <w:r>
        <w:t xml:space="preserve">O ingrediente que decide tudo é a forma da função P. Dick &amp; MacCall adotaram como base o modelo de Pella-Tomlinson-Fletcher (PTF), que permite colocar o pico de produtividade (Bmnpl, a biomassa que gera o rendimento máximo, na prática Bmsy/K) em qualquer ponto entre 0 e K — diferente do modelo de Schaefer, que fixa esse pico exatamente em 0,5K. Essa flexibilidade importa porque a maioria dos estoques de peixe não tem produtividade máxima em 50% da biomassa não explorada; em pequenos pelágicos e outros estoques de alta produtividade (steepness alto), o pico costuma estar bem abaixo disso.</w:t>
      </w:r>
    </w:p>
    <w:p>
      <w:pPr>
        <w:spacing w:after="140" w:line="276"/>
        <w:jc w:val="both"/>
      </w:pPr>
      <w:r>
        <w:t xml:space="preserve">O problema é que o PTF puro, quando parametrizado para picos de produtividade baixos (Bmnpl &lt; e⁻¹ ≈ 0,37K), passa a prever produção </w:t>
      </w:r>
      <w:r>
        <w:rPr>
          <w:b/>
          <w:bCs/>
        </w:rPr>
        <w:t xml:space="preserve">crescente demais</w:t>
      </w:r>
      <w:r>
        <w:t xml:space="preserve"> em biomassas muito baixas — um comportamento biologicamente implausível que superestimaria a capacidade de recuperação de um estoque já bem depletado. Para corrigir isso, os autores desenvolveram um </w:t>
      </w:r>
      <w:r>
        <w:rPr>
          <w:b/>
          <w:bCs/>
        </w:rPr>
        <w:t xml:space="preserve">modelo híbrido Schaefer–PTF</w:t>
      </w:r>
      <w:r>
        <w:t xml:space="preserve">: acima de um "ponto de junção" (Bjoin), a produção segue o PTF; abaixo dele, segue uma reta (forma Schaefer) calibrada para ter a mesma inclinação do PTF exatamente no ponto de junção, evitando tanto o excesso de otimismo do PTF quanto o pessimismo excessivo de versões híbridas anteriores (McAllister et al., 2000).</w:t>
      </w:r>
    </w:p>
    <w:p>
      <w:pPr>
        <w:spacing w:after="0" w:line="240"/>
        <w:jc w:val="left"/>
      </w:pPr>
      <w:r>
        <w:rPr>
          <w:rFonts w:ascii="Consolas" w:cs="Consolas" w:eastAsia="Consolas" w:hAnsi="Consolas"/>
          <w:sz w:val="17"/>
          <w:szCs w:val="17"/>
        </w:rPr>
        <w:t xml:space="preserve">  Produção</w:t>
      </w:r>
    </w:p>
    <w:p>
      <w:pPr>
        <w:spacing w:after="0" w:line="240"/>
        <w:jc w:val="left"/>
      </w:pPr>
      <w:r>
        <w:rPr>
          <w:rFonts w:ascii="Consolas" w:cs="Consolas" w:eastAsia="Consolas" w:hAnsi="Consolas"/>
          <w:sz w:val="17"/>
          <w:szCs w:val="17"/>
        </w:rPr>
        <w:t xml:space="preserve">     │        PTF puro (super-otimista em B baixo)</w:t>
      </w:r>
    </w:p>
    <w:p>
      <w:pPr>
        <w:spacing w:after="0" w:line="240"/>
        <w:jc w:val="left"/>
      </w:pPr>
      <w:r>
        <w:rPr>
          <w:rFonts w:ascii="Consolas" w:cs="Consolas" w:eastAsia="Consolas" w:hAnsi="Consolas"/>
          <w:sz w:val="17"/>
          <w:szCs w:val="17"/>
        </w:rPr>
        <w:t xml:space="preserve">     │       ⋯⋯⋯⋯⋯</w:t>
      </w:r>
    </w:p>
    <w:p>
      <w:pPr>
        <w:spacing w:after="0" w:line="240"/>
        <w:jc w:val="left"/>
      </w:pPr>
      <w:r>
        <w:rPr>
          <w:rFonts w:ascii="Consolas" w:cs="Consolas" w:eastAsia="Consolas" w:hAnsi="Consolas"/>
          <w:sz w:val="17"/>
          <w:szCs w:val="17"/>
        </w:rPr>
        <w:t xml:space="preserve">     │      ⋯      ╲</w:t>
      </w:r>
    </w:p>
    <w:p>
      <w:pPr>
        <w:spacing w:after="0" w:line="240"/>
        <w:jc w:val="left"/>
      </w:pPr>
      <w:r>
        <w:rPr>
          <w:rFonts w:ascii="Consolas" w:cs="Consolas" w:eastAsia="Consolas" w:hAnsi="Consolas"/>
          <w:sz w:val="17"/>
          <w:szCs w:val="17"/>
        </w:rPr>
        <w:t xml:space="preserve">     │    ⟋          ╲</w:t>
      </w:r>
    </w:p>
    <w:p>
      <w:pPr>
        <w:spacing w:after="0" w:line="240"/>
        <w:jc w:val="left"/>
      </w:pPr>
      <w:r>
        <w:rPr>
          <w:rFonts w:ascii="Consolas" w:cs="Consolas" w:eastAsia="Consolas" w:hAnsi="Consolas"/>
          <w:sz w:val="17"/>
          <w:szCs w:val="17"/>
        </w:rPr>
        <w:t xml:space="preserve">     │  ⟋   híbrido    ╲</w:t>
      </w:r>
    </w:p>
    <w:p>
      <w:pPr>
        <w:spacing w:after="0" w:line="240"/>
        <w:jc w:val="left"/>
      </w:pPr>
      <w:r>
        <w:rPr>
          <w:rFonts w:ascii="Consolas" w:cs="Consolas" w:eastAsia="Consolas" w:hAnsi="Consolas"/>
          <w:sz w:val="17"/>
          <w:szCs w:val="17"/>
        </w:rPr>
        <w:t xml:space="preserve">     │⟋   Schaefer-PTF    ╲</w:t>
      </w:r>
    </w:p>
    <w:p>
      <w:pPr>
        <w:spacing w:after="0" w:line="240"/>
        <w:jc w:val="left"/>
      </w:pPr>
      <w:r>
        <w:rPr>
          <w:rFonts w:ascii="Consolas" w:cs="Consolas" w:eastAsia="Consolas" w:hAnsi="Consolas"/>
          <w:sz w:val="17"/>
          <w:szCs w:val="17"/>
        </w:rPr>
        <w:t xml:space="preserve">     └──────┬──────────────┴──── B/K</w:t>
      </w:r>
    </w:p>
    <w:p>
      <w:pPr>
        <w:spacing w:after="0" w:line="240"/>
        <w:jc w:val="left"/>
      </w:pPr>
      <w:r>
        <w:rPr>
          <w:rFonts w:ascii="Consolas" w:cs="Consolas" w:eastAsia="Consolas" w:hAnsi="Consolas"/>
          <w:sz w:val="17"/>
          <w:szCs w:val="17"/>
        </w:rPr>
        <w:t xml:space="preserve">            Bjoin            Bmnpl (=Bmsy/K)</w:t>
      </w:r>
    </w:p>
    <w:p>
      <w:pPr>
        <w:spacing w:after="180" w:before="40"/>
      </w:pPr>
      <w:r>
        <w:rPr>
          <w:i/>
          <w:iCs/>
          <w:color w:val="595959"/>
          <w:sz w:val="18"/>
          <w:szCs w:val="18"/>
        </w:rPr>
        <w:t xml:space="preserve">Figura 1. O modelo híbrido usa uma reta (Schaefer) abaixo do ponto de junção e a curva PTF acima dele, evitando produção implausivelmente alta em biomassas muito reduzidas.</w:t>
      </w:r>
    </w:p>
    <w:p>
      <w:pPr>
        <w:spacing w:after="140" w:line="276"/>
        <w:jc w:val="both"/>
      </w:pPr>
      <w:r>
        <w:t xml:space="preserve">Com a função de produção definida, o rendimento máximo sustentável tem uma expressão fechada:</w:t>
      </w:r>
    </w:p>
    <w:p>
      <w:pPr>
        <w:shd w:fill="F2F5FA" w:val="clear"/>
        <w:spacing w:after="140" w:before="120"/>
        <w:jc w:val="center"/>
      </w:pPr>
      <w:r>
        <w:rPr>
          <w:rFonts w:ascii="Consolas" w:cs="Consolas" w:eastAsia="Consolas" w:hAnsi="Consolas"/>
          <w:color w:val="1F3864"/>
          <w:sz w:val="20"/>
          <w:szCs w:val="20"/>
        </w:rPr>
        <w:t xml:space="preserve">MSY = Umsy · Bmnpl · K,     Umsy = [Fmsy/(M+Fmsy)] · [1 − e^(−(M+Fmsy))]</w:t>
      </w:r>
    </w:p>
    <w:p>
      <w:pPr>
        <w:spacing w:after="140" w:line="276"/>
        <w:jc w:val="both"/>
      </w:pPr>
      <w:r>
        <w:t xml:space="preserve">Umsy é a fração da biomassa no pico de produtividade que corresponde à captura ótima anual, dados M (mortalidade natural) e Fmsy. Note que </w:t>
      </w:r>
      <w:r>
        <w:rPr>
          <w:b/>
          <w:bCs/>
        </w:rPr>
        <w:t xml:space="preserve">o único parâmetro realmente desconhecido em toda essa estrutura é K</w:t>
      </w:r>
      <w:r>
        <w:t xml:space="preserve"> — todos os outros (M, Fmsy/M, Bmnpl) entram como conhecimento biológico prévio, e é exatamente por isso que o método consegue funcionar com tão poucos dados observados diretamente.</w:t>
      </w:r>
    </w:p>
    <w:p>
      <w:pPr>
        <w:pStyle w:val="Heading1"/>
        <w:pBdr>
          <w:bottom w:val="single" w:color="BFCFE3" w:sz="6" w:space="6"/>
        </w:pBdr>
        <w:spacing w:after="180" w:before="400"/>
      </w:pPr>
      <w:r>
        <w:rPr>
          <w:rFonts w:ascii="Calibri" w:cs="Calibri" w:eastAsia="Calibri" w:hAnsi="Calibri"/>
          <w:b/>
          <w:bCs/>
          <w:color w:val="1F4E79"/>
          <w:sz w:val="30"/>
          <w:szCs w:val="30"/>
        </w:rPr>
        <w:t xml:space="preserve">3. Os quatro parâmetros de entrada</w:t>
      </w:r>
    </w:p>
    <w:p>
      <w:pPr>
        <w:spacing w:after="140" w:line="276"/>
        <w:jc w:val="both"/>
      </w:pPr>
      <w:r>
        <w:t xml:space="preserve">Cada rodada Monte Carlo do DB-SRA sorteia um valor para cada um destes quatro parâmetros, a partir de distribuições de probabilidade especificadas pelo usuário — não são valores fixos, e essa é a fonte da incerteza propagada para os resultados finais.</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700"/>
        <w:gridCol w:w="3200"/>
        <w:gridCol w:w="4460"/>
      </w:tblGrid>
      <w:tr>
        <w:trPr>
          <w:tblHeader/>
        </w:trPr>
        <w:tc>
          <w:tcPr>
            <w:tcW w:type="dxa" w:w="1700"/>
            <w:shd w:fill="1F4E79" w:val="clear"/>
            <w:tcMar>
              <w:top w:type="dxa" w:w="60"/>
              <w:left w:type="dxa" w:w="100"/>
              <w:bottom w:type="dxa" w:w="60"/>
              <w:right w:type="dxa" w:w="100"/>
            </w:tcMar>
          </w:tcPr>
          <w:p>
            <w:pPr>
              <w:spacing w:after="0" w:line="240"/>
              <w:jc w:val="left"/>
            </w:pPr>
            <w:r>
              <w:rPr>
                <w:b/>
                <w:bCs/>
                <w:color w:val="FFFFFF"/>
                <w:sz w:val="19"/>
                <w:szCs w:val="19"/>
              </w:rPr>
              <w:t xml:space="preserve">Parâmetro</w:t>
            </w:r>
          </w:p>
        </w:tc>
        <w:tc>
          <w:tcPr>
            <w:tcW w:type="dxa" w:w="3200"/>
            <w:shd w:fill="1F4E79" w:val="clear"/>
            <w:tcMar>
              <w:top w:type="dxa" w:w="60"/>
              <w:left w:type="dxa" w:w="100"/>
              <w:bottom w:type="dxa" w:w="60"/>
              <w:right w:type="dxa" w:w="100"/>
            </w:tcMar>
          </w:tcPr>
          <w:p>
            <w:pPr>
              <w:spacing w:after="0" w:line="240"/>
              <w:jc w:val="left"/>
            </w:pPr>
            <w:r>
              <w:rPr>
                <w:b/>
                <w:bCs/>
                <w:color w:val="FFFFFF"/>
                <w:sz w:val="19"/>
                <w:szCs w:val="19"/>
              </w:rPr>
              <w:t xml:space="preserve">O que representa</w:t>
            </w:r>
          </w:p>
        </w:tc>
        <w:tc>
          <w:tcPr>
            <w:tcW w:type="dxa" w:w="4460"/>
            <w:shd w:fill="1F4E79" w:val="clear"/>
            <w:tcMar>
              <w:top w:type="dxa" w:w="60"/>
              <w:left w:type="dxa" w:w="100"/>
              <w:bottom w:type="dxa" w:w="60"/>
              <w:right w:type="dxa" w:w="100"/>
            </w:tcMar>
          </w:tcPr>
          <w:p>
            <w:pPr>
              <w:spacing w:after="0" w:line="240"/>
              <w:jc w:val="left"/>
            </w:pPr>
            <w:r>
              <w:rPr>
                <w:b/>
                <w:bCs/>
                <w:color w:val="FFFFFF"/>
                <w:sz w:val="19"/>
                <w:szCs w:val="19"/>
              </w:rPr>
              <w:t xml:space="preserve">Distribuição típica (Dick &amp; MacCall, 2011)</w:t>
            </w:r>
          </w:p>
        </w:tc>
      </w:tr>
      <w:tr>
        <w:tc>
          <w:tcPr>
            <w:tcW w:type="dxa" w:w="1700"/>
            <w:tcMar>
              <w:top w:type="dxa" w:w="60"/>
              <w:left w:type="dxa" w:w="100"/>
              <w:bottom w:type="dxa" w:w="60"/>
              <w:right w:type="dxa" w:w="100"/>
            </w:tcMar>
          </w:tcPr>
          <w:p>
            <w:pPr>
              <w:spacing w:after="0" w:line="240"/>
              <w:jc w:val="left"/>
            </w:pPr>
            <w:r>
              <w:rPr>
                <w:b w:val="false"/>
                <w:bCs w:val="false"/>
                <w:color w:val="000000"/>
                <w:sz w:val="19"/>
                <w:szCs w:val="19"/>
              </w:rPr>
              <w:t xml:space="preserve">M</w:t>
            </w:r>
          </w:p>
        </w:tc>
        <w:tc>
          <w:tcPr>
            <w:tcW w:type="dxa" w:w="3200"/>
            <w:tcMar>
              <w:top w:type="dxa" w:w="60"/>
              <w:left w:type="dxa" w:w="100"/>
              <w:bottom w:type="dxa" w:w="60"/>
              <w:right w:type="dxa" w:w="100"/>
            </w:tcMar>
          </w:tcPr>
          <w:p>
            <w:pPr>
              <w:spacing w:after="0" w:line="240"/>
              <w:jc w:val="left"/>
            </w:pPr>
            <w:r>
              <w:rPr>
                <w:b w:val="false"/>
                <w:bCs w:val="false"/>
                <w:color w:val="000000"/>
                <w:sz w:val="19"/>
                <w:szCs w:val="19"/>
              </w:rPr>
              <w:t xml:space="preserve">Mortalidade natural anual.</w:t>
            </w:r>
          </w:p>
        </w:tc>
        <w:tc>
          <w:tcPr>
            <w:tcW w:type="dxa" w:w="4460"/>
            <w:tcMar>
              <w:top w:type="dxa" w:w="60"/>
              <w:left w:type="dxa" w:w="100"/>
              <w:bottom w:type="dxa" w:w="60"/>
              <w:right w:type="dxa" w:w="100"/>
            </w:tcMar>
          </w:tcPr>
          <w:p>
            <w:pPr>
              <w:spacing w:after="0" w:line="240"/>
              <w:jc w:val="left"/>
            </w:pPr>
            <w:r>
              <w:rPr>
                <w:b w:val="false"/>
                <w:bCs w:val="false"/>
                <w:color w:val="000000"/>
                <w:sz w:val="19"/>
                <w:szCs w:val="19"/>
              </w:rPr>
              <w:t xml:space="preserve">Lognormal, centrada na melhor estimativa pontual disponível para a espécie, com desvio-padrão em escala log de 0,4 (incerteza considerável).</w:t>
            </w:r>
          </w:p>
        </w:tc>
      </w:tr>
      <w:tr>
        <w:tc>
          <w:tcPr>
            <w:tcW w:type="dxa" w:w="17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Fmsy/M</w:t>
            </w:r>
          </w:p>
        </w:tc>
        <w:tc>
          <w:tcPr>
            <w:tcW w:type="dxa" w:w="32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Razão entre a mortalidade por pesca ótima e a mortalidade natural.</w:t>
            </w:r>
          </w:p>
        </w:tc>
        <w:tc>
          <w:tcPr>
            <w:tcW w:type="dxa" w:w="446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Lognormal, média 0,8, desvio-padrão em escala log de 0,2 — valor típico para peixes demersais, segundo Walters &amp; Martell (2004).</w:t>
            </w:r>
          </w:p>
        </w:tc>
      </w:tr>
      <w:tr>
        <w:tc>
          <w:tcPr>
            <w:tcW w:type="dxa" w:w="1700"/>
            <w:tcMar>
              <w:top w:type="dxa" w:w="60"/>
              <w:left w:type="dxa" w:w="100"/>
              <w:bottom w:type="dxa" w:w="60"/>
              <w:right w:type="dxa" w:w="100"/>
            </w:tcMar>
          </w:tcPr>
          <w:p>
            <w:pPr>
              <w:spacing w:after="0" w:line="240"/>
              <w:jc w:val="left"/>
            </w:pPr>
            <w:r>
              <w:rPr>
                <w:b w:val="false"/>
                <w:bCs w:val="false"/>
                <w:color w:val="000000"/>
                <w:sz w:val="19"/>
                <w:szCs w:val="19"/>
              </w:rPr>
              <w:t xml:space="preserve">Bmnpl (=Bmsy/K)</w:t>
            </w:r>
          </w:p>
        </w:tc>
        <w:tc>
          <w:tcPr>
            <w:tcW w:type="dxa" w:w="3200"/>
            <w:tcMar>
              <w:top w:type="dxa" w:w="60"/>
              <w:left w:type="dxa" w:w="100"/>
              <w:bottom w:type="dxa" w:w="60"/>
              <w:right w:type="dxa" w:w="100"/>
            </w:tcMar>
          </w:tcPr>
          <w:p>
            <w:pPr>
              <w:spacing w:after="0" w:line="240"/>
              <w:jc w:val="left"/>
            </w:pPr>
            <w:r>
              <w:rPr>
                <w:b w:val="false"/>
                <w:bCs w:val="false"/>
                <w:color w:val="000000"/>
                <w:sz w:val="19"/>
                <w:szCs w:val="19"/>
              </w:rPr>
              <w:t xml:space="preserve">Biomassa relativa (fração de K) em que ocorre a produção máxima.</w:t>
            </w:r>
          </w:p>
        </w:tc>
        <w:tc>
          <w:tcPr>
            <w:tcW w:type="dxa" w:w="4460"/>
            <w:tcMar>
              <w:top w:type="dxa" w:w="60"/>
              <w:left w:type="dxa" w:w="100"/>
              <w:bottom w:type="dxa" w:w="60"/>
              <w:right w:type="dxa" w:w="100"/>
            </w:tcMar>
          </w:tcPr>
          <w:p>
            <w:pPr>
              <w:spacing w:after="0" w:line="240"/>
              <w:jc w:val="left"/>
            </w:pPr>
            <w:r>
              <w:rPr>
                <w:b w:val="false"/>
                <w:bCs w:val="false"/>
                <w:color w:val="000000"/>
                <w:sz w:val="19"/>
                <w:szCs w:val="19"/>
              </w:rPr>
              <w:t xml:space="preserve">Beta, limitada entre 0,05 e 0,95; média de 0,4 para a maioria das espécies e 0,25 para linguados/solha (flatfish), que têm curvas de produção historicamente mais assimétricas.</w:t>
            </w:r>
          </w:p>
        </w:tc>
      </w:tr>
      <w:tr>
        <w:tc>
          <w:tcPr>
            <w:tcW w:type="dxa" w:w="17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BT/K</w:t>
            </w:r>
          </w:p>
        </w:tc>
        <w:tc>
          <w:tcPr>
            <w:tcW w:type="dxa" w:w="32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Depleção relativa (biomassa/K) em um ano recente T, não necessariamente o último da série.</w:t>
            </w:r>
          </w:p>
        </w:tc>
        <w:tc>
          <w:tcPr>
            <w:tcW w:type="dxa" w:w="446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Beta, limitada entre 0,01 e 0,99, com a expectativa definida pelo analista a partir do conhecimento disponível sobre o estoque, e desvio-padrão de 0,1.</w:t>
            </w:r>
          </w:p>
        </w:tc>
      </w:tr>
    </w:tbl>
    <w:p>
      <w:pPr>
        <w:spacing w:after="180" w:before="40"/>
      </w:pPr>
      <w:r>
        <w:rPr>
          <w:i/>
          <w:iCs/>
          <w:color w:val="595959"/>
          <w:sz w:val="18"/>
          <w:szCs w:val="18"/>
        </w:rPr>
        <w:t xml:space="preserve">Tabela 1. Os quatro parâmetros de entrada do DB-SRA e as distribuições usadas no artigo original como referência de partida — devem ser ajustados ao conhecimento disponível para cada estoque.</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O PARÂMETRO MAIS SENSÍVEL  </w:t>
      </w:r>
      <w:r>
        <w:t xml:space="preserve">BT/K (a depleção assumida) é, de longe, o input que mais influencia o resultado: valores mais altos de depleção assumida produzem estimativas de MSY e de captura sustentável sistematicamente maiores. Como normalmente é o parâmetro menos conhecido, a análise de sensibilidade a diferentes valores de BT/K é indispensável — nunca rodar o método com um único valor assumido sem testar alternativas.</w:t>
      </w:r>
    </w:p>
    <w:p>
      <w:pPr>
        <w:pStyle w:val="Heading1"/>
        <w:pBdr>
          <w:bottom w:val="single" w:color="BFCFE3" w:sz="6" w:space="6"/>
        </w:pBdr>
        <w:spacing w:after="180" w:before="400"/>
      </w:pPr>
      <w:r>
        <w:rPr>
          <w:rFonts w:ascii="Calibri" w:cs="Calibri" w:eastAsia="Calibri" w:hAnsi="Calibri"/>
          <w:b/>
          <w:bCs/>
          <w:color w:val="1F4E79"/>
          <w:sz w:val="30"/>
          <w:szCs w:val="30"/>
        </w:rPr>
        <w:t xml:space="preserve">4. O algoritmo, passo a passo</w:t>
      </w:r>
    </w:p>
    <w:p>
      <w:pPr>
        <w:spacing w:after="140" w:line="276"/>
        <w:jc w:val="both"/>
      </w:pPr>
      <w:r>
        <w:t xml:space="preserve">O procedimento é executado tipicamente 10 000 vezes (simulação Monte Carlo), repetindo a cada rodada:</w:t>
      </w:r>
    </w:p>
    <w:p>
      <w:pPr>
        <w:pStyle w:val="ListParagraph"/>
        <w:numPr>
          <w:ilvl w:val="0"/>
          <w:numId w:val="2"/>
        </w:numPr>
        <w:spacing w:after="80" w:line="268"/>
        <w:jc w:val="both"/>
      </w:pPr>
      <w:r>
        <w:rPr>
          <w:b/>
          <w:bCs/>
        </w:rPr>
        <w:t xml:space="preserve">Sortear</w:t>
      </w:r>
      <w:r>
        <w:t xml:space="preserve"> valores de M, Fmsy/M, Bmnpl e BT/K das respectivas distribuições de probabilidade.</w:t>
      </w:r>
    </w:p>
    <w:p>
      <w:pPr>
        <w:pStyle w:val="ListParagraph"/>
        <w:numPr>
          <w:ilvl w:val="0"/>
          <w:numId w:val="2"/>
        </w:numPr>
        <w:spacing w:after="80" w:line="268"/>
        <w:jc w:val="both"/>
      </w:pPr>
      <w:r>
        <w:rPr>
          <w:b/>
          <w:bCs/>
        </w:rPr>
        <w:t xml:space="preserve">Calcular Fmsy</w:t>
      </w:r>
      <w:r>
        <w:t xml:space="preserve"> = M × (Fmsy/M) e, a partir de Bmnpl, definir a forma exata da função de produção híbrida (o ponto de junção Bjoin, quando Bmnpl &lt; 0,5).</w:t>
      </w:r>
    </w:p>
    <w:p>
      <w:pPr>
        <w:pStyle w:val="ListParagraph"/>
        <w:numPr>
          <w:ilvl w:val="0"/>
          <w:numId w:val="2"/>
        </w:numPr>
        <w:spacing w:after="80" w:line="268"/>
        <w:jc w:val="both"/>
      </w:pPr>
      <w:r>
        <w:rPr>
          <w:b/>
          <w:bCs/>
        </w:rPr>
        <w:t xml:space="preserve">Resolver K iterativamente</w:t>
      </w:r>
      <w:r>
        <w:t xml:space="preserve">: para um valor-teste de K, projetar a biomassa ano a ano com a equação delay-difference (Seção 2), usando a série histórica de capturas observada. Ajustar o valor-teste de K até que a biomassa projetada no ano T bata com o valor de depleção sorteado (BT = K × [BT/K]).</w:t>
      </w:r>
    </w:p>
    <w:p>
      <w:pPr>
        <w:pStyle w:val="ListParagraph"/>
        <w:numPr>
          <w:ilvl w:val="0"/>
          <w:numId w:val="2"/>
        </w:numPr>
        <w:spacing w:after="80" w:line="268"/>
        <w:jc w:val="both"/>
      </w:pPr>
      <w:r>
        <w:rPr>
          <w:b/>
          <w:bCs/>
        </w:rPr>
        <w:t xml:space="preserve">Verificar plausibilidade</w:t>
      </w:r>
      <w:r>
        <w:t xml:space="preserve">: se, em algum ano da trajetória, a biomassa projetada for negativa — ou seja, a captura histórica excede o que a população, com aquela combinação de parâmetros, poderia ter sustentado —, a combinação inteira é </w:t>
      </w:r>
      <w:r>
        <w:rPr>
          <w:b/>
          <w:bCs/>
        </w:rPr>
        <w:t xml:space="preserve">rejeitada</w:t>
      </w:r>
      <w:r>
        <w:t xml:space="preserve">.</w:t>
      </w:r>
    </w:p>
    <w:p>
      <w:pPr>
        <w:pStyle w:val="ListParagraph"/>
        <w:numPr>
          <w:ilvl w:val="0"/>
          <w:numId w:val="2"/>
        </w:numPr>
        <w:spacing w:after="80" w:line="268"/>
        <w:jc w:val="both"/>
      </w:pPr>
      <w:r>
        <w:rPr>
          <w:b/>
          <w:bCs/>
        </w:rPr>
        <w:t xml:space="preserve">Calcular os pontos de referência derivados</w:t>
      </w:r>
      <w:r>
        <w:t xml:space="preserve"> para as combinações aceitas: Bmsy = K × Bmnpl; Fmsy já calculado; MSY = Bmsy × Umsy; e Cfmsy (o limite de sobrepesca, OFL) = Umsy × BT, a captura resultante de pescar o estoque atual à taxa Fmsy.</w:t>
      </w:r>
    </w:p>
    <w:p>
      <w:pPr>
        <w:pStyle w:val="ListParagraph"/>
        <w:numPr>
          <w:ilvl w:val="0"/>
          <w:numId w:val="2"/>
        </w:numPr>
        <w:spacing w:after="80" w:line="268"/>
        <w:jc w:val="both"/>
      </w:pPr>
      <w:r>
        <w:rPr>
          <w:b/>
          <w:bCs/>
        </w:rPr>
        <w:t xml:space="preserve">Repetir</w:t>
      </w:r>
      <w:r>
        <w:t xml:space="preserve"> os passos 1–5 até completar as 10 000 rodadas, retendo apenas as combinações aceitas.</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POR QUE A REJEIÇÃO IMPORTA  </w:t>
      </w:r>
      <w:r>
        <w:t xml:space="preserve">A taxa de rejeição não é um detalhe técnico — ela é, ela própria, informação. Estoques com histórico de depleção intensa tendem a rejeitar uma fração grande das combinações sorteadas (só sobrevivem parâmetros compatíveis com uma população capaz de suportar aquela pressão), o que </w:t>
      </w:r>
      <w:r>
        <w:rPr>
          <w:b/>
          <w:bCs/>
        </w:rPr>
        <w:t xml:space="preserve">restringe e informa</w:t>
      </w:r>
      <w:r>
        <w:t xml:space="preserve"> a distribuição posterior de Bmnpl mesmo sem nenhum dado de abundância. É um mecanismo de aprendizado indireto, análogo a uma verossimilhança implícita.</w:t>
      </w:r>
    </w:p>
    <w:p>
      <w:pPr>
        <w:spacing w:after="140" w:line="276"/>
        <w:jc w:val="both"/>
      </w:pPr>
      <w:r>
        <w:t xml:space="preserve">O conjunto de combinações aceitas — não um único valor — constitui o resultado do método: distribuições completas de probabilidade para K, Bmsy, Fmsy, MSY e Cfmsy, das quais se extraem mediana, intervalos de credibilidade e, se a política de manejo exigir, um percentil mais conservador em vez da mediana.</w:t>
      </w:r>
    </w:p>
    <w:p>
      <w:pPr>
        <w:pStyle w:val="Heading2"/>
        <w:spacing w:after="120" w:before="260"/>
      </w:pPr>
      <w:r>
        <w:rPr>
          <w:rFonts w:ascii="Calibri" w:cs="Calibri" w:eastAsia="Calibri" w:hAnsi="Calibri"/>
          <w:b/>
          <w:bCs/>
          <w:color w:val="2E74B5"/>
          <w:sz w:val="24"/>
          <w:szCs w:val="24"/>
        </w:rPr>
        <w:t xml:space="preserve">4.1 Visão geral: as três camadas de iteração</w:t>
      </w:r>
    </w:p>
    <w:p>
      <w:pPr>
        <w:spacing w:after="140" w:line="276"/>
        <w:jc w:val="both"/>
      </w:pPr>
      <w:r>
        <w:t xml:space="preserve">O bloco de código acima executa, por dentro, três camadas de repetição encaixadas — entender essas camadas é entender o algoritmo inteiro. A camada mais externa é a </w:t>
      </w:r>
      <w:r>
        <w:rPr>
          <w:b/>
          <w:bCs/>
        </w:rPr>
        <w:t xml:space="preserve">simulação Monte Carlo</w:t>
      </w:r>
      <w:r>
        <w:t xml:space="preserve"> já descrita: a cada uma das (tipicamente) 10 000 rodadas, sorteia-se um novo conjunto de M, Fmsy/M, Bmnpl e Bt/K das distribuições da Tabela 1. Só que, para transformar esses quatro números em K, MSY, Bmsy e nas demais quantidades de manejo, o algoritmo ainda precisa resolver um problema que não tem solução analítica direta: ele precisa </w:t>
      </w:r>
      <w:r>
        <w:rPr>
          <w:b/>
          <w:bCs/>
        </w:rPr>
        <w:t xml:space="preserve">descobrir qual valor de K</w:t>
      </w:r>
      <w:r>
        <w:t xml:space="preserve"> faz a trajetória de biomassa terminar exatamente no Bt/K sorteado. Essa busca é a segunda camada, e ela só funciona porque existe uma terceira, mais interna: a capacidade de, dado um K candidato, reconstruir a biomassa ano a ano, do início ao fim da série de capturas. Em resumo:</w:t>
      </w:r>
    </w:p>
    <w:p>
      <w:pPr>
        <w:pStyle w:val="ListParagraph"/>
        <w:numPr>
          <w:ilvl w:val="0"/>
          <w:numId w:val="3"/>
        </w:numPr>
        <w:spacing w:after="80" w:line="268"/>
        <w:jc w:val="both"/>
      </w:pPr>
      <w:r>
        <w:rPr>
          <w:b/>
          <w:bCs/>
        </w:rPr>
        <w:t xml:space="preserve">Camada 1 (externa) — sorteio dos parâmetros. </w:t>
      </w:r>
      <w:r>
        <w:t xml:space="preserve">uma vez por rodada. Gera o conjunto (M, Fmsy/M, Bmnpl, Bt/K-alvo) que caracteriza aquela rodada.</w:t>
      </w:r>
    </w:p>
    <w:p>
      <w:pPr>
        <w:pStyle w:val="ListParagraph"/>
        <w:numPr>
          <w:ilvl w:val="0"/>
          <w:numId w:val="3"/>
        </w:numPr>
        <w:spacing w:after="80" w:line="268"/>
        <w:jc w:val="both"/>
      </w:pPr>
      <w:r>
        <w:rPr>
          <w:b/>
          <w:bCs/>
        </w:rPr>
        <w:t xml:space="preserve">Camada 2 (intermediária) — busca numérica por K. </w:t>
      </w:r>
      <w:r>
        <w:t xml:space="preserve">várias vezes dentro de cada rodada. Testa valores candidatos de K até encontrar aquele cuja trajetória simulada bate com o Bt/K-alvo sorteado na camada 1.</w:t>
      </w:r>
    </w:p>
    <w:p>
      <w:pPr>
        <w:pStyle w:val="ListParagraph"/>
        <w:numPr>
          <w:ilvl w:val="0"/>
          <w:numId w:val="3"/>
        </w:numPr>
        <w:spacing w:after="80" w:line="268"/>
        <w:jc w:val="both"/>
      </w:pPr>
      <w:r>
        <w:rPr>
          <w:b/>
          <w:bCs/>
        </w:rPr>
        <w:t xml:space="preserve">Camada 3 (interna) — projeção da biomassa. </w:t>
      </w:r>
      <w:r>
        <w:t xml:space="preserve">uma vez para cada K candidato testado na camada 2. Percorre a série de capturas ano a ano, aplicando a função de produção para atualizar a biomassa.</w:t>
      </w:r>
    </w:p>
    <w:p>
      <w:pPr>
        <w:spacing w:after="140" w:line="276"/>
        <w:jc w:val="both"/>
      </w:pPr>
      <w:r>
        <w:t xml:space="preserve">As seções 4.2 a 4.4 detalham cada camada nessa ordem — de fora para dentro — e a seção 4.5 percorre um exemplo numérico completo, com números reais, do sorteio até a decisão de aceitar ou rejeitar.</w:t>
      </w:r>
    </w:p>
    <w:p>
      <w:pPr>
        <w:pStyle w:val="Heading2"/>
        <w:spacing w:after="120" w:before="260"/>
      </w:pPr>
      <w:r>
        <w:rPr>
          <w:rFonts w:ascii="Calibri" w:cs="Calibri" w:eastAsia="Calibri" w:hAnsi="Calibri"/>
          <w:b/>
          <w:bCs/>
          <w:color w:val="2E74B5"/>
          <w:sz w:val="24"/>
          <w:szCs w:val="24"/>
        </w:rPr>
        <w:t xml:space="preserve">4.2 Camada 1 — sorteando os parâmetros a cada rodada</w:t>
      </w:r>
    </w:p>
    <w:p>
      <w:pPr>
        <w:spacing w:after="140" w:line="276"/>
        <w:jc w:val="both"/>
      </w:pPr>
      <w:r>
        <w:t xml:space="preserve">No início de cada rodada, quatro números são sorteados de forma independente, cada um da sua distribuição (definida na Tabela 1 e ajustada, na prática, ao conhecimento biológico do estoque):</w:t>
      </w:r>
    </w:p>
    <w:p>
      <w:pPr>
        <w:pStyle w:val="ListParagraph"/>
        <w:numPr>
          <w:ilvl w:val="0"/>
          <w:numId w:val="3"/>
        </w:numPr>
        <w:spacing w:after="80" w:line="268"/>
        <w:jc w:val="both"/>
      </w:pPr>
      <w:r>
        <w:rPr>
          <w:b/>
          <w:bCs/>
        </w:rPr>
        <w:t xml:space="preserve">M </w:t>
      </w:r>
      <w:r>
        <w:t xml:space="preserve">entra diretamente na conta de Fmsy (seção 4.4) e, por si só, já define a "velocidade" da dinâmica populacional simulada — valores mais altos de M permitem trajetórias mais dinâmicas (produção e remoção de biomassa mais rápidas) sem violar as restrições de biomassa positiva.</w:t>
      </w:r>
    </w:p>
    <w:p>
      <w:pPr>
        <w:pStyle w:val="ListParagraph"/>
        <w:numPr>
          <w:ilvl w:val="0"/>
          <w:numId w:val="3"/>
        </w:numPr>
        <w:spacing w:after="80" w:line="268"/>
        <w:jc w:val="both"/>
      </w:pPr>
      <w:r>
        <w:rPr>
          <w:b/>
          <w:bCs/>
        </w:rPr>
        <w:t xml:space="preserve">Fmsy/M </w:t>
      </w:r>
      <w:r>
        <w:t xml:space="preserve">combinado com o M sorteado na mesma rodada, define Fmsy. É o parâmetro historicamente mais fraco (menos identificável a partir só da série de capturas), como discutido na seção 5.</w:t>
      </w:r>
    </w:p>
    <w:p>
      <w:pPr>
        <w:pStyle w:val="ListParagraph"/>
        <w:numPr>
          <w:ilvl w:val="0"/>
          <w:numId w:val="3"/>
        </w:numPr>
        <w:spacing w:after="80" w:line="268"/>
        <w:jc w:val="both"/>
      </w:pPr>
      <w:r>
        <w:rPr>
          <w:b/>
          <w:bCs/>
        </w:rPr>
        <w:t xml:space="preserve">Bmnpl (Bmsy/K) </w:t>
      </w:r>
      <w:r>
        <w:t xml:space="preserve">fixa a forma da função de produção daquela rodada — é ele quem determina o parâmetro de forma n (seção 4.4), ou seja, em que ponto da faixa 0–K a produtividade populacional atinge o pico.</w:t>
      </w:r>
    </w:p>
    <w:p>
      <w:pPr>
        <w:pStyle w:val="ListParagraph"/>
        <w:numPr>
          <w:ilvl w:val="0"/>
          <w:numId w:val="3"/>
        </w:numPr>
        <w:spacing w:after="80" w:line="268"/>
        <w:jc w:val="both"/>
      </w:pPr>
      <w:r>
        <w:rPr>
          <w:b/>
          <w:bCs/>
        </w:rPr>
        <w:t xml:space="preserve">Bt/K-alvo </w:t>
      </w:r>
      <w:r>
        <w:t xml:space="preserve">não entra em nenhum cálculo diretamente — ele é o valor que a camada 2 vai tentar reproduzir, ajustando K até que a biomassa relativa simulada no ano de referência (refyr) bata com este número sorteado.</w:t>
      </w:r>
    </w:p>
    <w:p>
      <w:pPr>
        <w:spacing w:after="140" w:line="276"/>
        <w:jc w:val="both"/>
      </w:pPr>
      <w:r>
        <w:t xml:space="preserve">Os quatro valores sorteados nesta rodada ficam fixos durante as camadas 2 e 3 — só K muda, sendo testado repetidamente até convergir.</w:t>
      </w:r>
    </w:p>
    <w:p>
      <w:pPr>
        <w:pStyle w:val="Heading2"/>
        <w:spacing w:after="120" w:before="260"/>
      </w:pPr>
      <w:r>
        <w:rPr>
          <w:rFonts w:ascii="Calibri" w:cs="Calibri" w:eastAsia="Calibri" w:hAnsi="Calibri"/>
          <w:b/>
          <w:bCs/>
          <w:color w:val="2E74B5"/>
          <w:sz w:val="24"/>
          <w:szCs w:val="24"/>
        </w:rPr>
        <w:t xml:space="preserve">4.3 Camada 2 — a busca numérica por K</w:t>
      </w:r>
    </w:p>
    <w:p>
      <w:pPr>
        <w:spacing w:after="140" w:line="276"/>
        <w:jc w:val="both"/>
      </w:pPr>
      <w:r>
        <w:t xml:space="preserve">Com M, Fmsy/M e Bmnpl fixados nesta rodada, falta uma única incógnita: K, a biomassa não explorada (virgem) da população. O algoritmo não tem uma fórmula fechada para K — em vez disso, ele o encontra por </w:t>
      </w:r>
      <w:r>
        <w:rPr>
          <w:b/>
          <w:bCs/>
        </w:rPr>
        <w:t xml:space="preserve">busca numérica</w:t>
      </w:r>
      <w:r>
        <w:t xml:space="preserve"> (o equivalente, em R, a uma chamada de optimize() ou uniroot()): experimenta um valor candidato de K, manda a camada 3 projetar a biomassa inteira com esse K, olha o Bt/K resultante no ano de referência e compara com o Bt/K-alvo sorteado na camada 1. A lógica de ajuste é intuitiva:</w:t>
      </w:r>
    </w:p>
    <w:p>
      <w:pPr>
        <w:pStyle w:val="ListParagraph"/>
        <w:numPr>
          <w:ilvl w:val="0"/>
          <w:numId w:val="3"/>
        </w:numPr>
        <w:spacing w:after="80" w:line="268"/>
        <w:jc w:val="both"/>
      </w:pPr>
      <w:r>
        <w:rPr>
          <w:b/>
          <w:bCs/>
        </w:rPr>
        <w:t xml:space="preserve">K candidato grande demais → </w:t>
      </w:r>
      <w:r>
        <w:t xml:space="preserve">a mesma série histórica de capturas representa uma fração pequena de uma população imensa, então a biomassa final relativa (Bt/K) fica alta — mais perto de Bt/K-alvo por cima.</w:t>
      </w:r>
    </w:p>
    <w:p>
      <w:pPr>
        <w:pStyle w:val="ListParagraph"/>
        <w:numPr>
          <w:ilvl w:val="0"/>
          <w:numId w:val="3"/>
        </w:numPr>
        <w:spacing w:after="80" w:line="268"/>
        <w:jc w:val="both"/>
      </w:pPr>
      <w:r>
        <w:rPr>
          <w:b/>
          <w:bCs/>
        </w:rPr>
        <w:t xml:space="preserve">K candidato pequeno demais → </w:t>
      </w:r>
      <w:r>
        <w:t xml:space="preserve">as mesmas capturas pesam proporcionalmente muito mais, a biomassa relativa cai rápido, e o Bt/K final fica baixo (ou a biomassa desaba antes mesmo de chegar ao fim da série) — mais perto de Bt/K-alvo por baixo, ou já em território de rejeição.</w:t>
      </w:r>
    </w:p>
    <w:p>
      <w:pPr>
        <w:spacing w:after="140" w:line="276"/>
        <w:jc w:val="both"/>
      </w:pPr>
      <w:r>
        <w:t xml:space="preserve">O otimizador refina o candidato de K rodada após rodada, de forma análoga a uma bisseção, até minimizar a função objetivo (definida, na prática, como o quadrado da diferença entre o Bt/K simulado e o Bt/K-alvo: </w:t>
      </w:r>
      <w:r>
        <w:rPr>
          <w:b/>
          <w:bCs/>
        </w:rPr>
        <w:t xml:space="preserve">objetivo = (Bt/K simulado − Bt/K alvo)²</w:t>
      </w:r>
      <w:r>
        <w:t xml:space="preserve">), ou até esgotar o número de tentativas internas permitido. O critério de convergência típico é objetivo ≤ tol² (com tol geralmente da ordem de 0,001–0,01). Encontrado (ou não) esse K, a rodada inteira é classificada como aceita ou rejeitada a partir de um pequeno conjunto de critérios, checados sobre a trajetória final gerada por aquele K:</w:t>
      </w:r>
    </w:p>
    <w:p>
      <w:pPr>
        <w:pStyle w:val="ListParagraph"/>
        <w:numPr>
          <w:ilvl w:val="0"/>
          <w:numId w:val="3"/>
        </w:numPr>
        <w:spacing w:after="80" w:line="268"/>
        <w:jc w:val="both"/>
      </w:pPr>
      <w:r>
        <w:rPr>
          <w:b/>
          <w:bCs/>
        </w:rPr>
        <w:t xml:space="preserve">Biomassa sempre positiva — </w:t>
      </w:r>
      <w:r>
        <w:t xml:space="preserve">min(B) &gt; 0 em todos os anos da série. Se a biomassa projetada cruza zero (ou fica negativa) em algum ano, a combinação de parâmetros é biologicamente inviável para aquele histórico de capturas — a população "colapsaria" sob a pressão simulada.</w:t>
      </w:r>
    </w:p>
    <w:p>
      <w:pPr>
        <w:pStyle w:val="ListParagraph"/>
        <w:numPr>
          <w:ilvl w:val="0"/>
          <w:numId w:val="3"/>
        </w:numPr>
        <w:spacing w:after="80" w:line="268"/>
        <w:jc w:val="both"/>
      </w:pPr>
      <w:r>
        <w:rPr>
          <w:b/>
          <w:bCs/>
        </w:rPr>
        <w:t xml:space="preserve">Biomassa nunca acima de K — </w:t>
      </w:r>
      <w:r>
        <w:t xml:space="preserve">max(B) ≤ K (com uma tolerância de excedente, permax, geralmente pequena — poucos % de K). K é o teto teórico da população; uma trajetória que ultrapassa isso de forma relevante é inconsistente com a própria definição de K sorteada.</w:t>
      </w:r>
    </w:p>
    <w:p>
      <w:pPr>
        <w:pStyle w:val="ListParagraph"/>
        <w:numPr>
          <w:ilvl w:val="0"/>
          <w:numId w:val="3"/>
        </w:numPr>
        <w:spacing w:after="80" w:line="268"/>
        <w:jc w:val="both"/>
      </w:pPr>
      <w:r>
        <w:rPr>
          <w:b/>
          <w:bCs/>
        </w:rPr>
        <w:t xml:space="preserve">Ajuste dentro da tolerância — </w:t>
      </w:r>
      <w:r>
        <w:t xml:space="preserve">objetivo ≤ tol², ou seja, o K encontrado realmente reproduz o Bt/K-alvo sorteado dentro da margem de erro aceita, e não apenas "o melhor que a busca conseguiu" antes de desistir.</w:t>
      </w:r>
    </w:p>
    <w:p>
      <w:pPr>
        <w:pStyle w:val="ListParagraph"/>
        <w:numPr>
          <w:ilvl w:val="0"/>
          <w:numId w:val="3"/>
        </w:numPr>
        <w:spacing w:after="80" w:line="268"/>
        <w:jc w:val="both"/>
      </w:pPr>
      <w:r>
        <w:rPr>
          <w:b/>
          <w:bCs/>
        </w:rPr>
        <w:t xml:space="preserve">Busca concluída em tempo hábil — </w:t>
      </w:r>
      <w:r>
        <w:t xml:space="preserve">número de iterações internas do otimizador ≤ maxn. Se a busca não converge dentro do limite de tentativas, a rodada é descartada por não ter encontrado nenhum K plausível.</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POR QUE ISSO EXPLICA O FORMATO DOS HISTOGRAMAS  </w:t>
      </w:r>
      <w:r>
        <w:t xml:space="preserve">A pergunta de antes — por que as barras pretas (aceitas) crescem e chegam perto do tamanho das brancas (total sorteado) — tem a resposta aqui: cada barra branca é um conjunto de rodadas cujo parâmetro sorteado caiu naquele intervalo; a barra preta sobreposta mostra quantas, dentro desse mesmo intervalo, passaram por todos os cinco critérios acima. Quando a combinação de M, Fmsy/M e Bmnpl torna mais fácil achar um K que satisfaça as cinco condições (por exemplo, com M muito baixo, como discutido antes), praticamente toda rodada sorteada naquele intervalo é aceita — e a barra preta cresce até quase igualar a branca. A altura relativa das barras é, literalmente, a taxa de aceitação local naquele ponto da distribuição — não apenas uma questão de forma ou posição.</w:t>
      </w:r>
    </w:p>
    <w:p>
      <w:pPr>
        <w:pStyle w:val="Heading2"/>
        <w:spacing w:after="120" w:before="260"/>
      </w:pPr>
      <w:r>
        <w:rPr>
          <w:rFonts w:ascii="Calibri" w:cs="Calibri" w:eastAsia="Calibri" w:hAnsi="Calibri"/>
          <w:b/>
          <w:bCs/>
          <w:color w:val="2E74B5"/>
          <w:sz w:val="24"/>
          <w:szCs w:val="24"/>
        </w:rPr>
        <w:t xml:space="preserve">4.4 Camada 3 — projetando a biomassa ano a ano</w:t>
      </w:r>
    </w:p>
    <w:p>
      <w:pPr>
        <w:spacing w:after="140" w:line="276"/>
        <w:jc w:val="both"/>
      </w:pPr>
      <w:r>
        <w:t xml:space="preserve">É essa camada, chamada repetidas vezes pela busca da seção 4.3 (uma vez por K candidato), que efetivamente calcula a trajetória de biomassa. Ela usa a mesma função de produção Pella-Tomlinson-Fletcher já apresentada na seção 2, aplicada ano a ano:</w:t>
      </w:r>
    </w:p>
    <w:p>
      <w:pPr>
        <w:spacing w:after="140" w:line="276"/>
        <w:jc w:val="both"/>
      </w:pPr>
      <w:r>
        <w:rPr>
          <w:b/>
          <w:bCs/>
        </w:rPr>
        <w:t xml:space="preserve">B(1) = (Bt/K inicial) × K</w:t>
      </w:r>
      <w:r>
        <w:t xml:space="preserve">  —  biomassa no primeiro ano da série, definida como uma fração (b1k, tipicamente perto de 1, população pouco/nada explorada) do K candidato.</w:t>
      </w:r>
    </w:p>
    <w:p>
      <w:pPr>
        <w:spacing w:after="140" w:line="276"/>
        <w:jc w:val="both"/>
      </w:pPr>
      <w:r>
        <w:rPr>
          <w:b/>
          <w:bCs/>
        </w:rPr>
        <w:t xml:space="preserve">P(B) = γ · MSY · (B/K) − γ · MSY · (B/K)ⁿ</w:t>
      </w:r>
      <w:r>
        <w:t xml:space="preserve">  —  a produção excedente gerada pela população naquele ano, em função de quão cheia ela está (B/K). γ (gama) é uma constante de escala que depende só do parâmetro de forma n (γ = n^(n/(n−1))/(n−1); no caso especial de Schaefer, n = 2, γ = 4). O expoente n é o mesmo parâmetro de forma sorteado indiretamente via Bmnpl na seção 4.2 — não existe fórmula fechada para invertê-lo, então o algoritmo também usa busca numérica (uniroot) para achar o n que satisfaz Bmnpl = n^(1/(1−n)).</w:t>
      </w:r>
    </w:p>
    <w:p>
      <w:pPr>
        <w:spacing w:after="140" w:line="276"/>
        <w:jc w:val="both"/>
      </w:pPr>
      <w:r>
        <w:rPr>
          <w:b/>
          <w:bCs/>
        </w:rPr>
        <w:t xml:space="preserve">B(t) = B(t−1) + P(B(t−a)) − C(t−1)</w:t>
      </w:r>
      <w:r>
        <w:t xml:space="preserve">  —  a biomassa de cada ano é a biomassa do ano anterior, mais a produção, menos a captura removida no ano anterior. O detalhe que costuma passar despercebido é o "(t−a)": a produção usada para atualizar o ano t não depende da biomassa do ano imediatamente anterior, e sim da biomassa a defasagem em relação à idade de maturação, agemat. Essa defasagem (a) representa o tempo que um recruta leva para amadurecer e contribuir para a produção — nos primeiros "a" anos da série, quando t−a ainda é menor que 1, o modelo usa B(1) no lugar.</w:t>
      </w:r>
    </w:p>
    <w:p>
      <w:pPr>
        <w:spacing w:after="140" w:line="276"/>
        <w:jc w:val="both"/>
      </w:pPr>
      <w:r>
        <w:t xml:space="preserve">Com essa recursão repetida do primeiro ao último ano da série de capturas, a camada 3 devolve a trajetória de biomassa inteira para aquele K candidato — inclusive, no ano de referência (refyr), o valor de Bt/K que a camada 2 compara com o alvo sorteado.</w:t>
      </w:r>
    </w:p>
    <w:p>
      <w:pPr>
        <w:spacing w:after="140" w:line="276"/>
        <w:jc w:val="both"/>
      </w:pPr>
      <w:r>
        <w:t xml:space="preserve">Uma vez que a rodada é aceita (K definitivo encontrado), as quantidades de manejo são calculadas de forma direta, sem mais busca numérica:</w:t>
      </w:r>
    </w:p>
    <w:p>
      <w:pPr>
        <w:pStyle w:val="ListParagraph"/>
        <w:numPr>
          <w:ilvl w:val="0"/>
          <w:numId w:val="3"/>
        </w:numPr>
        <w:spacing w:after="80" w:line="268"/>
        <w:jc w:val="both"/>
      </w:pPr>
      <w:r>
        <w:rPr>
          <w:b/>
          <w:bCs/>
        </w:rPr>
        <w:t xml:space="preserve">Fmsy = (Fmsy/M) × M </w:t>
      </w:r>
      <w:r>
        <w:t xml:space="preserve">— simples produto dos dois parâmetros sorteados na camada 1.</w:t>
      </w:r>
    </w:p>
    <w:p>
      <w:pPr>
        <w:pStyle w:val="ListParagraph"/>
        <w:numPr>
          <w:ilvl w:val="0"/>
          <w:numId w:val="3"/>
        </w:numPr>
        <w:spacing w:after="80" w:line="268"/>
        <w:jc w:val="both"/>
      </w:pPr>
      <w:r>
        <w:rPr>
          <w:b/>
          <w:bCs/>
        </w:rPr>
        <w:t xml:space="preserve">Umsy = [Fmsy/(M+Fmsy)] × [1 − e^(−(M+Fmsy))] </w:t>
      </w:r>
      <w:r>
        <w:t xml:space="preserve">— a taxa de exploração no MSY, estruturalmente idêntica à equação de captura de Baranov (a mesma equação usada para converter uma taxa de mortalidade instantânea em fração da população efetivamente capturada em um ano, somando as duas causas de remoção, pesca e mortalidade natural).</w:t>
      </w:r>
    </w:p>
    <w:p>
      <w:pPr>
        <w:pStyle w:val="ListParagraph"/>
        <w:numPr>
          <w:ilvl w:val="0"/>
          <w:numId w:val="3"/>
        </w:numPr>
        <w:spacing w:after="80" w:line="268"/>
        <w:jc w:val="both"/>
      </w:pPr>
      <w:r>
        <w:rPr>
          <w:b/>
          <w:bCs/>
        </w:rPr>
        <w:t xml:space="preserve">Bmsy = Bmnpl × K </w:t>
      </w:r>
      <w:r>
        <w:t xml:space="preserve">— a biomassa que sustenta o rendimento máximo, em unidades absolutas.</w:t>
      </w:r>
    </w:p>
    <w:p>
      <w:pPr>
        <w:pStyle w:val="ListParagraph"/>
        <w:numPr>
          <w:ilvl w:val="0"/>
          <w:numId w:val="3"/>
        </w:numPr>
        <w:spacing w:after="80" w:line="268"/>
        <w:jc w:val="both"/>
      </w:pPr>
      <w:r>
        <w:rPr>
          <w:b/>
          <w:bCs/>
        </w:rPr>
        <w:t xml:space="preserve">MSY = Umsy × Bmsy </w:t>
      </w:r>
      <w:r>
        <w:t xml:space="preserve">— o rendimento máximo sustentável, unidade final de manejo, obtido multiplicando a taxa de exploração pela biomassa a que ela se aplica.</w:t>
      </w:r>
    </w:p>
    <w:p>
      <w:pPr>
        <w:pStyle w:val="Heading2"/>
        <w:spacing w:after="120" w:before="260"/>
      </w:pPr>
      <w:r>
        <w:rPr>
          <w:rFonts w:ascii="Calibri" w:cs="Calibri" w:eastAsia="Calibri" w:hAnsi="Calibri"/>
          <w:b/>
          <w:bCs/>
          <w:color w:val="2E74B5"/>
          <w:sz w:val="24"/>
          <w:szCs w:val="24"/>
        </w:rPr>
        <w:t xml:space="preserve">4.5 Um exemplo numérico, passo a passo</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O QUE ESTE EXEMPLO FAZ  </w:t>
      </w:r>
      <w:r>
        <w:t xml:space="preserve">Os números abaixo são ilustrativos (não são os do ajuste de D. macarellus) e foram escolhidos para deixar as contas simples de conferir na mão: Bmnpl = 0,50 corresponde ao caso particular de Schaefer (n = 2), o que evita ter que resolver a raiz de n por busca numérica neste exemplo. Uma série de captura fictícia de 5 anos é usada só para caber na página — o raciocínio é idêntico com 27 anos (1989–2015) ou qualquer outro comprimento.</w:t>
      </w:r>
    </w:p>
    <w:p>
      <w:pPr>
        <w:spacing w:after="140" w:line="276"/>
        <w:jc w:val="both"/>
      </w:pPr>
      <w:r>
        <w:t xml:space="preserve">Dados de entrada desta rodada (sorteados na camada 1):</w:t>
      </w:r>
    </w:p>
    <w:p>
      <w:pPr>
        <w:pStyle w:val="ListParagraph"/>
        <w:numPr>
          <w:ilvl w:val="0"/>
          <w:numId w:val="4"/>
        </w:numPr>
        <w:spacing w:after="80" w:line="268"/>
        <w:jc w:val="both"/>
      </w:pPr>
      <w:r>
        <w:rPr>
          <w:b/>
          <w:bCs/>
        </w:rPr>
        <w:t xml:space="preserve">M = 0,35; Fmsy/M = 0,85; Bmnpl (Bmsy/K) = 0,50; </w:t>
      </w:r>
      <w:r>
        <w:t xml:space="preserve">Bt/K-alvo = 0,30 (referência: último ano da série); B1/K = 0,90; agemat = 2 anos; capturas dos 5 anos: 500, 700, 900, 750, 600 t.</w:t>
      </w:r>
    </w:p>
    <w:p>
      <w:pPr>
        <w:pStyle w:val="ListParagraph"/>
        <w:numPr>
          <w:ilvl w:val="0"/>
          <w:numId w:val="4"/>
        </w:numPr>
        <w:spacing w:after="80" w:line="268"/>
        <w:jc w:val="both"/>
      </w:pPr>
      <w:r>
        <w:rPr>
          <w:b/>
          <w:bCs/>
        </w:rPr>
        <w:t xml:space="preserve">Passo 1 — quantidades fixas da rodada. </w:t>
      </w:r>
      <w:r>
        <w:t xml:space="preserve">Fmsy = 0,85 × 0,35 = 0,2975. Umsy = [0,2975/(0,35+0,2975)] × [1 − e^(−(0,35+0,2975))] = 0,4595 × 0,4766 ≈ 0,2190 (equação de Baranov). Como Bmnpl = 0,50 = n^(1/(1−n)) tem solução exata em n = 2 (Schaefer), γ = n^(n/(n−1))/(n−1) = 2²/1 = 4.</w:t>
      </w:r>
    </w:p>
    <w:p>
      <w:pPr>
        <w:pStyle w:val="ListParagraph"/>
        <w:numPr>
          <w:ilvl w:val="0"/>
          <w:numId w:val="4"/>
        </w:numPr>
        <w:spacing w:after="80" w:line="268"/>
        <w:jc w:val="both"/>
      </w:pPr>
      <w:r>
        <w:rPr>
          <w:b/>
          <w:bCs/>
        </w:rPr>
        <w:t xml:space="preserve">Passo 2 — primeira tentativa de K (camada 2 testando a camada 3). </w:t>
      </w:r>
      <w:r>
        <w:t xml:space="preserve">K = 8 000 → MSY = Umsy × Bmnpl × K = 0,2190 × 0,50 × 8 000 = 876,0. Projetando a série (B(1) = 0,90 × 8 000 = 7 200), a biomassa final (ano 5) sai em 5 856, ou seja, Bt/K = 0,732 — bem acima do alvo (0,30). K grande demais: é preciso baixar K.</w:t>
      </w:r>
    </w:p>
    <w:p>
      <w:pPr>
        <w:pStyle w:val="ListParagraph"/>
        <w:numPr>
          <w:ilvl w:val="0"/>
          <w:numId w:val="4"/>
        </w:numPr>
        <w:spacing w:after="80" w:line="268"/>
        <w:jc w:val="both"/>
      </w:pPr>
      <w:r>
        <w:rPr>
          <w:b/>
          <w:bCs/>
        </w:rPr>
        <w:t xml:space="preserve">Passo 3 — segunda tentativa. </w:t>
      </w:r>
      <w:r>
        <w:t xml:space="preserve">K = 3 000 → MSY = 328,5. Projetando, a biomassa final sai em 637,6, Bt/K = 0,2125 — agora abaixo do alvo. As duas tentativas já formam um intervalo (3 000 a 8 000) dentro do qual o K certo deve estar; o otimizador refina o candidato dentro desse intervalo.</w:t>
      </w:r>
    </w:p>
    <w:p>
      <w:pPr>
        <w:pStyle w:val="ListParagraph"/>
        <w:numPr>
          <w:ilvl w:val="0"/>
          <w:numId w:val="4"/>
        </w:numPr>
        <w:spacing w:after="80" w:line="268"/>
        <w:jc w:val="both"/>
      </w:pPr>
      <w:r>
        <w:rPr>
          <w:b/>
          <w:bCs/>
        </w:rPr>
        <w:t xml:space="preserve">Passo 4 — convergência. </w:t>
      </w:r>
      <w:r>
        <w:t xml:space="preserve">K = 3 330 → MSY = Umsy × 0,50 × 3 330 = 364,64. Projetando ano a ano (tabela abaixo), a biomassa final sai em 996,3, Bt/K = 0,2992 — a menos de 0,001 do alvo (0,30). objetivo = (0,2992 − 0,30)² ≈ 6×10⁻⁷, bem abaixo de um tol² típico (0,0001). A busca converge e esse K é aceito como o K desta rodada.</w:t>
      </w:r>
    </w:p>
    <w:p>
      <w:pPr>
        <w:pStyle w:val="ListParagraph"/>
        <w:numPr>
          <w:ilvl w:val="0"/>
          <w:numId w:val="4"/>
        </w:numPr>
        <w:spacing w:after="80" w:line="268"/>
        <w:jc w:val="both"/>
      </w:pPr>
      <w:r>
        <w:rPr>
          <w:b/>
          <w:bCs/>
        </w:rPr>
        <w:t xml:space="preserve">Passo 5 — checagem dos critérios de aceitação. </w:t>
      </w:r>
      <w:r>
        <w:t xml:space="preserve">min(B) = 996,3 &gt; 0 ✓. max(B) = 2 997,0 ≤ K = 3 330 ✓. objetivo dentro da tolerância ✓. Rodada aceita — entra na distribuição posterior como uma combinação válida de (K = 3 330; Bmsy = 1 665; Fmsy = 0,2975; Umsy = 0,2190; MSY = 364,64).</w:t>
      </w:r>
    </w:p>
    <w:tbl>
      <w:tblPr>
        <w:tblW w:type="dxa" w:w="8260"/>
        <w:tblBorders>
          <w:top w:val="single" w:color="B4C6E7" w:sz="4"/>
          <w:left w:val="single" w:color="B4C6E7" w:sz="4"/>
          <w:bottom w:val="single" w:color="B4C6E7" w:sz="4"/>
          <w:right w:val="single" w:color="B4C6E7" w:sz="4"/>
          <w:insideH w:val="single" w:color="D6E0F0" w:sz="2"/>
          <w:insideV w:val="single" w:color="D6E0F0" w:sz="2"/>
        </w:tblBorders>
      </w:tblPr>
      <w:tblGrid>
        <w:gridCol w:w="1700"/>
        <w:gridCol w:w="2000"/>
        <w:gridCol w:w="2000"/>
        <w:gridCol w:w="2560"/>
      </w:tblGrid>
      <w:tr>
        <w:trPr>
          <w:tblHeader/>
        </w:trPr>
        <w:tc>
          <w:tcPr>
            <w:tcW w:type="dxa" w:w="1700"/>
            <w:shd w:fill="1F4E79" w:val="clear"/>
            <w:tcMar>
              <w:top w:type="dxa" w:w="60"/>
              <w:left w:type="dxa" w:w="100"/>
              <w:bottom w:type="dxa" w:w="60"/>
              <w:right w:type="dxa" w:w="100"/>
            </w:tcMar>
          </w:tcPr>
          <w:p>
            <w:pPr>
              <w:spacing w:after="0" w:line="240"/>
              <w:jc w:val="left"/>
            </w:pPr>
            <w:r>
              <w:rPr>
                <w:b/>
                <w:bCs/>
                <w:color w:val="FFFFFF"/>
                <w:sz w:val="19"/>
                <w:szCs w:val="19"/>
              </w:rPr>
              <w:t xml:space="preserve">Ano</w:t>
            </w:r>
          </w:p>
        </w:tc>
        <w:tc>
          <w:tcPr>
            <w:tcW w:type="dxa" w:w="2000"/>
            <w:shd w:fill="1F4E79" w:val="clear"/>
            <w:tcMar>
              <w:top w:type="dxa" w:w="60"/>
              <w:left w:type="dxa" w:w="100"/>
              <w:bottom w:type="dxa" w:w="60"/>
              <w:right w:type="dxa" w:w="100"/>
            </w:tcMar>
          </w:tcPr>
          <w:p>
            <w:pPr>
              <w:spacing w:after="0" w:line="240"/>
              <w:jc w:val="left"/>
            </w:pPr>
            <w:r>
              <w:rPr>
                <w:b/>
                <w:bCs/>
                <w:color w:val="FFFFFF"/>
                <w:sz w:val="19"/>
                <w:szCs w:val="19"/>
              </w:rPr>
              <w:t xml:space="preserve">Captura (t)</w:t>
            </w:r>
          </w:p>
        </w:tc>
        <w:tc>
          <w:tcPr>
            <w:tcW w:type="dxa" w:w="2000"/>
            <w:shd w:fill="1F4E79" w:val="clear"/>
            <w:tcMar>
              <w:top w:type="dxa" w:w="60"/>
              <w:left w:type="dxa" w:w="100"/>
              <w:bottom w:type="dxa" w:w="60"/>
              <w:right w:type="dxa" w:w="100"/>
            </w:tcMar>
          </w:tcPr>
          <w:p>
            <w:pPr>
              <w:spacing w:after="0" w:line="240"/>
              <w:jc w:val="left"/>
            </w:pPr>
            <w:r>
              <w:rPr>
                <w:b/>
                <w:bCs/>
                <w:color w:val="FFFFFF"/>
                <w:sz w:val="19"/>
                <w:szCs w:val="19"/>
              </w:rPr>
              <w:t xml:space="preserve">Biomassa B (t)</w:t>
            </w:r>
          </w:p>
        </w:tc>
        <w:tc>
          <w:tcPr>
            <w:tcW w:type="dxa" w:w="2560"/>
            <w:shd w:fill="1F4E79" w:val="clear"/>
            <w:tcMar>
              <w:top w:type="dxa" w:w="60"/>
              <w:left w:type="dxa" w:w="100"/>
              <w:bottom w:type="dxa" w:w="60"/>
              <w:right w:type="dxa" w:w="100"/>
            </w:tcMar>
          </w:tcPr>
          <w:p>
            <w:pPr>
              <w:spacing w:after="0" w:line="240"/>
              <w:jc w:val="left"/>
            </w:pPr>
            <w:r>
              <w:rPr>
                <w:b/>
                <w:bCs/>
                <w:color w:val="FFFFFF"/>
                <w:sz w:val="19"/>
                <w:szCs w:val="19"/>
              </w:rPr>
              <w:t xml:space="preserve">B/K</w:t>
            </w:r>
          </w:p>
        </w:tc>
      </w:tr>
      <w:tr>
        <w:tc>
          <w:tcPr>
            <w:tcW w:type="dxa" w:w="1700"/>
            <w:tcMar>
              <w:top w:type="dxa" w:w="60"/>
              <w:left w:type="dxa" w:w="100"/>
              <w:bottom w:type="dxa" w:w="60"/>
              <w:right w:type="dxa" w:w="100"/>
            </w:tcMar>
          </w:tcPr>
          <w:p>
            <w:pPr>
              <w:spacing w:after="0" w:line="240"/>
              <w:jc w:val="left"/>
            </w:pPr>
            <w:r>
              <w:rPr>
                <w:b w:val="false"/>
                <w:bCs w:val="false"/>
                <w:color w:val="000000"/>
                <w:sz w:val="19"/>
                <w:szCs w:val="19"/>
              </w:rPr>
              <w:t xml:space="preserve">1 (inicial)</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2 997,0</w:t>
            </w:r>
          </w:p>
        </w:tc>
        <w:tc>
          <w:tcPr>
            <w:tcW w:type="dxa" w:w="2560"/>
            <w:tcMar>
              <w:top w:type="dxa" w:w="60"/>
              <w:left w:type="dxa" w:w="100"/>
              <w:bottom w:type="dxa" w:w="60"/>
              <w:right w:type="dxa" w:w="100"/>
            </w:tcMar>
          </w:tcPr>
          <w:p>
            <w:pPr>
              <w:spacing w:after="0" w:line="240"/>
              <w:jc w:val="left"/>
            </w:pPr>
            <w:r>
              <w:rPr>
                <w:b w:val="false"/>
                <w:bCs w:val="false"/>
                <w:color w:val="000000"/>
                <w:sz w:val="19"/>
                <w:szCs w:val="19"/>
              </w:rPr>
              <w:t xml:space="preserve">0,9000</w:t>
            </w:r>
          </w:p>
        </w:tc>
      </w:tr>
      <w:tr>
        <w:tc>
          <w:tcPr>
            <w:tcW w:type="dxa" w:w="1700"/>
            <w:tcMar>
              <w:top w:type="dxa" w:w="60"/>
              <w:left w:type="dxa" w:w="100"/>
              <w:bottom w:type="dxa" w:w="60"/>
              <w:right w:type="dxa" w:w="100"/>
            </w:tcMar>
          </w:tcPr>
          <w:p>
            <w:pPr>
              <w:spacing w:after="0" w:line="240"/>
              <w:jc w:val="left"/>
            </w:pPr>
            <w:r>
              <w:rPr>
                <w:b w:val="false"/>
                <w:bCs w:val="false"/>
                <w:color w:val="000000"/>
                <w:sz w:val="19"/>
                <w:szCs w:val="19"/>
              </w:rPr>
              <w:t xml:space="preserve">2</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500</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2 628,3</w:t>
            </w:r>
          </w:p>
        </w:tc>
        <w:tc>
          <w:tcPr>
            <w:tcW w:type="dxa" w:w="2560"/>
            <w:tcMar>
              <w:top w:type="dxa" w:w="60"/>
              <w:left w:type="dxa" w:w="100"/>
              <w:bottom w:type="dxa" w:w="60"/>
              <w:right w:type="dxa" w:w="100"/>
            </w:tcMar>
          </w:tcPr>
          <w:p>
            <w:pPr>
              <w:spacing w:after="0" w:line="240"/>
              <w:jc w:val="left"/>
            </w:pPr>
            <w:r>
              <w:rPr>
                <w:b w:val="false"/>
                <w:bCs w:val="false"/>
                <w:color w:val="000000"/>
                <w:sz w:val="19"/>
                <w:szCs w:val="19"/>
              </w:rPr>
              <w:t xml:space="preserve">0,7893</w:t>
            </w:r>
          </w:p>
        </w:tc>
      </w:tr>
      <w:tr>
        <w:tc>
          <w:tcPr>
            <w:tcW w:type="dxa" w:w="1700"/>
            <w:tcMar>
              <w:top w:type="dxa" w:w="60"/>
              <w:left w:type="dxa" w:w="100"/>
              <w:bottom w:type="dxa" w:w="60"/>
              <w:right w:type="dxa" w:w="100"/>
            </w:tcMar>
          </w:tcPr>
          <w:p>
            <w:pPr>
              <w:spacing w:after="0" w:line="240"/>
              <w:jc w:val="left"/>
            </w:pPr>
            <w:r>
              <w:rPr>
                <w:b w:val="false"/>
                <w:bCs w:val="false"/>
                <w:color w:val="000000"/>
                <w:sz w:val="19"/>
                <w:szCs w:val="19"/>
              </w:rPr>
              <w:t xml:space="preserve">3</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700</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2 059,5</w:t>
            </w:r>
          </w:p>
        </w:tc>
        <w:tc>
          <w:tcPr>
            <w:tcW w:type="dxa" w:w="2560"/>
            <w:tcMar>
              <w:top w:type="dxa" w:w="60"/>
              <w:left w:type="dxa" w:w="100"/>
              <w:bottom w:type="dxa" w:w="60"/>
              <w:right w:type="dxa" w:w="100"/>
            </w:tcMar>
          </w:tcPr>
          <w:p>
            <w:pPr>
              <w:spacing w:after="0" w:line="240"/>
              <w:jc w:val="left"/>
            </w:pPr>
            <w:r>
              <w:rPr>
                <w:b w:val="false"/>
                <w:bCs w:val="false"/>
                <w:color w:val="000000"/>
                <w:sz w:val="19"/>
                <w:szCs w:val="19"/>
              </w:rPr>
              <w:t xml:space="preserve">0,6185</w:t>
            </w:r>
          </w:p>
        </w:tc>
      </w:tr>
      <w:tr>
        <w:tc>
          <w:tcPr>
            <w:tcW w:type="dxa" w:w="1700"/>
            <w:tcMar>
              <w:top w:type="dxa" w:w="60"/>
              <w:left w:type="dxa" w:w="100"/>
              <w:bottom w:type="dxa" w:w="60"/>
              <w:right w:type="dxa" w:w="100"/>
            </w:tcMar>
          </w:tcPr>
          <w:p>
            <w:pPr>
              <w:spacing w:after="0" w:line="240"/>
              <w:jc w:val="left"/>
            </w:pPr>
            <w:r>
              <w:rPr>
                <w:b w:val="false"/>
                <w:bCs w:val="false"/>
                <w:color w:val="000000"/>
                <w:sz w:val="19"/>
                <w:szCs w:val="19"/>
              </w:rPr>
              <w:t xml:space="preserve">4</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900</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1 402,1</w:t>
            </w:r>
          </w:p>
        </w:tc>
        <w:tc>
          <w:tcPr>
            <w:tcW w:type="dxa" w:w="2560"/>
            <w:tcMar>
              <w:top w:type="dxa" w:w="60"/>
              <w:left w:type="dxa" w:w="100"/>
              <w:bottom w:type="dxa" w:w="60"/>
              <w:right w:type="dxa" w:w="100"/>
            </w:tcMar>
          </w:tcPr>
          <w:p>
            <w:pPr>
              <w:spacing w:after="0" w:line="240"/>
              <w:jc w:val="left"/>
            </w:pPr>
            <w:r>
              <w:rPr>
                <w:b w:val="false"/>
                <w:bCs w:val="false"/>
                <w:color w:val="000000"/>
                <w:sz w:val="19"/>
                <w:szCs w:val="19"/>
              </w:rPr>
              <w:t xml:space="preserve">0,4211</w:t>
            </w:r>
          </w:p>
        </w:tc>
      </w:tr>
      <w:tr>
        <w:tc>
          <w:tcPr>
            <w:tcW w:type="dxa" w:w="1700"/>
            <w:tcMar>
              <w:top w:type="dxa" w:w="60"/>
              <w:left w:type="dxa" w:w="100"/>
              <w:bottom w:type="dxa" w:w="60"/>
              <w:right w:type="dxa" w:w="100"/>
            </w:tcMar>
          </w:tcPr>
          <w:p>
            <w:pPr>
              <w:spacing w:after="0" w:line="240"/>
              <w:jc w:val="left"/>
            </w:pPr>
            <w:r>
              <w:rPr>
                <w:b w:val="false"/>
                <w:bCs w:val="false"/>
                <w:color w:val="000000"/>
                <w:sz w:val="19"/>
                <w:szCs w:val="19"/>
              </w:rPr>
              <w:t xml:space="preserve">5 (refyr)</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750</w:t>
            </w:r>
          </w:p>
        </w:tc>
        <w:tc>
          <w:tcPr>
            <w:tcW w:type="dxa" w:w="2000"/>
            <w:tcMar>
              <w:top w:type="dxa" w:w="60"/>
              <w:left w:type="dxa" w:w="100"/>
              <w:bottom w:type="dxa" w:w="60"/>
              <w:right w:type="dxa" w:w="100"/>
            </w:tcMar>
          </w:tcPr>
          <w:p>
            <w:pPr>
              <w:spacing w:after="0" w:line="240"/>
              <w:jc w:val="left"/>
            </w:pPr>
            <w:r>
              <w:rPr>
                <w:b w:val="false"/>
                <w:bCs w:val="false"/>
                <w:color w:val="000000"/>
                <w:sz w:val="19"/>
                <w:szCs w:val="19"/>
              </w:rPr>
              <w:t xml:space="preserve">996,3</w:t>
            </w:r>
          </w:p>
        </w:tc>
        <w:tc>
          <w:tcPr>
            <w:tcW w:type="dxa" w:w="2560"/>
            <w:tcMar>
              <w:top w:type="dxa" w:w="60"/>
              <w:left w:type="dxa" w:w="100"/>
              <w:bottom w:type="dxa" w:w="60"/>
              <w:right w:type="dxa" w:w="100"/>
            </w:tcMar>
          </w:tcPr>
          <w:p>
            <w:pPr>
              <w:spacing w:after="0" w:line="240"/>
              <w:jc w:val="left"/>
            </w:pPr>
            <w:r>
              <w:rPr>
                <w:b w:val="false"/>
                <w:bCs w:val="false"/>
                <w:color w:val="000000"/>
                <w:sz w:val="19"/>
                <w:szCs w:val="19"/>
              </w:rPr>
              <w:t xml:space="preserve">0,2992</w:t>
            </w:r>
          </w:p>
        </w:tc>
      </w:tr>
    </w:tbl>
    <w:p>
      <w:pPr>
        <w:spacing w:after="180" w:before="40"/>
      </w:pPr>
      <w:r>
        <w:rPr>
          <w:i/>
          <w:iCs/>
          <w:color w:val="595959"/>
          <w:sz w:val="18"/>
          <w:szCs w:val="18"/>
        </w:rPr>
        <w:t xml:space="preserve">Tabela 2. Trajetória de biomassa reconstruída ano a ano para a rodada aceita do exemplo (K = 3 330), aplicando a recursão da seção 4.4. A captura listada em cada ano é a removida ao final daquele ano, usada para atualizar a biomassa do ano seguinte — por isso o ano 1 não tem captura associada na tabela (ela entra no cálculo de B(2)) e a captura do ano 5 (750 t, referente ao próprio ano 5) não afeta mais nenhum valor mostrado aqui.</w:t>
      </w:r>
    </w:p>
    <w:p>
      <w:pPr>
        <w:spacing w:after="140" w:line="276"/>
        <w:jc w:val="both"/>
      </w:pPr>
      <w:r>
        <w:t xml:space="preserve">Para ilustrar uma rejeição, com exatamente os mesmos M, Fmsy/M e Bmnpl desta rodada: um K candidato de 1 500 (MSY = 164,25) projeta uma biomassa que já cai para 268,3 no ano 3 e para </w:t>
      </w:r>
      <w:r>
        <w:rPr>
          <w:b/>
          <w:bCs/>
        </w:rPr>
        <w:t xml:space="preserve">−474,9 no ano 4</w:t>
      </w:r>
      <w:r>
        <w:t xml:space="preserve"> — biomassa negativa, violando o primeiro critério de aceitação (min(B) &gt; 0). Essa rodada seria descartada antes mesmo de chegar à comparação de Bt/K: fisicamente, as capturas sorteadas para essa combinação de parâmetros excedem o que uma população com K = 1 500 conseguiria sustentar.</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LIGANDO COM A SEÇÃO 5  </w:t>
      </w:r>
      <w:r>
        <w:t xml:space="preserve">Rodadas rejeitadas como essa não são desperdiçadas — como já discutido em "por que a rejeição importa", é exatamente o padrão de quais combinações sobrevivem às cinco condições da seção 4.3, e não apenas as que sobrevivem, que esculpe a distribuição posterior a partir da série de capturas observada, mesmo sem nenhum dado independente de abundância.</w:t>
      </w:r>
    </w:p>
    <w:p>
      <w:pPr>
        <w:pStyle w:val="Heading1"/>
        <w:pBdr>
          <w:bottom w:val="single" w:color="BFCFE3" w:sz="6" w:space="6"/>
        </w:pBdr>
        <w:spacing w:after="180" w:before="400"/>
      </w:pPr>
      <w:r>
        <w:rPr>
          <w:rFonts w:ascii="Calibri" w:cs="Calibri" w:eastAsia="Calibri" w:hAnsi="Calibri"/>
          <w:b/>
          <w:bCs/>
          <w:color w:val="1F4E79"/>
          <w:sz w:val="30"/>
          <w:szCs w:val="30"/>
        </w:rPr>
        <w:t xml:space="preserve">5. Desempenho e limites do método</w:t>
      </w:r>
    </w:p>
    <w:p>
      <w:pPr>
        <w:spacing w:after="140" w:line="276"/>
        <w:jc w:val="both"/>
      </w:pPr>
      <w:r>
        <w:t xml:space="preserve">Dick &amp; MacCall validaram o DB-SRA comparando seus resultados com os de 31 avaliações de estoque "ricas em dados" da costa oeste dos EUA (modelos estruturados por idade), usando as próprias capturas históricas desses estoques como entrada do DB-SRA. Os resultados de MSY e K ficaram, para a maioria dos estoques, entre metade e o dobro do valor da avaliação de referência — uma faixa de erro considerável, mas nada absurda para um método que dispensa índices de abundância inteiramente.</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line="240"/>
              <w:jc w:val="left"/>
            </w:pPr>
            <w:r>
              <w:rPr>
                <w:b/>
                <w:bCs/>
                <w:color w:val="FFFFFF"/>
                <w:sz w:val="19"/>
                <w:szCs w:val="19"/>
              </w:rPr>
              <w:t xml:space="preserve">Quando o método tende a funcionar bem</w:t>
            </w:r>
          </w:p>
        </w:tc>
        <w:tc>
          <w:tcPr>
            <w:tcW w:type="dxa" w:w="3120"/>
            <w:shd w:fill="1F4E79" w:val="clear"/>
            <w:tcMar>
              <w:top w:type="dxa" w:w="60"/>
              <w:left w:type="dxa" w:w="100"/>
              <w:bottom w:type="dxa" w:w="60"/>
              <w:right w:type="dxa" w:w="100"/>
            </w:tcMar>
          </w:tcPr>
          <w:p>
            <w:pPr>
              <w:spacing w:after="0" w:line="240"/>
              <w:jc w:val="left"/>
            </w:pPr>
            <w:r>
              <w:rPr>
                <w:b/>
                <w:bCs/>
                <w:color w:val="FFFFFF"/>
                <w:sz w:val="19"/>
                <w:szCs w:val="19"/>
              </w:rPr>
              <w:t xml:space="preserve">Quando é mais frágil</w:t>
            </w:r>
          </w:p>
        </w:tc>
        <w:tc>
          <w:tcPr>
            <w:tcW w:type="dxa" w:w="3120"/>
            <w:shd w:fill="1F4E79" w:val="clear"/>
            <w:tcMar>
              <w:top w:type="dxa" w:w="60"/>
              <w:left w:type="dxa" w:w="100"/>
              <w:bottom w:type="dxa" w:w="60"/>
              <w:right w:type="dxa" w:w="100"/>
            </w:tcMar>
          </w:tcPr>
          <w:p>
            <w:pPr>
              <w:spacing w:after="0" w:line="240"/>
              <w:jc w:val="left"/>
            </w:pPr>
            <w:r>
              <w:rPr>
                <w:b/>
                <w:bCs/>
                <w:color w:val="FFFFFF"/>
                <w:sz w:val="19"/>
                <w:szCs w:val="19"/>
              </w:rPr>
              <w:t xml:space="preserve">Achado notável</w:t>
            </w:r>
          </w:p>
        </w:tc>
      </w:tr>
      <w:tr>
        <w:tc>
          <w:tcPr>
            <w:tcW w:type="dxa" w:w="3120"/>
            <w:tcMar>
              <w:top w:type="dxa" w:w="60"/>
              <w:left w:type="dxa" w:w="100"/>
              <w:bottom w:type="dxa" w:w="60"/>
              <w:right w:type="dxa" w:w="100"/>
            </w:tcMar>
          </w:tcPr>
          <w:p>
            <w:pPr>
              <w:spacing w:after="0" w:line="240"/>
              <w:jc w:val="left"/>
            </w:pPr>
            <w:r>
              <w:rPr>
                <w:b w:val="false"/>
                <w:bCs w:val="false"/>
                <w:color w:val="000000"/>
                <w:sz w:val="19"/>
                <w:szCs w:val="19"/>
              </w:rPr>
              <w:t xml:space="preserve">Estoques com histórico de depleção real e substancial (a "redução" que dá nome ao método).</w:t>
            </w:r>
          </w:p>
        </w:tc>
        <w:tc>
          <w:tcPr>
            <w:tcW w:type="dxa" w:w="3120"/>
            <w:tcMar>
              <w:top w:type="dxa" w:w="60"/>
              <w:left w:type="dxa" w:w="100"/>
              <w:bottom w:type="dxa" w:w="60"/>
              <w:right w:type="dxa" w:w="100"/>
            </w:tcMar>
          </w:tcPr>
          <w:p>
            <w:pPr>
              <w:spacing w:after="0" w:line="240"/>
              <w:jc w:val="left"/>
            </w:pPr>
            <w:r>
              <w:rPr>
                <w:b w:val="false"/>
                <w:bCs w:val="false"/>
                <w:color w:val="000000"/>
                <w:sz w:val="19"/>
                <w:szCs w:val="19"/>
              </w:rPr>
              <w:t xml:space="preserve">Estoques próximos de K (pouco explorados): há pouca informação na história de captura para ancorar K, e o método tende a produzir MSY implausivelmente alto.</w:t>
            </w:r>
          </w:p>
        </w:tc>
        <w:tc>
          <w:tcPr>
            <w:tcW w:type="dxa" w:w="3120"/>
            <w:tcMar>
              <w:top w:type="dxa" w:w="60"/>
              <w:left w:type="dxa" w:w="100"/>
              <w:bottom w:type="dxa" w:w="60"/>
              <w:right w:type="dxa" w:w="100"/>
            </w:tcMar>
          </w:tcPr>
          <w:p>
            <w:pPr>
              <w:spacing w:after="0" w:line="240"/>
              <w:jc w:val="left"/>
            </w:pPr>
            <w:r>
              <w:rPr>
                <w:b w:val="false"/>
                <w:bCs w:val="false"/>
                <w:color w:val="000000"/>
                <w:sz w:val="19"/>
                <w:szCs w:val="19"/>
              </w:rPr>
              <w:t xml:space="preserve">Contra-intuitivamente, **assumir uma depleção baixa (BT/K pequeno) tende a gerar estimativas mais próximas da avaliação de referência** — mesmo quando esse valor não é o verdadeiro, porque força uma taxa de rejeição maior e mais informativa.</w:t>
            </w:r>
          </w:p>
        </w:tc>
      </w:tr>
      <w:tr>
        <w:tc>
          <w:tcPr>
            <w:tcW w:type="dxa" w:w="312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Séries de captura longas e razoavelmente completas, cobrindo o período de maior exploração.</w:t>
            </w:r>
          </w:p>
        </w:tc>
        <w:tc>
          <w:tcPr>
            <w:tcW w:type="dxa" w:w="312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Erro relativo cresce de forma consistente à medida que a depleção assumida (BT/K) aumenta — incerteza maior em estoques que se assume estarem "saudáveis".</w:t>
            </w:r>
          </w:p>
        </w:tc>
        <w:tc>
          <w:tcPr>
            <w:tcW w:type="dxa" w:w="312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A incerteza sobre Bmnpl é reduzida principalmente pela rejeição de trajetórias, não pelos dados observados diretamente — funciona melhor onde há mais o que rejeitar.</w:t>
            </w:r>
          </w:p>
        </w:tc>
      </w:tr>
      <w:tr>
        <w:tc>
          <w:tcPr>
            <w:tcW w:type="dxa" w:w="3120"/>
            <w:tcMar>
              <w:top w:type="dxa" w:w="60"/>
              <w:left w:type="dxa" w:w="100"/>
              <w:bottom w:type="dxa" w:w="60"/>
              <w:right w:type="dxa" w:w="100"/>
            </w:tcMar>
          </w:tcPr>
          <w:p>
            <w:pPr>
              <w:spacing w:after="0" w:line="240"/>
              <w:jc w:val="left"/>
            </w:pPr>
            <w:r>
              <w:rPr>
                <w:b w:val="false"/>
                <w:bCs w:val="false"/>
                <w:color w:val="000000"/>
                <w:sz w:val="19"/>
                <w:szCs w:val="19"/>
              </w:rPr>
              <w:t xml:space="preserve">Casos em que o objetivo é uma primeira estimativa defensável de captura sustentável, não uma trajetória fina de biomassa.</w:t>
            </w:r>
          </w:p>
        </w:tc>
        <w:tc>
          <w:tcPr>
            <w:tcW w:type="dxa" w:w="3120"/>
            <w:tcMar>
              <w:top w:type="dxa" w:w="60"/>
              <w:left w:type="dxa" w:w="100"/>
              <w:bottom w:type="dxa" w:w="60"/>
              <w:right w:type="dxa" w:w="100"/>
            </w:tcMar>
          </w:tcPr>
          <w:p>
            <w:pPr>
              <w:spacing w:after="0" w:line="240"/>
              <w:jc w:val="left"/>
            </w:pPr>
            <w:r>
              <w:rPr>
                <w:b w:val="false"/>
                <w:bCs w:val="false"/>
                <w:color w:val="000000"/>
                <w:sz w:val="19"/>
                <w:szCs w:val="19"/>
              </w:rPr>
              <w:t xml:space="preserve">Não incorpora nenhuma covariância entre os erros de captura de anos sucessivos, nem tendências de esforço, sendo mais fraco para reconstruções de captura muito incertas.</w:t>
            </w:r>
          </w:p>
        </w:tc>
        <w:tc>
          <w:tcPr>
            <w:tcW w:type="dxa" w:w="3120"/>
            <w:tcMar>
              <w:top w:type="dxa" w:w="60"/>
              <w:left w:type="dxa" w:w="100"/>
              <w:bottom w:type="dxa" w:w="60"/>
              <w:right w:type="dxa" w:w="100"/>
            </w:tcMar>
          </w:tcPr>
          <w:p>
            <w:pPr>
              <w:spacing w:after="0" w:line="240"/>
              <w:jc w:val="left"/>
            </w:pPr>
            <w:r>
              <w:rPr>
                <w:b w:val="false"/>
                <w:bCs w:val="false"/>
                <w:color w:val="000000"/>
                <w:sz w:val="19"/>
                <w:szCs w:val="19"/>
              </w:rPr>
              <w:t xml:space="preserve">—</w:t>
            </w:r>
          </w:p>
        </w:tc>
      </w:tr>
    </w:tbl>
    <w:p>
      <w:pPr>
        <w:spacing w:after="180" w:before="40"/>
      </w:pPr>
      <w:r>
        <w:rPr>
          <w:i/>
          <w:iCs/>
          <w:color w:val="595959"/>
          <w:sz w:val="18"/>
          <w:szCs w:val="18"/>
        </w:rPr>
        <w:t xml:space="preserve">Tabela 3. Síntese do desempenho do DB-SRA na validação contra 31 avaliações da costa oeste dos EUA (Dick &amp; MacCall, 2011).</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LIMITAÇÃO ESTRUTURAL A NÃO ESQUECER  </w:t>
      </w:r>
      <w:r>
        <w:t xml:space="preserve">O DB-SRA é, por desenho, um método de "uma viagem só" (one-way trip): funciona melhor quando a biomassa caiu de forma relativamente monotônica ao longo da série. Estoques que colapsaram e se recuperaram, ou que oscilaram fortemente, violam a premissa implícita e produzem resultados menos confiáveis. Como qualquer método catch-only, ele também assume que a série de capturas é razoavelmente completa e sem erro sistemático — reconstruções de captura malfeitas se propagam diretamente para K e para todos os pontos de referência.</w:t>
      </w:r>
    </w:p>
    <w:p>
      <w:pPr>
        <w:pStyle w:val="Heading1"/>
        <w:pBdr>
          <w:bottom w:val="single" w:color="BFCFE3" w:sz="6" w:space="6"/>
        </w:pBdr>
        <w:spacing w:after="180" w:before="400"/>
      </w:pPr>
      <w:r>
        <w:rPr>
          <w:rFonts w:ascii="Calibri" w:cs="Calibri" w:eastAsia="Calibri" w:hAnsi="Calibri"/>
          <w:b/>
          <w:bCs/>
          <w:color w:val="1F4E79"/>
          <w:sz w:val="30"/>
          <w:szCs w:val="30"/>
        </w:rPr>
        <w:t xml:space="preserve">6. Duas implementações em R: qual escolher</w:t>
      </w:r>
    </w:p>
    <w:p>
      <w:pPr>
        <w:spacing w:after="140" w:line="276"/>
        <w:jc w:val="both"/>
      </w:pPr>
      <w:r>
        <w:t xml:space="preserve">Existem hoje duas implementações do DB-SRA disponíveis em pacotes R publicados no CRAN: </w:t>
      </w:r>
      <w:r>
        <w:rPr>
          <w:rFonts w:ascii="Consolas" w:cs="Consolas" w:eastAsia="Consolas" w:hAnsi="Consolas"/>
          <w:sz w:val="20"/>
          <w:szCs w:val="20"/>
        </w:rPr>
        <w:t xml:space="preserve">DBSRA()</w:t>
      </w:r>
      <w:r>
        <w:t xml:space="preserve"> no pacote </w:t>
      </w:r>
      <w:r>
        <w:rPr>
          <w:b/>
          <w:bCs/>
        </w:rPr>
        <w:t xml:space="preserve">DLMtool</w:t>
      </w:r>
      <w:r>
        <w:t xml:space="preserve"> e </w:t>
      </w:r>
      <w:r>
        <w:rPr>
          <w:rFonts w:ascii="Consolas" w:cs="Consolas" w:eastAsia="Consolas" w:hAnsi="Consolas"/>
          <w:sz w:val="20"/>
          <w:szCs w:val="20"/>
        </w:rPr>
        <w:t xml:space="preserve">dbsra()</w:t>
      </w:r>
      <w:r>
        <w:t xml:space="preserve"> no pacote </w:t>
      </w:r>
      <w:r>
        <w:rPr>
          <w:b/>
          <w:bCs/>
        </w:rPr>
        <w:t xml:space="preserve">fishmethods</w:t>
      </w:r>
      <w:r>
        <w:t xml:space="preserve">. Apesar do nome quase idêntico, elas foram construídas para propósitos diferentes, e essa diferença muda qual delas é apropriada para o seu caso.</w:t>
      </w:r>
    </w:p>
    <w:p>
      <w:pPr>
        <w:pStyle w:val="Heading2"/>
        <w:spacing w:after="120" w:before="260"/>
      </w:pPr>
      <w:r>
        <w:rPr>
          <w:rFonts w:ascii="Calibri" w:cs="Calibri" w:eastAsia="Calibri" w:hAnsi="Calibri"/>
          <w:b/>
          <w:bCs/>
          <w:color w:val="2E74B5"/>
          <w:sz w:val="24"/>
          <w:szCs w:val="24"/>
        </w:rPr>
        <w:t xml:space="preserve">6.1 DLMtool::DBSRA — método de manejo dentro de uma MSE</w:t>
      </w:r>
    </w:p>
    <w:p>
      <w:pPr>
        <w:spacing w:after="140" w:line="276"/>
        <w:jc w:val="both"/>
      </w:pPr>
      <w:r>
        <w:t xml:space="preserve">O DLMtool (hoje sucedido pelo pacote openMSE) é um framework de </w:t>
      </w:r>
      <w:r>
        <w:rPr>
          <w:b/>
          <w:bCs/>
        </w:rPr>
        <w:t xml:space="preserve">Simulação de Estratégias de Manejo (MSE)</w:t>
      </w:r>
      <w:r>
        <w:t xml:space="preserve">: seu objetivo é testar, dentro de um modelo operacional simulado, como diferentes "procedimentos de manejo" (MPs) — regras simples que traduzem dados em uma recomendação de captura — se comportariam sob incerteza estrutural repetida centenas de vezes. </w:t>
      </w:r>
      <w:r>
        <w:rPr>
          <w:rFonts w:ascii="Consolas" w:cs="Consolas" w:eastAsia="Consolas" w:hAnsi="Consolas"/>
          <w:sz w:val="20"/>
          <w:szCs w:val="20"/>
        </w:rPr>
        <w:t xml:space="preserve">DBSRA()</w:t>
      </w:r>
      <w:r>
        <w:t xml:space="preserve"> é uma dessas MPs, e a própria documentação do pacote reconhece que ela </w:t>
      </w:r>
      <w:r>
        <w:rPr>
          <w:b/>
          <w:bCs/>
        </w:rPr>
        <w:t xml:space="preserve">não reproduz o método original</w:t>
      </w:r>
      <w:r>
        <w:t xml:space="preserve">: em vez de resolver a dinâmica delay-difference e o K por iteração, ela usa um atalho algébrico direto,</w:t>
      </w:r>
    </w:p>
    <w:p>
      <w:pPr>
        <w:shd w:fill="F2F5FA" w:val="clear"/>
        <w:spacing w:after="140" w:before="120"/>
        <w:jc w:val="center"/>
      </w:pPr>
      <w:r>
        <w:rPr>
          <w:rFonts w:ascii="Consolas" w:cs="Consolas" w:eastAsia="Consolas" w:hAnsi="Consolas"/>
          <w:color w:val="1F3864"/>
          <w:sz w:val="20"/>
          <w:szCs w:val="20"/>
        </w:rPr>
        <w:t xml:space="preserve">TAC = M · (Fmsy/M) · D · B0</w:t>
      </w:r>
    </w:p>
    <w:p>
      <w:pPr>
        <w:spacing w:after="140" w:line="276"/>
        <w:jc w:val="both"/>
      </w:pPr>
      <w:r>
        <w:t xml:space="preserve">em que D é a depleção atual e B0 é assumido conhecido (fornecido pelo modelo operacional da simulação) — ou seja, pula justamente a parte mais engenhosa do método original, que é estimar B0 (=K) a partir da história de captura. Isso faz todo sentido dentro de uma MSE, onde B0 é conhecido porque é o próprio simulador que o gerou; mas significa que </w:t>
      </w:r>
      <w:r>
        <w:rPr>
          <w:rFonts w:ascii="Consolas" w:cs="Consolas" w:eastAsia="Consolas" w:hAnsi="Consolas"/>
          <w:sz w:val="20"/>
          <w:szCs w:val="20"/>
        </w:rPr>
        <w:t xml:space="preserve">DBSRA()</w:t>
      </w:r>
      <w:r>
        <w:t xml:space="preserve"> não é adequada para produzir uma avaliação real de um estoque cujo K é exatamente o que se quer descobrir.</w:t>
      </w:r>
    </w:p>
    <w:p>
      <w:pPr>
        <w:pStyle w:val="Heading2"/>
        <w:spacing w:after="120" w:before="260"/>
      </w:pPr>
      <w:r>
        <w:rPr>
          <w:rFonts w:ascii="Calibri" w:cs="Calibri" w:eastAsia="Calibri" w:hAnsi="Calibri"/>
          <w:b/>
          <w:bCs/>
          <w:color w:val="2E74B5"/>
          <w:sz w:val="24"/>
          <w:szCs w:val="24"/>
        </w:rPr>
        <w:t xml:space="preserve">6.2 fishmethods::dbsra — reimplementação fiel do método original</w:t>
      </w:r>
    </w:p>
    <w:p>
      <w:pPr>
        <w:spacing w:after="140" w:line="276"/>
        <w:jc w:val="both"/>
      </w:pPr>
      <w:r>
        <w:rPr>
          <w:rFonts w:ascii="Consolas" w:cs="Consolas" w:eastAsia="Consolas" w:hAnsi="Consolas"/>
          <w:sz w:val="20"/>
          <w:szCs w:val="20"/>
        </w:rPr>
        <w:t xml:space="preserve">dbsra()</w:t>
      </w:r>
      <w:r>
        <w:t xml:space="preserve">, de Gary A. Nelson, é uma reimplementação direta do algoritmo descrito no Apêndice B do artigo de Dick &amp; MacCall: função de produção híbrida Schaefer-PTF com ponto de junção, dinâmica delay-difference completa, solução iterativa de K por otimização numérica, e o mesmo esquema de rejeição de trajetórias com biomassa negativa. Permite especificar a distribuição de cada um dos quatro parâmetros de entrada (uniforme, normal, lognormal, gama, beta ou valor fixo) e devolve as distribuições completas de K, Bmsy, Fmsy, MSY e Cfmsy — exatamente a saída que o método foi desenhado para produzir.</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2200"/>
        <w:gridCol w:w="3560"/>
        <w:gridCol w:w="3600"/>
      </w:tblGrid>
      <w:tr>
        <w:trPr>
          <w:tblHeader/>
        </w:trPr>
        <w:tc>
          <w:tcPr>
            <w:tcW w:type="dxa" w:w="2200"/>
            <w:shd w:fill="1F4E79" w:val="clear"/>
            <w:tcMar>
              <w:top w:type="dxa" w:w="60"/>
              <w:left w:type="dxa" w:w="100"/>
              <w:bottom w:type="dxa" w:w="60"/>
              <w:right w:type="dxa" w:w="100"/>
            </w:tcMar>
          </w:tcPr>
          <w:p>
            <w:pPr>
              <w:spacing w:after="0" w:line="240"/>
              <w:jc w:val="left"/>
            </w:pPr>
            <w:r>
              <w:rPr>
                <w:b/>
                <w:bCs/>
                <w:color w:val="FFFFFF"/>
                <w:sz w:val="19"/>
                <w:szCs w:val="19"/>
              </w:rPr>
              <w:t xml:space="preserve">Aspecto</w:t>
            </w:r>
          </w:p>
        </w:tc>
        <w:tc>
          <w:tcPr>
            <w:tcW w:type="dxa" w:w="3560"/>
            <w:shd w:fill="1F4E79" w:val="clear"/>
            <w:tcMar>
              <w:top w:type="dxa" w:w="60"/>
              <w:left w:type="dxa" w:w="100"/>
              <w:bottom w:type="dxa" w:w="60"/>
              <w:right w:type="dxa" w:w="100"/>
            </w:tcMar>
          </w:tcPr>
          <w:p>
            <w:pPr>
              <w:spacing w:after="0" w:line="240"/>
              <w:jc w:val="left"/>
            </w:pPr>
            <w:r>
              <w:rPr>
                <w:b/>
                <w:bCs/>
                <w:color w:val="FFFFFF"/>
                <w:sz w:val="19"/>
                <w:szCs w:val="19"/>
              </w:rPr>
              <w:t xml:space="preserve">DLMtool::DBSRA</w:t>
            </w:r>
          </w:p>
        </w:tc>
        <w:tc>
          <w:tcPr>
            <w:tcW w:type="dxa" w:w="3600"/>
            <w:shd w:fill="1F4E79" w:val="clear"/>
            <w:tcMar>
              <w:top w:type="dxa" w:w="60"/>
              <w:left w:type="dxa" w:w="100"/>
              <w:bottom w:type="dxa" w:w="60"/>
              <w:right w:type="dxa" w:w="100"/>
            </w:tcMar>
          </w:tcPr>
          <w:p>
            <w:pPr>
              <w:spacing w:after="0" w:line="240"/>
              <w:jc w:val="left"/>
            </w:pPr>
            <w:r>
              <w:rPr>
                <w:b/>
                <w:bCs/>
                <w:color w:val="FFFFFF"/>
                <w:sz w:val="19"/>
                <w:szCs w:val="19"/>
              </w:rPr>
              <w:t xml:space="preserve">fishmethods::dbsra</w:t>
            </w:r>
          </w:p>
        </w:tc>
      </w:tr>
      <w:tr>
        <w:tc>
          <w:tcPr>
            <w:tcW w:type="dxa" w:w="2200"/>
            <w:tcMar>
              <w:top w:type="dxa" w:w="60"/>
              <w:left w:type="dxa" w:w="100"/>
              <w:bottom w:type="dxa" w:w="60"/>
              <w:right w:type="dxa" w:w="100"/>
            </w:tcMar>
          </w:tcPr>
          <w:p>
            <w:pPr>
              <w:spacing w:after="0" w:line="240"/>
              <w:jc w:val="left"/>
            </w:pPr>
            <w:r>
              <w:rPr>
                <w:b w:val="false"/>
                <w:bCs w:val="false"/>
                <w:color w:val="000000"/>
                <w:sz w:val="19"/>
                <w:szCs w:val="19"/>
              </w:rPr>
              <w:t xml:space="preserve">Fidelidade ao método original</w:t>
            </w:r>
          </w:p>
        </w:tc>
        <w:tc>
          <w:tcPr>
            <w:tcW w:type="dxa" w:w="3560"/>
            <w:tcMar>
              <w:top w:type="dxa" w:w="60"/>
              <w:left w:type="dxa" w:w="100"/>
              <w:bottom w:type="dxa" w:w="60"/>
              <w:right w:type="dxa" w:w="100"/>
            </w:tcMar>
          </w:tcPr>
          <w:p>
            <w:pPr>
              <w:spacing w:after="0" w:line="240"/>
              <w:jc w:val="left"/>
            </w:pPr>
            <w:r>
              <w:rPr>
                <w:b w:val="false"/>
                <w:bCs w:val="false"/>
                <w:color w:val="000000"/>
                <w:sz w:val="19"/>
                <w:szCs w:val="19"/>
              </w:rPr>
              <w:t xml:space="preserve">Simplificada: fórmula algébrica direta, sem resolver a dinâmica delay-difference nem K por iteração. A própria documentação afirma que "não é exatamente o método original".</w:t>
            </w:r>
          </w:p>
        </w:tc>
        <w:tc>
          <w:tcPr>
            <w:tcW w:type="dxa" w:w="3600"/>
            <w:tcMar>
              <w:top w:type="dxa" w:w="60"/>
              <w:left w:type="dxa" w:w="100"/>
              <w:bottom w:type="dxa" w:w="60"/>
              <w:right w:type="dxa" w:w="100"/>
            </w:tcMar>
          </w:tcPr>
          <w:p>
            <w:pPr>
              <w:spacing w:after="0" w:line="240"/>
              <w:jc w:val="left"/>
            </w:pPr>
            <w:r>
              <w:rPr>
                <w:b w:val="false"/>
                <w:bCs w:val="false"/>
                <w:color w:val="000000"/>
                <w:sz w:val="19"/>
                <w:szCs w:val="19"/>
              </w:rPr>
              <w:t xml:space="preserve">Fiel: reimplementa o algoritmo completo do Apêndice B (produção híbrida, delay-difference, K iterativo, rejeição de trajetórias implausíveis).</w:t>
            </w:r>
          </w:p>
        </w:tc>
      </w:tr>
      <w:tr>
        <w:tc>
          <w:tcPr>
            <w:tcW w:type="dxa" w:w="22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Para que foi construída</w:t>
            </w:r>
          </w:p>
        </w:tc>
        <w:tc>
          <w:tcPr>
            <w:tcW w:type="dxa" w:w="356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Ser uma entre dezenas de "procedimentos de manejo" testadas dentro de uma simulação de estratégias de manejo (MSE) do DLMtool/openMSE.</w:t>
            </w:r>
          </w:p>
        </w:tc>
        <w:tc>
          <w:tcPr>
            <w:tcW w:type="dxa" w:w="36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Ser uma ferramenta autônoma de avaliação catch-only, aplicada diretamente a um estoque real — o mesmo uso do artigo original.</w:t>
            </w:r>
          </w:p>
        </w:tc>
      </w:tr>
      <w:tr>
        <w:tc>
          <w:tcPr>
            <w:tcW w:type="dxa" w:w="2200"/>
            <w:tcMar>
              <w:top w:type="dxa" w:w="60"/>
              <w:left w:type="dxa" w:w="100"/>
              <w:bottom w:type="dxa" w:w="60"/>
              <w:right w:type="dxa" w:w="100"/>
            </w:tcMar>
          </w:tcPr>
          <w:p>
            <w:pPr>
              <w:spacing w:after="0" w:line="240"/>
              <w:jc w:val="left"/>
            </w:pPr>
            <w:r>
              <w:rPr>
                <w:b w:val="false"/>
                <w:bCs w:val="false"/>
                <w:color w:val="000000"/>
                <w:sz w:val="19"/>
                <w:szCs w:val="19"/>
              </w:rPr>
              <w:t xml:space="preserve">Controle sobre os parâmetros</w:t>
            </w:r>
          </w:p>
        </w:tc>
        <w:tc>
          <w:tcPr>
            <w:tcW w:type="dxa" w:w="3560"/>
            <w:tcMar>
              <w:top w:type="dxa" w:w="60"/>
              <w:left w:type="dxa" w:w="100"/>
              <w:bottom w:type="dxa" w:w="60"/>
              <w:right w:type="dxa" w:w="100"/>
            </w:tcMar>
          </w:tcPr>
          <w:p>
            <w:pPr>
              <w:spacing w:after="0" w:line="240"/>
              <w:jc w:val="left"/>
            </w:pPr>
            <w:r>
              <w:rPr>
                <w:b w:val="false"/>
                <w:bCs w:val="false"/>
                <w:color w:val="000000"/>
                <w:sz w:val="19"/>
                <w:szCs w:val="19"/>
              </w:rPr>
              <w:t xml:space="preserve">Limitado: usa as distribuições internas do objeto Data/Operating Model do DLMtool.</w:t>
            </w:r>
          </w:p>
        </w:tc>
        <w:tc>
          <w:tcPr>
            <w:tcW w:type="dxa" w:w="3600"/>
            <w:tcMar>
              <w:top w:type="dxa" w:w="60"/>
              <w:left w:type="dxa" w:w="100"/>
              <w:bottom w:type="dxa" w:w="60"/>
              <w:right w:type="dxa" w:w="100"/>
            </w:tcMar>
          </w:tcPr>
          <w:p>
            <w:pPr>
              <w:spacing w:after="0" w:line="240"/>
              <w:jc w:val="left"/>
            </w:pPr>
            <w:r>
              <w:rPr>
                <w:b w:val="false"/>
                <w:bCs w:val="false"/>
                <w:color w:val="000000"/>
                <w:sz w:val="19"/>
                <w:szCs w:val="19"/>
              </w:rPr>
              <w:t xml:space="preserve">Total: distribuição, limites e forma configuráveis individualmente para M, Fmsy/M, Bmsy/K, BT/K e B1/K.</w:t>
            </w:r>
          </w:p>
        </w:tc>
      </w:tr>
      <w:tr>
        <w:tc>
          <w:tcPr>
            <w:tcW w:type="dxa" w:w="22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Saída</w:t>
            </w:r>
          </w:p>
        </w:tc>
        <w:tc>
          <w:tcPr>
            <w:tcW w:type="dxa" w:w="356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Um TAC (limite de captura) por réplica de simulação.</w:t>
            </w:r>
          </w:p>
        </w:tc>
        <w:tc>
          <w:tcPr>
            <w:tcW w:type="dxa" w:w="3600"/>
            <w:shd w:fill="F4F7FB" w:val="clear"/>
            <w:tcMar>
              <w:top w:type="dxa" w:w="60"/>
              <w:left w:type="dxa" w:w="100"/>
              <w:bottom w:type="dxa" w:w="60"/>
              <w:right w:type="dxa" w:w="100"/>
            </w:tcMar>
          </w:tcPr>
          <w:p>
            <w:pPr>
              <w:spacing w:after="0" w:line="240"/>
              <w:jc w:val="left"/>
            </w:pPr>
            <w:r>
              <w:rPr>
                <w:b w:val="false"/>
                <w:bCs w:val="false"/>
                <w:color w:val="000000"/>
                <w:sz w:val="19"/>
                <w:szCs w:val="19"/>
              </w:rPr>
              <w:t xml:space="preserve">Distribuições completas de K, Bmsy, Fmsy, MSY e Cfmsy, com quantis, diagnósticos de aceitação/rejeição e trajetórias de biomassa exportáveis.</w:t>
            </w:r>
          </w:p>
        </w:tc>
      </w:tr>
      <w:tr>
        <w:tc>
          <w:tcPr>
            <w:tcW w:type="dxa" w:w="2200"/>
            <w:tcMar>
              <w:top w:type="dxa" w:w="60"/>
              <w:left w:type="dxa" w:w="100"/>
              <w:bottom w:type="dxa" w:w="60"/>
              <w:right w:type="dxa" w:w="100"/>
            </w:tcMar>
          </w:tcPr>
          <w:p>
            <w:pPr>
              <w:spacing w:after="0" w:line="240"/>
              <w:jc w:val="left"/>
            </w:pPr>
            <w:r>
              <w:rPr>
                <w:b w:val="false"/>
                <w:bCs w:val="false"/>
                <w:color w:val="000000"/>
                <w:sz w:val="19"/>
                <w:szCs w:val="19"/>
              </w:rPr>
              <w:t xml:space="preserve">Atualização mais recente no CRAN</w:t>
            </w:r>
          </w:p>
        </w:tc>
        <w:tc>
          <w:tcPr>
            <w:tcW w:type="dxa" w:w="3560"/>
            <w:tcMar>
              <w:top w:type="dxa" w:w="60"/>
              <w:left w:type="dxa" w:w="100"/>
              <w:bottom w:type="dxa" w:w="60"/>
              <w:right w:type="dxa" w:w="100"/>
            </w:tcMar>
          </w:tcPr>
          <w:p>
            <w:pPr>
              <w:spacing w:after="0" w:line="240"/>
              <w:jc w:val="left"/>
            </w:pPr>
            <w:r>
              <w:rPr>
                <w:b w:val="false"/>
                <w:bCs w:val="false"/>
                <w:color w:val="000000"/>
                <w:sz w:val="19"/>
                <w:szCs w:val="19"/>
              </w:rPr>
              <w:t xml:space="preserve">Junho de 2022; desenvolvimento migrou para o pacote sucessor openMSE.</w:t>
            </w:r>
          </w:p>
        </w:tc>
        <w:tc>
          <w:tcPr>
            <w:tcW w:type="dxa" w:w="3600"/>
            <w:tcMar>
              <w:top w:type="dxa" w:w="60"/>
              <w:left w:type="dxa" w:w="100"/>
              <w:bottom w:type="dxa" w:w="60"/>
              <w:right w:type="dxa" w:w="100"/>
            </w:tcMar>
          </w:tcPr>
          <w:p>
            <w:pPr>
              <w:spacing w:after="0" w:line="240"/>
              <w:jc w:val="left"/>
            </w:pPr>
            <w:r>
              <w:rPr>
                <w:b w:val="false"/>
                <w:bCs w:val="false"/>
                <w:color w:val="000000"/>
                <w:sz w:val="19"/>
                <w:szCs w:val="19"/>
              </w:rPr>
              <w:t xml:space="preserve">Abril de 2025.</w:t>
            </w:r>
          </w:p>
        </w:tc>
      </w:tr>
    </w:tbl>
    <w:p>
      <w:pPr>
        <w:spacing w:after="180" w:before="40"/>
      </w:pPr>
      <w:r>
        <w:rPr>
          <w:i/>
          <w:iCs/>
          <w:color w:val="595959"/>
          <w:sz w:val="18"/>
          <w:szCs w:val="18"/>
        </w:rPr>
        <w:t xml:space="preserve">Tabela 4. Comparação direta entre as duas implementações disponíveis em R.</w:t>
      </w:r>
    </w:p>
    <w:p>
      <w:pPr>
        <w:pBdr>
          <w:top w:val="single" w:color="F0E2C6" w:sz="2" w:space="4"/>
          <w:left w:val="single" w:color="D9A441" w:sz="18" w:space="8"/>
          <w:bottom w:val="single" w:color="F0E2C6" w:sz="2" w:space="4"/>
          <w:right w:val="single" w:color="F0E2C6" w:sz="2" w:space="4"/>
        </w:pBdr>
        <w:shd w:fill="FBF3E4" w:val="clear"/>
        <w:spacing w:after="160" w:before="140" w:line="276"/>
        <w:jc w:val="both"/>
      </w:pPr>
      <w:r>
        <w:rPr>
          <w:b/>
          <w:bCs/>
          <w:color w:val="C00000"/>
          <w:sz w:val="20"/>
          <w:szCs w:val="20"/>
        </w:rPr>
        <w:t xml:space="preserve">RECOMENDAÇÃO  </w:t>
      </w:r>
      <w:r>
        <w:t xml:space="preserve">Para aplicar o DB-SRA como avaliação de estoque — obter K, Bmsy, Fmsy, MSY e o limite de sobrepesca para um estoque real a partir de captura e conhecimento biológico —, use </w:t>
      </w:r>
      <w:r>
        <w:rPr>
          <w:b/>
          <w:bCs/>
        </w:rPr>
        <w:t xml:space="preserve">fishmethods::dbsra</w:t>
      </w:r>
      <w:r>
        <w:t xml:space="preserve">. É a implementação fiel ao artigo original, com controle completo sobre os quatro parâmetros de entrada e saída no formato de distribuições posteriores. O </w:t>
      </w:r>
      <w:r>
        <w:rPr>
          <w:rFonts w:ascii="Consolas" w:cs="Consolas" w:eastAsia="Consolas" w:hAnsi="Consolas"/>
          <w:sz w:val="20"/>
          <w:szCs w:val="20"/>
        </w:rPr>
        <w:t xml:space="preserve">DBSRA()</w:t>
      </w:r>
      <w:r>
        <w:t xml:space="preserve"> do DLMtool só faz sentido se o objetivo for testar essa regra de manejo dentro de uma simulação MSE mais ampla, comparando-a com outras MPs sob cenários de incerteza estrutural simulados — não é o seu caso aqui.</w:t>
      </w:r>
    </w:p>
    <w:p>
      <w:pPr>
        <w:pStyle w:val="Heading1"/>
        <w:pBdr>
          <w:bottom w:val="single" w:color="BFCFE3" w:sz="6" w:space="6"/>
        </w:pBdr>
        <w:spacing w:after="180" w:before="400"/>
      </w:pPr>
      <w:r>
        <w:rPr>
          <w:rFonts w:ascii="Calibri" w:cs="Calibri" w:eastAsia="Calibri" w:hAnsi="Calibri"/>
          <w:b/>
          <w:bCs/>
          <w:color w:val="1F4E79"/>
          <w:sz w:val="30"/>
          <w:szCs w:val="30"/>
        </w:rPr>
        <w:t xml:space="preserve">7. Como aplicar fishmethods::dbsra na prática</w:t>
      </w:r>
    </w:p>
    <w:p>
      <w:pPr>
        <w:spacing w:after="140" w:line="276"/>
        <w:jc w:val="both"/>
      </w:pPr>
      <w:r>
        <w:t xml:space="preserve">A estrutura de chamada da função segue de perto os quatro parâmetros de entrada descritos na Seção 3, cada um passado como uma lista com a distribuição escolhida e seus limites:</w:t>
      </w:r>
    </w:p>
    <w:p>
      <w:pPr>
        <w:spacing w:after="0" w:line="240"/>
        <w:jc w:val="left"/>
      </w:pPr>
      <w:r>
        <w:rPr>
          <w:rFonts w:ascii="Consolas" w:cs="Consolas" w:eastAsia="Consolas" w:hAnsi="Consolas"/>
          <w:sz w:val="17"/>
          <w:szCs w:val="17"/>
        </w:rPr>
        <w:t xml:space="preserve">library(fishmethods)</w:t>
      </w:r>
    </w:p>
    <w:p>
      <w:pPr>
        <w:spacing w:after="0" w:line="240"/>
        <w:jc w:val="left"/>
      </w:pPr>
      <w:r>
        <w:rPr>
          <w:rFonts w:ascii="Consolas" w:cs="Consolas" w:eastAsia="Consolas" w:hAnsi="Consolas"/>
          <w:sz w:val="17"/>
          <w:szCs w:val="17"/>
        </w:rPr>
        <w:t xml:space="preserve"/>
      </w:r>
    </w:p>
    <w:p>
      <w:pPr>
        <w:spacing w:after="0" w:line="240"/>
        <w:jc w:val="left"/>
      </w:pPr>
      <w:r>
        <w:rPr>
          <w:rFonts w:ascii="Consolas" w:cs="Consolas" w:eastAsia="Consolas" w:hAnsi="Consolas"/>
          <w:sz w:val="17"/>
          <w:szCs w:val="17"/>
        </w:rPr>
        <w:t xml:space="preserve">resultado &lt;- dbsra(</w:t>
      </w:r>
    </w:p>
    <w:p>
      <w:pPr>
        <w:spacing w:after="0" w:line="240"/>
        <w:jc w:val="left"/>
      </w:pPr>
      <w:r>
        <w:rPr>
          <w:rFonts w:ascii="Consolas" w:cs="Consolas" w:eastAsia="Consolas" w:hAnsi="Consolas"/>
          <w:sz w:val="17"/>
          <w:szCs w:val="17"/>
        </w:rPr>
        <w:t xml:space="preserve">  year    = 1995:2023,                 # anos da série de captura</w:t>
      </w:r>
    </w:p>
    <w:p>
      <w:pPr>
        <w:spacing w:after="0" w:line="240"/>
        <w:jc w:val="left"/>
      </w:pPr>
      <w:r>
        <w:rPr>
          <w:rFonts w:ascii="Consolas" w:cs="Consolas" w:eastAsia="Consolas" w:hAnsi="Consolas"/>
          <w:sz w:val="17"/>
          <w:szCs w:val="17"/>
        </w:rPr>
        <w:t xml:space="preserve">  catch   = vetor_de_captura,          # captura anual, mesma unidade de K</w:t>
      </w:r>
    </w:p>
    <w:p>
      <w:pPr>
        <w:spacing w:after="0" w:line="240"/>
        <w:jc w:val="left"/>
      </w:pPr>
      <w:r>
        <w:rPr>
          <w:rFonts w:ascii="Consolas" w:cs="Consolas" w:eastAsia="Consolas" w:hAnsi="Consolas"/>
          <w:sz w:val="17"/>
          <w:szCs w:val="17"/>
        </w:rPr>
        <w:t xml:space="preserve">  agemat  = 3,                         # idade de maturação (defasagem "a")</w:t>
      </w:r>
    </w:p>
    <w:p>
      <w:pPr>
        <w:spacing w:after="0" w:line="240"/>
        <w:jc w:val="left"/>
      </w:pPr>
      <w:r>
        <w:rPr>
          <w:rFonts w:ascii="Consolas" w:cs="Consolas" w:eastAsia="Consolas" w:hAnsi="Consolas"/>
          <w:sz w:val="17"/>
          <w:szCs w:val="17"/>
        </w:rPr>
        <w:t xml:space="preserve">  k       = list(low = 1000, up = 100000, tol = 0.01, permax = 1000),</w:t>
      </w:r>
    </w:p>
    <w:p>
      <w:pPr>
        <w:spacing w:after="0" w:line="240"/>
        <w:jc w:val="left"/>
      </w:pPr>
      <w:r>
        <w:rPr>
          <w:rFonts w:ascii="Consolas" w:cs="Consolas" w:eastAsia="Consolas" w:hAnsi="Consolas"/>
          <w:sz w:val="17"/>
          <w:szCs w:val="17"/>
        </w:rPr>
        <w:t xml:space="preserve">  b1k     = list(dist = "unif", low = 0.9, up = 1, mean = 1, sd = 0),</w:t>
      </w:r>
    </w:p>
    <w:p>
      <w:pPr>
        <w:spacing w:after="0" w:line="240"/>
        <w:jc w:val="left"/>
      </w:pPr>
      <w:r>
        <w:rPr>
          <w:rFonts w:ascii="Consolas" w:cs="Consolas" w:eastAsia="Consolas" w:hAnsi="Consolas"/>
          <w:sz w:val="17"/>
          <w:szCs w:val="17"/>
        </w:rPr>
        <w:t xml:space="preserve">  btk     = list(dist = "beta", low = 0.05, up = 0.6,</w:t>
      </w:r>
    </w:p>
    <w:p>
      <w:pPr>
        <w:spacing w:after="0" w:line="240"/>
        <w:jc w:val="left"/>
      </w:pPr>
      <w:r>
        <w:rPr>
          <w:rFonts w:ascii="Consolas" w:cs="Consolas" w:eastAsia="Consolas" w:hAnsi="Consolas"/>
          <w:sz w:val="17"/>
          <w:szCs w:val="17"/>
        </w:rPr>
        <w:t xml:space="preserve">                 mean = 0.3, sd = 0.1, refyr = 2023),</w:t>
      </w:r>
    </w:p>
    <w:p>
      <w:pPr>
        <w:spacing w:after="0" w:line="240"/>
        <w:jc w:val="left"/>
      </w:pPr>
      <w:r>
        <w:rPr>
          <w:rFonts w:ascii="Consolas" w:cs="Consolas" w:eastAsia="Consolas" w:hAnsi="Consolas"/>
          <w:sz w:val="17"/>
          <w:szCs w:val="17"/>
        </w:rPr>
        <w:t xml:space="preserve">  fmsym   = list(dist = "lnorm", low = 0.4, up = 1.5, mean = 0.8, sd = 0.2),</w:t>
      </w:r>
    </w:p>
    <w:p>
      <w:pPr>
        <w:spacing w:after="0" w:line="240"/>
        <w:jc w:val="left"/>
      </w:pPr>
      <w:r>
        <w:rPr>
          <w:rFonts w:ascii="Consolas" w:cs="Consolas" w:eastAsia="Consolas" w:hAnsi="Consolas"/>
          <w:sz w:val="17"/>
          <w:szCs w:val="17"/>
        </w:rPr>
        <w:t xml:space="preserve">  bmsyk   = list(dist = "beta", low = 0.05, up = 0.95, mean = 0.4, sd = 0.05),</w:t>
      </w:r>
    </w:p>
    <w:p>
      <w:pPr>
        <w:spacing w:after="0" w:line="240"/>
        <w:jc w:val="left"/>
      </w:pPr>
      <w:r>
        <w:rPr>
          <w:rFonts w:ascii="Consolas" w:cs="Consolas" w:eastAsia="Consolas" w:hAnsi="Consolas"/>
          <w:sz w:val="17"/>
          <w:szCs w:val="17"/>
        </w:rPr>
        <w:t xml:space="preserve">  M       = list(dist = "lnorm", low = 0.05, up = 0.6, mean = 0.2, sd = 0.4),</w:t>
      </w:r>
    </w:p>
    <w:p>
      <w:pPr>
        <w:spacing w:after="0" w:line="240"/>
        <w:jc w:val="left"/>
      </w:pPr>
      <w:r>
        <w:rPr>
          <w:rFonts w:ascii="Consolas" w:cs="Consolas" w:eastAsia="Consolas" w:hAnsi="Consolas"/>
          <w:sz w:val="17"/>
          <w:szCs w:val="17"/>
        </w:rPr>
        <w:t xml:space="preserve">  nsims   = 10000</w:t>
      </w:r>
    </w:p>
    <w:p>
      <w:pPr>
        <w:spacing w:after="0" w:line="240"/>
        <w:jc w:val="left"/>
      </w:pPr>
      <w:r>
        <w:rPr>
          <w:rFonts w:ascii="Consolas" w:cs="Consolas" w:eastAsia="Consolas" w:hAnsi="Consolas"/>
          <w:sz w:val="17"/>
          <w:szCs w:val="17"/>
        </w:rPr>
        <w:t xml:space="preserve">)</w:t>
      </w:r>
    </w:p>
    <w:p>
      <w:pPr>
        <w:spacing w:after="0" w:line="240"/>
        <w:jc w:val="left"/>
      </w:pPr>
      <w:r>
        <w:rPr>
          <w:rFonts w:ascii="Consolas" w:cs="Consolas" w:eastAsia="Consolas" w:hAnsi="Consolas"/>
          <w:sz w:val="17"/>
          <w:szCs w:val="17"/>
        </w:rPr>
        <w:t xml:space="preserve"/>
      </w:r>
    </w:p>
    <w:p>
      <w:pPr>
        <w:spacing w:after="0" w:line="240"/>
        <w:jc w:val="left"/>
      </w:pPr>
      <w:r>
        <w:rPr>
          <w:rFonts w:ascii="Consolas" w:cs="Consolas" w:eastAsia="Consolas" w:hAnsi="Consolas"/>
          <w:sz w:val="17"/>
          <w:szCs w:val="17"/>
        </w:rPr>
        <w:t xml:space="preserve">resultado$Estimates   # quantis de MSY, Bmsy, Fmsy, Cmsy (OFL), K</w:t>
      </w:r>
    </w:p>
    <w:p>
      <w:pPr>
        <w:spacing w:after="0" w:line="240"/>
        <w:jc w:val="left"/>
      </w:pPr>
      <w:r>
        <w:rPr>
          <w:rFonts w:ascii="Consolas" w:cs="Consolas" w:eastAsia="Consolas" w:hAnsi="Consolas"/>
          <w:sz w:val="17"/>
          <w:szCs w:val="17"/>
        </w:rPr>
        <w:t xml:space="preserve">resultado$Parameters  # quantis dos parâmetros aceitos (M, Fmsy/M, Bmsy/k, Bt/k)</w:t>
      </w:r>
    </w:p>
    <w:p>
      <w:pPr>
        <w:spacing w:after="180" w:before="40"/>
      </w:pPr>
      <w:r>
        <w:rPr>
          <w:i/>
          <w:iCs/>
          <w:color w:val="595959"/>
          <w:sz w:val="18"/>
          <w:szCs w:val="18"/>
        </w:rPr>
        <w:t xml:space="preserve">Esboço de chamada. Nomes de argumentos conferem com a assinatura publicada da função; ajustar limites e médias ao conhecimento biológico real da espécie antes de rodar.</w:t>
      </w:r>
    </w:p>
    <w:p>
      <w:pPr>
        <w:pStyle w:val="ListParagraph"/>
        <w:numPr>
          <w:ilvl w:val="0"/>
          <w:numId w:val="3"/>
        </w:numPr>
        <w:spacing w:after="80" w:line="268"/>
        <w:jc w:val="both"/>
      </w:pPr>
      <w:r>
        <w:rPr>
          <w:b/>
          <w:bCs/>
        </w:rPr>
        <w:t xml:space="preserve">b1k</w:t>
      </w:r>
      <w:r>
        <w:t xml:space="preserve"> define a depleção no primeiro ano da série (em geral próxima de 1, assumindo início não explorado); </w:t>
      </w:r>
      <w:r>
        <w:rPr>
          <w:b/>
          <w:bCs/>
        </w:rPr>
        <w:t xml:space="preserve">btk</w:t>
      </w:r>
      <w:r>
        <w:t xml:space="preserve"> é a depleção no ano de referência recente T — o parâmetro mais sensível (Seção 3) — e exige </w:t>
      </w:r>
      <w:r>
        <w:rPr>
          <w:rFonts w:ascii="Consolas" w:cs="Consolas" w:eastAsia="Consolas" w:hAnsi="Consolas"/>
          <w:sz w:val="20"/>
          <w:szCs w:val="20"/>
        </w:rPr>
        <w:t xml:space="preserve">refyr</w:t>
      </w:r>
      <w:r>
        <w:t xml:space="preserve"> explícito quando esse ano não é o último da série.</w:t>
      </w:r>
    </w:p>
    <w:p>
      <w:pPr>
        <w:pStyle w:val="ListParagraph"/>
        <w:numPr>
          <w:ilvl w:val="0"/>
          <w:numId w:val="3"/>
        </w:numPr>
        <w:spacing w:after="80" w:line="268"/>
        <w:jc w:val="both"/>
      </w:pPr>
      <w:r>
        <w:rPr>
          <w:b/>
          <w:bCs/>
        </w:rPr>
        <w:t xml:space="preserve">k</w:t>
      </w:r>
      <w:r>
        <w:t xml:space="preserve"> não recebe uma distribuição de probabilidade, mas sim limites de busca (</w:t>
      </w:r>
      <w:r>
        <w:rPr>
          <w:rFonts w:ascii="Consolas" w:cs="Consolas" w:eastAsia="Consolas" w:hAnsi="Consolas"/>
          <w:sz w:val="20"/>
          <w:szCs w:val="20"/>
        </w:rPr>
        <w:t xml:space="preserve">low</w:t>
      </w:r>
      <w:r>
        <w:t xml:space="preserve">/</w:t>
      </w:r>
      <w:r>
        <w:rPr>
          <w:rFonts w:ascii="Consolas" w:cs="Consolas" w:eastAsia="Consolas" w:hAnsi="Consolas"/>
          <w:sz w:val="20"/>
          <w:szCs w:val="20"/>
        </w:rPr>
        <w:t xml:space="preserve">up</w:t>
      </w:r>
      <w:r>
        <w:t xml:space="preserve">) para a solução numérica iterativa — é o parâmetro que a própria função resolve, não um input sorteado.</w:t>
      </w:r>
    </w:p>
    <w:p>
      <w:pPr>
        <w:pStyle w:val="ListParagraph"/>
        <w:numPr>
          <w:ilvl w:val="0"/>
          <w:numId w:val="3"/>
        </w:numPr>
        <w:spacing w:after="80" w:line="268"/>
        <w:jc w:val="both"/>
      </w:pPr>
      <w:r>
        <w:t xml:space="preserve">É essencial rodar o modelo sob </w:t>
      </w:r>
      <w:r>
        <w:rPr>
          <w:b/>
          <w:bCs/>
        </w:rPr>
        <w:t xml:space="preserve">mais de um cenário de BT/K</w:t>
      </w:r>
      <w:r>
        <w:t xml:space="preserve"> (ex.: 0,2 / 0,3 / 0,4) e reportar como MSY e o limite de sobrepesca mudam — a análise de sensibilidade a esse parâmetro é parte do resultado, não uma etapa opcional.</w:t>
      </w:r>
    </w:p>
    <w:p>
      <w:pPr>
        <w:pStyle w:val="ListParagraph"/>
        <w:numPr>
          <w:ilvl w:val="0"/>
          <w:numId w:val="3"/>
        </w:numPr>
        <w:spacing w:after="80" w:line="268"/>
        <w:jc w:val="both"/>
      </w:pPr>
      <w:r>
        <w:t xml:space="preserve">Verificar sempre a taxa de rejeição de trajetórias (</w:t>
      </w:r>
      <w:r>
        <w:rPr>
          <w:rFonts w:ascii="Consolas" w:cs="Consolas" w:eastAsia="Consolas" w:hAnsi="Consolas"/>
          <w:sz w:val="20"/>
          <w:szCs w:val="20"/>
        </w:rPr>
        <w:t xml:space="preserve">resultado$Initial</w:t>
      </w:r>
      <w:r>
        <w:t xml:space="preserve"> vs. </w:t>
      </w:r>
      <w:r>
        <w:rPr>
          <w:rFonts w:ascii="Consolas" w:cs="Consolas" w:eastAsia="Consolas" w:hAnsi="Consolas"/>
          <w:sz w:val="20"/>
          <w:szCs w:val="20"/>
        </w:rPr>
        <w:t xml:space="preserve">resultado$Parameters</w:t>
      </w:r>
      <w:r>
        <w:t xml:space="preserve"> — quantas combinações sorteadas foram descartadas por gerar biomassa negativa): uma taxa muito baixa pode indicar que os limites dos priors estão pouco informativos; uma taxa muito alta, que a combinação de parâmetros é pouco compatível com a história de captura observada.</w:t>
      </w:r>
    </w:p>
    <w:p>
      <w:pPr>
        <w:pStyle w:val="Heading1"/>
        <w:pBdr>
          <w:bottom w:val="single" w:color="BFCFE3" w:sz="6" w:space="6"/>
        </w:pBdr>
        <w:spacing w:after="180" w:before="400"/>
      </w:pPr>
      <w:r>
        <w:rPr>
          <w:rFonts w:ascii="Calibri" w:cs="Calibri" w:eastAsia="Calibri" w:hAnsi="Calibri"/>
          <w:b/>
          <w:bCs/>
          <w:color w:val="1F4E79"/>
          <w:sz w:val="30"/>
          <w:szCs w:val="30"/>
        </w:rPr>
        <w:t xml:space="preserve">Referências</w:t>
      </w:r>
    </w:p>
    <w:p>
      <w:pPr>
        <w:spacing w:after="120" w:line="264"/>
        <w:ind w:left="400" w:hanging="400"/>
        <w:jc w:val="left"/>
      </w:pPr>
      <w:r>
        <w:t xml:space="preserve">Dick, E.J.; MacCall, A.D. (2011). Depletion-Based Stock Reduction Analysis: A catch-based method for determining sustainable yields for data-poor fish stocks. </w:t>
      </w:r>
      <w:r>
        <w:rPr>
          <w:i/>
          <w:iCs/>
        </w:rPr>
        <w:t xml:space="preserve">Fisheries Research</w:t>
      </w:r>
      <w:r>
        <w:t xml:space="preserve">, 110, 331–341. — Artigo original do método, incluindo derivação da função de produção híbrida (Apêndice A) e algoritmo passo a passo (Apêndice B).</w:t>
      </w:r>
    </w:p>
    <w:p>
      <w:pPr>
        <w:spacing w:after="120" w:line="264"/>
        <w:ind w:left="400" w:hanging="400"/>
        <w:jc w:val="left"/>
      </w:pPr>
      <w:r>
        <w:t xml:space="preserve">Kimura, D.K.; Balsiger, J.W.; Ito, D.H. (1984). Generalized stock reduction analysis. </w:t>
      </w:r>
      <w:r>
        <w:rPr>
          <w:i/>
          <w:iCs/>
        </w:rPr>
        <w:t xml:space="preserve">Canadian Journal of Fisheries and Aquatic Sciences</w:t>
      </w:r>
      <w:r>
        <w:t xml:space="preserve">, 41, 1325–1333. — Origem da abordagem de Stock Reduction Analysis (SRA).</w:t>
      </w:r>
    </w:p>
    <w:p>
      <w:pPr>
        <w:spacing w:after="120" w:line="264"/>
        <w:ind w:left="400" w:hanging="400"/>
        <w:jc w:val="left"/>
      </w:pPr>
      <w:r>
        <w:t xml:space="preserve">Walters, C.J.; Martell, S.J.D.; Korman, J. (2006). A stochastic approach to stock reduction analysis. </w:t>
      </w:r>
      <w:r>
        <w:rPr>
          <w:i/>
          <w:iCs/>
        </w:rPr>
        <w:t xml:space="preserve">Canadian Journal of Fisheries and Aquatic Sciences</w:t>
      </w:r>
      <w:r>
        <w:t xml:space="preserve">, 63, 212–223. — Versão estocástica da SRA que fundamenta a abordagem Monte Carlo do DB-SRA.</w:t>
      </w:r>
    </w:p>
    <w:p>
      <w:pPr>
        <w:spacing w:after="120" w:line="264"/>
        <w:ind w:left="400" w:hanging="400"/>
        <w:jc w:val="left"/>
      </w:pPr>
      <w:r>
        <w:t xml:space="preserve">MacCall, A.D. (2009). Depletion-corrected average catch: a simple formula for estimating sustainable yields in data-poor situations. </w:t>
      </w:r>
      <w:r>
        <w:rPr>
          <w:i/>
          <w:iCs/>
        </w:rPr>
        <w:t xml:space="preserve">ICES Journal of Marine Science</w:t>
      </w:r>
      <w:r>
        <w:t xml:space="preserve">, 66, 2267–2271. — Origem do componente DCAC combinado no DB-SRA.</w:t>
      </w:r>
    </w:p>
    <w:p>
      <w:pPr>
        <w:spacing w:after="120" w:line="264"/>
        <w:ind w:left="400" w:hanging="400"/>
        <w:jc w:val="left"/>
      </w:pPr>
      <w:r>
        <w:t xml:space="preserve">Fletcher, R.I. (1978). On the restructuring of the Pella-Tomlinson system. </w:t>
      </w:r>
      <w:r>
        <w:rPr>
          <w:i/>
          <w:iCs/>
        </w:rPr>
        <w:t xml:space="preserve">Fishery Bulletin</w:t>
      </w:r>
      <w:r>
        <w:t xml:space="preserve">, 76(3), 515–521. — Reparametrização do modelo de Pella-Tomlinson usada como base da função de produção do DB-SRA.</w:t>
      </w:r>
    </w:p>
    <w:p>
      <w:pPr>
        <w:spacing w:after="120" w:line="264"/>
        <w:ind w:left="400" w:hanging="400"/>
        <w:jc w:val="left"/>
      </w:pPr>
      <w:r>
        <w:t xml:space="preserve">Walters, C.J.; Martell, S.J.D. (2004). </w:t>
      </w:r>
      <w:r>
        <w:rPr>
          <w:i/>
          <w:iCs/>
        </w:rPr>
        <w:t xml:space="preserve">Fisheries Ecology and Management</w:t>
      </w:r>
      <w:r>
        <w:t xml:space="preserve">. Princeton University Press. — Fonte da distribuição assumida para Fmsy/M em peixes demersais.</w:t>
      </w:r>
    </w:p>
    <w:p>
      <w:pPr>
        <w:spacing w:after="120" w:line="264"/>
        <w:ind w:left="400" w:hanging="400"/>
        <w:jc w:val="left"/>
      </w:pPr>
      <w:r>
        <w:t xml:space="preserve">Nelson, G.A. fishmethods: Fishery Science Methods and Models. Pacote R disponível no CRAN. https://cran.r-project.org/package=fishmethods — Implementação de dbsra() usada neste guia.</w:t>
      </w:r>
    </w:p>
    <w:p>
      <w:pPr>
        <w:spacing w:after="120" w:line="264"/>
        <w:ind w:left="400" w:hanging="400"/>
        <w:jc w:val="left"/>
      </w:pPr>
      <w:r>
        <w:t xml:space="preserve">Carruthers, T.; Hordyk, A. </w:t>
      </w:r>
      <w:r>
        <w:rPr>
          <w:i/>
          <w:iCs/>
        </w:rPr>
        <w:t xml:space="preserve">et al.</w:t>
      </w:r>
      <w:r>
        <w:t xml:space="preserve"> DLMtool: Data-Limited Methods Toolkit / openMSE. Pacote R disponível no CRAN. https://dlmtool.github.io/DLMtool/ — Implementação de DBSRA() como procedimento de manejo dentro de simulações MSE.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DB-SRA — Guia didático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2026-09-09T16:08:29.203Z</dcterms:created>
  <dcterms:modified xsi:type="dcterms:W3CDTF">2026-09-09T16:08:29.204Z</dcterms:modified>
</cp:coreProperties>
</file>

<file path=docProps/custom.xml><?xml version="1.0" encoding="utf-8"?>
<Properties xmlns="http://schemas.openxmlformats.org/officeDocument/2006/custom-properties" xmlns:vt="http://schemas.openxmlformats.org/officeDocument/2006/docPropsVTypes"/>
</file>