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F4E79"/>
          <w:sz w:val="32"/>
          <w:szCs w:val="32"/>
        </w:rPr>
        <w:t xml:space="preserve">Padronização de CPUE: do básico ao avançado</w:t>
      </w:r>
    </w:p>
    <w:p>
      <w:pPr>
        <w:spacing w:after="60"/>
      </w:pPr>
      <w:r>
        <w:rPr>
          <w:rFonts w:ascii="Calibri" w:cs="Calibri" w:eastAsia="Calibri" w:hAnsi="Calibri"/>
          <w:color w:val="52514E"/>
          <w:sz w:val="21"/>
          <w:szCs w:val="21"/>
        </w:rPr>
        <w:t xml:space="preserve">Guia aplicado à cavala preta (Decapterus macarellus) de Cabo Verde</w:t>
      </w:r>
    </w:p>
    <w:p>
      <w:pPr>
        <w:pBdr>
          <w:bottom w:val="single" w:color="C0501B" w:sz="6" w:space="6"/>
        </w:pBdr>
        <w:spacing w:after="220"/>
      </w:pPr>
      <w:r>
        <w:rPr>
          <w:sz w:val="2"/>
          <w:szCs w:val="2"/>
        </w:rPr>
        <w:t xml:space="preserve"/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C0501B"/>
          <w:sz w:val="24"/>
          <w:szCs w:val="24"/>
        </w:rPr>
        <w:t xml:space="preserve">1. 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Por que a CPUE bruta engana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CPUE entra na avaliação de estoque como índice de abundância porque se assume uma relação simples entre o que se captura e o que existe no mar:</w:t>
      </w:r>
    </w:p>
    <w:p>
      <w:pPr>
        <w:spacing w:after="110" w:before="90"/>
        <w:jc w:val="center"/>
      </w:pPr>
      <w:r>
        <w:rPr>
          <w:rFonts w:ascii="Cambria" w:cs="Cambria" w:eastAsia="Cambria" w:hAnsi="Cambria"/>
          <w:i/>
          <w:iCs/>
          <w:color w:val="1A1A1A"/>
          <w:sz w:val="21"/>
          <w:szCs w:val="21"/>
        </w:rPr>
        <w:t xml:space="preserve">CPUE = C / f = q × B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onde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q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é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capturabilidade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a fração do estoque que uma unidade de esforço consegue capturar. O índice só é válido se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q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for constante ao longo da série. E ele não é: muda com o poder de pesca de cada barco, com a espécie que a viagem está mirando, com a ilha onde se pescou, com a estação do ano e com a tecnologia de busca. Sempre que um desses fatores muda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junto com o tempo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a variação de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q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entra no índice disfarçada de variação de abundância.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As duas formas em que isso aparece têm nome próprio. Na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hiperestabilidade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a CPUE cai menos que a biomassa e o estoque parece saudável enquanto encolhe. Na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hiperdepleção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a CPUE cai mais que a biomassa e o estoque parece colapsado sem estar. Nenhuma das duas é detectável olhando só para a série de CPUE.</w:t>
      </w:r>
    </w:p>
    <w:p>
      <w:pPr>
        <w:spacing w:after="40" w:before="13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2514E"/>
          <w:sz w:val="16"/>
          <w:szCs w:val="16"/>
        </w:rPr>
        <w:t xml:space="preserve">Figura 1. A CPUE observada é o produto da abundância pela capturabilidade (A). Quando q muda ao longo do tempo, a relação entre CPUE e biomassa deixa de ser proporcional (B).</w:t>
      </w:r>
    </w:p>
    <w:p>
      <w:pPr>
        <w:keepNext/>
        <w:spacing w:after="7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 armadilha clássica: padronizar o esforço por “poder de pesca”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caminho intuitivo é converter o esforço de cada barco por um índice de poder de pesca relativo a um barco padrão —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f</w:t>
      </w:r>
      <w:r>
        <w:rPr>
          <w:rFonts w:ascii="Calibri" w:cs="Calibri" w:eastAsia="Calibri" w:hAnsi="Calibri"/>
          <w:color w:val="1A1A1A"/>
          <w:sz w:val="20"/>
          <w:szCs w:val="20"/>
          <w:vertAlign w:val="subscript"/>
        </w:rPr>
        <w:t xml:space="preserve">s,i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=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f</w:t>
      </w:r>
      <w:r>
        <w:rPr>
          <w:rFonts w:ascii="Calibri" w:cs="Calibri" w:eastAsia="Calibri" w:hAnsi="Calibri"/>
          <w:color w:val="1A1A1A"/>
          <w:sz w:val="20"/>
          <w:szCs w:val="20"/>
          <w:vertAlign w:val="subscript"/>
        </w:rPr>
        <w:t xml:space="preserve">i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× (cpue</w:t>
      </w:r>
      <w:r>
        <w:rPr>
          <w:rFonts w:ascii="Calibri" w:cs="Calibri" w:eastAsia="Calibri" w:hAnsi="Calibri"/>
          <w:color w:val="1A1A1A"/>
          <w:sz w:val="20"/>
          <w:szCs w:val="20"/>
          <w:vertAlign w:val="subscript"/>
        </w:rPr>
        <w:t xml:space="preserve">i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/ cpue</w:t>
      </w:r>
      <w:r>
        <w:rPr>
          <w:rFonts w:ascii="Calibri" w:cs="Calibri" w:eastAsia="Calibri" w:hAnsi="Calibri"/>
          <w:color w:val="1A1A1A"/>
          <w:sz w:val="20"/>
          <w:szCs w:val="20"/>
          <w:vertAlign w:val="subscript"/>
        </w:rPr>
        <w:t xml:space="preserve">padrão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) — e somar tudo. Lima et al. (2000) mostraram algebricamente que esse procedimento devolve sempre</w:t>
      </w:r>
    </w:p>
    <w:p>
      <w:pPr>
        <w:spacing w:after="110" w:before="90"/>
        <w:jc w:val="center"/>
      </w:pPr>
      <w:r>
        <w:rPr>
          <w:rFonts w:ascii="Cambria" w:cs="Cambria" w:eastAsia="Cambria" w:hAnsi="Cambria"/>
          <w:i/>
          <w:iCs/>
          <w:color w:val="1A1A1A"/>
          <w:sz w:val="21"/>
          <w:szCs w:val="21"/>
        </w:rPr>
        <w:t xml:space="preserve">cpue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  <w:vertAlign w:val="subscript"/>
        </w:rPr>
        <w:t xml:space="preserve">total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</w:rPr>
        <w:t xml:space="preserve"> = Σ C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  <w:vertAlign w:val="subscript"/>
        </w:rPr>
        <w:t xml:space="preserve">i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</w:rPr>
        <w:t xml:space="preserve"> / Σ f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  <w:vertAlign w:val="subscript"/>
        </w:rPr>
        <w:t xml:space="preserve">s,i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</w:rPr>
        <w:t xml:space="preserve"> = C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  <w:vertAlign w:val="subscript"/>
        </w:rPr>
        <w:t xml:space="preserve">padrão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</w:rPr>
        <w:t xml:space="preserve"> / f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  <w:vertAlign w:val="subscript"/>
        </w:rPr>
        <w:t xml:space="preserve">padrão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</w:rPr>
        <w:t xml:space="preserve"> = cpue</w:t>
      </w:r>
      <w:r>
        <w:rPr>
          <w:rFonts w:ascii="Cambria" w:cs="Cambria" w:eastAsia="Cambria" w:hAnsi="Cambria"/>
          <w:i/>
          <w:iCs/>
          <w:color w:val="1A1A1A"/>
          <w:sz w:val="21"/>
          <w:szCs w:val="21"/>
          <w:vertAlign w:val="subscript"/>
        </w:rPr>
        <w:t xml:space="preserve">padrão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ou seja,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resultado é idêntico à CPUE do barco arbitrariamente escolhido como padrão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seja ele qual for. O método é circular e não carrega informação nenhuma. A rota correta é estatística: um modelo que estime todos os efeitos ao mesmo tempo.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C0501B"/>
          <w:sz w:val="24"/>
          <w:szCs w:val="24"/>
        </w:rPr>
        <w:t xml:space="preserve">2. 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 ideia central: o índice é o efeito de ano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Padronizar não é “corrigir” a CPUE. É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decompor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variação observada em parcelas atribuíveis a cada fator e chamar de índice a parcela que sobra para o ano. O ano entra no modelo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como fator categórico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e a série dos coeficientes anuais é o índice de abundância relativa (Hinton &amp; Maunder, 2003).</w:t>
      </w:r>
    </w:p>
    <w:p>
      <w:pPr>
        <w:keepNext/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Um exemplo com números mostra por que isso funciona. Duas ilhas, A (mais produtiva) e B; dentro de cada uma, a CPUE caiu exatamente 20% entre 2010 e 2015:</w:t>
      </w:r>
    </w:p>
    <w:tbl>
      <w:tblPr>
        <w:tblW w:type="dxa" w:w="9412"/>
        <w:tblBorders>
          <w:top w:val="single" w:color="C3C2B7" w:sz="2"/>
          <w:left w:val="single" w:color="C3C2B7" w:sz="2"/>
          <w:bottom w:val="single" w:color="C3C2B7" w:sz="2"/>
          <w:right w:val="single" w:color="C3C2B7" w:sz="2"/>
          <w:insideH w:val="single" w:color="C3C2B7" w:sz="2"/>
          <w:insideV w:val="single" w:color="C3C2B7" w:sz="2"/>
        </w:tblBorders>
      </w:tblPr>
      <w:tblGrid>
        <w:gridCol w:w="2900"/>
        <w:gridCol w:w="2100"/>
        <w:gridCol w:w="2100"/>
        <w:gridCol w:w="2312"/>
      </w:tblGrid>
      <w:tr>
        <w:trPr>
          <w:tblHeader/>
        </w:trPr>
        <w:tc>
          <w:tcPr>
            <w:tcW w:type="dxa" w:w="29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2010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2015</w:t>
            </w:r>
          </w:p>
        </w:tc>
        <w:tc>
          <w:tcPr>
            <w:tcW w:type="dxa" w:w="2312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variação dentro da ilha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Ilha A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10,0 t/dia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8,0 t/dia</w:t>
            </w:r>
          </w:p>
        </w:tc>
        <w:tc>
          <w:tcPr>
            <w:tcW w:type="dxa" w:w="23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−20%</w:t>
            </w:r>
          </w:p>
        </w:tc>
      </w:tr>
      <w:tr>
        <w:tc>
          <w:tcPr>
            <w:tcW w:type="dxa" w:w="2900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Ilha B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4,0 t/dia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3,2 t/dia</w:t>
            </w:r>
          </w:p>
        </w:tc>
        <w:tc>
          <w:tcPr>
            <w:tcW w:type="dxa" w:w="2312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−20%</w:t>
            </w:r>
          </w:p>
        </w:tc>
      </w:tr>
      <w:tr>
        <w:tc>
          <w:tcPr>
            <w:tcW w:type="dxa" w:w="29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Alocação dos dias de pesca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80% na ilha A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80% na ilha B</w:t>
            </w:r>
          </w:p>
        </w:tc>
        <w:tc>
          <w:tcPr>
            <w:tcW w:type="dxa" w:w="23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70" w:before="60"/>
        <w:jc w:val="left"/>
      </w:pPr>
      <w:r>
        <w:rPr>
          <w:rFonts w:ascii="Calibri" w:cs="Calibri" w:eastAsia="Calibri" w:hAnsi="Calibri"/>
          <w:i/>
          <w:iCs/>
          <w:color w:val="52514E"/>
          <w:sz w:val="16"/>
          <w:szCs w:val="16"/>
        </w:rPr>
        <w:t xml:space="preserve">Tabela 1. Dados do exemplo. A queda real é a mesma nas duas ilhas; só a distribuição do esforço mudou.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média da frota mistura as duas coisas:</w:t>
      </w:r>
    </w:p>
    <w:p>
      <w:pPr>
        <w:spacing w:after="110" w:before="90"/>
        <w:jc w:val="center"/>
      </w:pPr>
      <w:r>
        <w:rPr>
          <w:rFonts w:ascii="Cambria" w:cs="Cambria" w:eastAsia="Cambria" w:hAnsi="Cambria"/>
          <w:i/>
          <w:iCs/>
          <w:color w:val="1A1A1A"/>
          <w:sz w:val="21"/>
          <w:szCs w:val="21"/>
        </w:rPr>
        <w:t xml:space="preserve">2010:  0,8 × 10,0 + 0,2 × 4,0 = 8,80     2015:  0,2 × 8,0 + 0,8 × 3,2 = 4,16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que dá uma queda aparente de 53% — quase o triplo da real. Um modelo com ilha como fator compara anos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dentro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de cada ilha e devolve o efeito de ano correto (0,80). Nada foi inventado nem descartado: mudou só a pergunta feita aos dados, de “qual a média da frota?” para “quanto o ano desloca a CPUE, mantendo ilha, mês, barco e alvo fixos?”.</w:t>
      </w:r>
    </w:p>
    <w:p>
      <w:pPr>
        <w:spacing w:after="40" w:before="13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2514E"/>
          <w:sz w:val="16"/>
          <w:szCs w:val="16"/>
        </w:rPr>
        <w:t xml:space="preserve">Figura 2. O mesmo conjunto de dados lido de duas maneiras. A média da frota (nominal) confunde deslocamento de esforço com queda de abundância; o efeito de ano recupera a queda verdadeira.</w:t>
      </w:r>
    </w:p>
    <w:p>
      <w:pPr>
        <w:keepNext/>
        <w:spacing w:after="7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Duas regras que vêm junto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Cuidado com interações.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Interações com o ano invalidam o efeito de ano como índice (Hinton &amp; Maunder, 2003). Se forem necessárias, ou entram como efeito aleatório, ou o índice tem de ser uma média ponderada sobre elas. Oliveira &amp; Andrade (2019) testaram as três alternativas no espadarte e mostraram que a escolha muda a série e pode mudar o diagnóstico do estoque — vale rodar as três como análise de sensibilidade.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dilema das covariáveis.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Covariáveis de menos deixam a variação de q vazar para o ano; covariáveis demais absorvem parte do próprio sinal de abundância. Os dois erros enviesam o índice, em direções opostas.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C0501B"/>
          <w:sz w:val="24"/>
          <w:szCs w:val="24"/>
        </w:rPr>
        <w:t xml:space="preserve">3. 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 mecânica: montar, ajustar e extrair o índice</w:t>
      </w:r>
    </w:p>
    <w:p>
      <w:pPr>
        <w:keepNext/>
        <w:spacing w:after="7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Estrutura do modelo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Modela-se a captura com o esforço entrando como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offset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o que equivale a modelar a taxa:</w:t>
      </w:r>
    </w:p>
    <w:p>
      <w:pPr>
        <w:spacing w:after="110" w:before="90"/>
        <w:jc w:val="center"/>
      </w:pPr>
      <w:r>
        <w:rPr>
          <w:rFonts w:ascii="Cambria" w:cs="Cambria" w:eastAsia="Cambria" w:hAnsi="Cambria"/>
          <w:i/>
          <w:iCs/>
          <w:color w:val="1A1A1A"/>
          <w:sz w:val="21"/>
          <w:szCs w:val="21"/>
        </w:rPr>
        <w:t xml:space="preserve">log( captura esperada ) = μ + ano + mês + ilha + barco + alvo + log(esforço)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termo log(esforço) entra com coeficiente fixado em 1 — é isso que transforma “captura” em “captura por unidade de esforço” dentro do modelo, sem precisar calcular a razão antes e perder a estrutura de erro. Cada um dos demais termos é um fator: o modelo estima quanto cada ilha, cada mês, cada barco e cada tática deslocam a taxa de captura, e o que sobra para o ano é o índice.</w:t>
      </w:r>
    </w:p>
    <w:p>
      <w:pPr>
        <w:keepNext/>
        <w:spacing w:after="7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Distribuição do erro e o problema dos zeros</w:t>
      </w:r>
    </w:p>
    <w:tbl>
      <w:tblPr>
        <w:tblW w:type="dxa" w:w="9412"/>
        <w:tblBorders>
          <w:top w:val="single" w:color="C3C2B7" w:sz="2"/>
          <w:left w:val="single" w:color="C3C2B7" w:sz="2"/>
          <w:bottom w:val="single" w:color="C3C2B7" w:sz="2"/>
          <w:right w:val="single" w:color="C3C2B7" w:sz="2"/>
          <w:insideH w:val="single" w:color="C3C2B7" w:sz="2"/>
          <w:insideV w:val="single" w:color="C3C2B7" w:sz="2"/>
        </w:tblBorders>
      </w:tblPr>
      <w:tblGrid>
        <w:gridCol w:w="4200"/>
        <w:gridCol w:w="5212"/>
      </w:tblGrid>
      <w:tr>
        <w:trPr>
          <w:tblHeader/>
        </w:trPr>
        <w:tc>
          <w:tcPr>
            <w:tcW w:type="dxa" w:w="42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Situação dos dados</w:t>
            </w:r>
          </w:p>
        </w:tc>
        <w:tc>
          <w:tcPr>
            <w:tcW w:type="dxa" w:w="5212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Escolha adequada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CPUE positiva, poucos ou nenhum zero</w:t>
            </w:r>
          </w:p>
        </w:tc>
        <w:tc>
          <w:tcPr>
            <w:tcW w:type="dxa" w:w="5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lognormal (ajusta ln CPUE) ou Gamma com ligação log</w:t>
            </w:r>
          </w:p>
        </w:tc>
      </w:tr>
      <w:tr>
        <w:tc>
          <w:tcPr>
            <w:tcW w:type="dxa" w:w="4200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Resposta contínua (t) com muitos zeros</w:t>
            </w:r>
          </w:p>
        </w:tc>
        <w:tc>
          <w:tcPr>
            <w:tcW w:type="dxa" w:w="5212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delta-lognormal (dois componentes) ou Tweedie (1 &lt; p &lt; 2)</w:t>
            </w:r>
          </w:p>
        </w:tc>
      </w:tr>
      <w:tr>
        <w:tc>
          <w:tcPr>
            <w:tcW w:type="dxa" w:w="4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Resposta é contagem de peixes</w:t>
            </w:r>
          </w:p>
        </w:tc>
        <w:tc>
          <w:tcPr>
            <w:tcW w:type="dxa" w:w="5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Poisson e, havendo sobredispersão, binomial negativa</w:t>
            </w:r>
          </w:p>
        </w:tc>
      </w:tr>
    </w:tbl>
    <w:p>
      <w:pPr>
        <w:spacing w:after="170" w:before="60"/>
        <w:jc w:val="left"/>
      </w:pPr>
      <w:r>
        <w:rPr>
          <w:rFonts w:ascii="Calibri" w:cs="Calibri" w:eastAsia="Calibri" w:hAnsi="Calibri"/>
          <w:i/>
          <w:iCs/>
          <w:color w:val="52514E"/>
          <w:sz w:val="16"/>
          <w:szCs w:val="16"/>
        </w:rPr>
        <w:t xml:space="preserve">Tabela 2. Regra prática antes de decidir: plote o histograma da CPUE e o de ln(CPUE). Se o segundo for aproximadamente simétrico, a hipótese lognormal se sustenta.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Há três saídas comuns e ruins para os zeros: colapsar estratos até eles sumirem, somar uma constante antes de logaritmizar, e simplesmente excluí-los. As três enviesam o efeito de ano. A saída correta é o modelo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delta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um componente binomial para a probabilidade de haver captura e um lognormal para a magnitude quando há — ou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Tweedie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que faz as duas coisas num modelo só. No cerco multiespecífico isso é decisivo: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uma viagem com zero de cavala e 3 t de Auxis não é ausência de cavala, é direcionamento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keepNext/>
        <w:spacing w:after="7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Extraindo o índice do modelo ajustado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Monte um conjunto de predição com uma linha por ano e todas as demais covariáveis fixadas na moda (categóricas) ou na mediana (contínuas).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Prediga com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predict()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; no lognormal, retrotransforme com a correção de viés exp(σ²/2).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 modelo delta, o índice do ano é o produto dos dois componentes: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(1 − w) × (y | y &gt; 0)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proporção de viagens com captura vezes captura média quando há captura (Sant'Ana et al., 2020).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Normalize a série para média 1 — é a convenção de entrada em JABBA, e deixa o modelo estimar q livremente.</w:t>
      </w:r>
    </w:p>
    <w:p>
      <w:pPr>
        <w:pStyle w:val="ListParagraph"/>
        <w:numPr>
          <w:ilvl w:val="0"/>
          <w:numId w:val="3"/>
        </w:numPr>
        <w:spacing w:after="6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Obtenha o CV anual com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predict(..., type="terms", se.fit=TRUE)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tomando o erro-padrão do termo de ano.</w:t>
      </w:r>
    </w:p>
    <w:p>
      <w:pPr>
        <w:spacing w:after="40" w:before="130"/>
        <w:jc w:val="center"/>
      </w:pPr>
      <w:r>
        <w:drawing>
          <wp:inline distT="0" distB="0" distL="0" distR="0">
            <wp:extent cx="5715000" cy="1885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2514E"/>
          <w:sz w:val="16"/>
          <w:szCs w:val="16"/>
        </w:rPr>
        <w:t xml:space="preserve">Figura 3. O fluxo completo de uma padronização de CPUE.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C0501B"/>
          <w:sz w:val="24"/>
          <w:szCs w:val="24"/>
        </w:rPr>
        <w:t xml:space="preserve">4. 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A escada de complexidade</w:t>
      </w:r>
    </w:p>
    <w:tbl>
      <w:tblPr>
        <w:tblW w:type="dxa" w:w="9412"/>
        <w:tblBorders>
          <w:top w:val="single" w:color="C3C2B7" w:sz="2"/>
          <w:left w:val="single" w:color="C3C2B7" w:sz="2"/>
          <w:bottom w:val="single" w:color="C3C2B7" w:sz="2"/>
          <w:right w:val="single" w:color="C3C2B7" w:sz="2"/>
          <w:insideH w:val="single" w:color="C3C2B7" w:sz="2"/>
          <w:insideV w:val="single" w:color="C3C2B7" w:sz="2"/>
        </w:tblBorders>
      </w:tblPr>
      <w:tblGrid>
        <w:gridCol w:w="2200"/>
        <w:gridCol w:w="4000"/>
        <w:gridCol w:w="3212"/>
      </w:tblGrid>
      <w:tr>
        <w:trPr>
          <w:tblHeader/>
        </w:trPr>
        <w:tc>
          <w:tcPr>
            <w:tcW w:type="dxa" w:w="22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Modelo</w:t>
            </w:r>
          </w:p>
        </w:tc>
        <w:tc>
          <w:tcPr>
            <w:tcW w:type="dxa" w:w="40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acrescenta</w:t>
            </w:r>
          </w:p>
        </w:tc>
        <w:tc>
          <w:tcPr>
            <w:tcW w:type="dxa" w:w="3212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exige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GLM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efeitos fixos e offset do esforço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dado por viagem ou por estrato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GLMM</w:t>
            </w:r>
          </w:p>
        </w:tc>
        <w:tc>
          <w:tcPr>
            <w:tcW w:type="dxa" w:w="4000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efeito aleatório de barco, que encolhe estimativas de barcos com poucas viagens</w:t>
            </w:r>
          </w:p>
        </w:tc>
        <w:tc>
          <w:tcPr>
            <w:tcW w:type="dxa" w:w="3212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identificador de embarcação</w:t>
            </w:r>
          </w:p>
        </w:tc>
      </w:tr>
      <w:tr>
        <w:tc>
          <w:tcPr>
            <w:tcW w:type="dxa" w:w="22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GAM / GAMM</w:t>
            </w:r>
          </w:p>
        </w:tc>
        <w:tc>
          <w:tcPr>
            <w:tcW w:type="dxa" w:w="40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efeitos não lineares, como s(mês) ou s(profundidade)</w:t>
            </w:r>
          </w:p>
        </w:tc>
        <w:tc>
          <w:tcPr>
            <w:tcW w:type="dxa" w:w="32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covariáveis contínuas informativas</w:t>
            </w:r>
          </w:p>
        </w:tc>
      </w:tr>
      <w:tr>
        <w:tc>
          <w:tcPr>
            <w:tcW w:type="dxa" w:w="2200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Espaço-temporal (sdmTMB, VAST)</w:t>
            </w:r>
          </w:p>
        </w:tc>
        <w:tc>
          <w:tcPr>
            <w:tcW w:type="dxa" w:w="4000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campo espacial e espaço-temporal; preenche anos sem dado</w:t>
            </w:r>
          </w:p>
        </w:tc>
        <w:tc>
          <w:tcPr>
            <w:tcW w:type="dxa" w:w="3212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coordenadas por viagem ou lance</w:t>
            </w:r>
          </w:p>
        </w:tc>
      </w:tr>
    </w:tbl>
    <w:p>
      <w:pPr>
        <w:spacing w:after="170" w:before="60"/>
        <w:jc w:val="left"/>
      </w:pPr>
      <w:r>
        <w:rPr>
          <w:rFonts w:ascii="Calibri" w:cs="Calibri" w:eastAsia="Calibri" w:hAnsi="Calibri"/>
          <w:i/>
          <w:iCs/>
          <w:color w:val="52514E"/>
          <w:sz w:val="16"/>
          <w:szCs w:val="16"/>
        </w:rPr>
        <w:t xml:space="preserve">Tabela 3. Subir a escada só compensa quando existe a variável correspondente; sem ela o modelo mais complexo apenas custa mais tempo.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Vale notar que o efeito aleatório de barco no GLMM é a versão estatisticamente honesta do “poder de pesca” da seção 1: o coeficiente do barco na escala log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é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o logaritmo do poder de pesca relativo — só que estimado com todos os barcos simultaneamente e encolhido quando a amostra daquele barco é pequena, em vez de calculado por comparação com um barco padrão escolhido à mão (Campos &amp; Andrade, 1998).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C0501B"/>
          <w:sz w:val="24"/>
          <w:szCs w:val="24"/>
        </w:rPr>
        <w:t xml:space="preserve">5. 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 nó do caso: pescaria multiespecífica e troca de alvo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Schirripa &amp; Goodyear (2010) montaram uma simulação em que a abundância verdadeira era conhecida e o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esforço total foi mantido constante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em 6 000 lances por ano. A única coisa que mudaram, a partir de um ano arbitrário, foi a alocação: de 3 000/3 000 lances entre duas espécies para 5 400/600. Resultado: a CPUE da espécie que passou a ser mirada subiu cerca de 40% e a da espécie abandonada caiu cerca de 38%,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sem que nenhuma das duas populações tivesse mudado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lição que sai dali é precisa: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viés não vem de a pescaria ser multiespecífica — vem da mudança de alvo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. Uma frota que mira a mesma espécie a série inteira não gera viés nenhum.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E a direção do viés é previsível. Numa população em declínio, a CPUE da espécie que passou a ser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mirada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subestima a taxa de queda, enquanto a da espécie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abandonada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a superestima. A cavala é a abandonada. A expectativa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a priori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portanto, é que a CPUE nominal da cavala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exagere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o colapso pós-2014 — hiperdepleção induzida pela realocação do esforço para o Auxis, e não necessariamente um estoque tão depauperado quanto a série sugere. É exatamente o padrão que aparece na série da FAO.</w:t>
      </w:r>
    </w:p>
    <w:p>
      <w:pPr>
        <w:spacing w:after="40" w:before="130"/>
        <w:jc w:val="center"/>
      </w:pPr>
      <w:r>
        <w:drawing>
          <wp:inline distT="0" distB="0" distL="0" distR="0">
            <wp:extent cx="5715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2514E"/>
          <w:sz w:val="16"/>
          <w:szCs w:val="16"/>
        </w:rPr>
        <w:t xml:space="preserve">Figura 4. Ilustração esquemática do mecanismo. O esforço total não muda (A), mas a CPUE nominal das duas espécies dá um degrau em sentidos opostos (B). Valores ilustrativos.</w:t>
      </w:r>
    </w:p>
    <w:p>
      <w:pPr>
        <w:keepNext/>
        <w:spacing w:after="7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Como capturar o alvo dentro do modelo</w:t>
      </w:r>
    </w:p>
    <w:tbl>
      <w:tblPr>
        <w:tblW w:type="dxa" w:w="9412"/>
        <w:tblBorders>
          <w:top w:val="single" w:color="C3C2B7" w:sz="2"/>
          <w:left w:val="single" w:color="C3C2B7" w:sz="2"/>
          <w:bottom w:val="single" w:color="C3C2B7" w:sz="2"/>
          <w:right w:val="single" w:color="C3C2B7" w:sz="2"/>
          <w:insideH w:val="single" w:color="C3C2B7" w:sz="2"/>
          <w:insideV w:val="single" w:color="C3C2B7" w:sz="2"/>
        </w:tblBorders>
      </w:tblPr>
      <w:tblGrid>
        <w:gridCol w:w="3800"/>
        <w:gridCol w:w="2100"/>
        <w:gridCol w:w="3512"/>
      </w:tblGrid>
      <w:tr>
        <w:trPr>
          <w:tblHeader/>
        </w:trPr>
        <w:tc>
          <w:tcPr>
            <w:tcW w:type="dxa" w:w="38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Método</w:t>
            </w:r>
          </w:p>
        </w:tc>
        <w:tc>
          <w:tcPr>
            <w:tcW w:type="dxa" w:w="2100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O que exige</w:t>
            </w:r>
          </w:p>
        </w:tc>
        <w:tc>
          <w:tcPr>
            <w:tcW w:type="dxa" w:w="3512"/>
            <w:shd w:fill="1F4E79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Veredito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Cluster da composição da captura (Ward ou k-means), agregada por barco-mês, entrando como fator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composição por viagem</w:t>
            </w:r>
          </w:p>
        </w:tc>
        <w:tc>
          <w:tcPr>
            <w:tcW w:type="dxa" w:w="35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padrão nos grupos do ICCAT; funciona bem</w:t>
            </w:r>
          </w:p>
        </w:tc>
      </w:tr>
      <w:tr>
        <w:tc>
          <w:tcPr>
            <w:tcW w:type="dxa" w:w="3800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PCA da composição, usando os escores contínuos (“DPC”)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composição por viagem</w:t>
            </w:r>
          </w:p>
        </w:tc>
        <w:tc>
          <w:tcPr>
            <w:tcW w:type="dxa" w:w="3512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superou o cluster em Winker et al. (2013) e Santos et al. (2026)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Filtrar só as viagens acima de um limiar de % da espécie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composição por viagem</w:t>
            </w:r>
          </w:p>
        </w:tc>
        <w:tc>
          <w:tcPr>
            <w:tcW w:type="dxa" w:w="35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só como sensibilidade: tende a gerar hiperestabilidade</w:t>
            </w:r>
          </w:p>
        </w:tc>
      </w:tr>
      <w:tr>
        <w:tc>
          <w:tcPr>
            <w:tcW w:type="dxa" w:w="3800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Razão de captura agregada por ano como covariável</w:t>
            </w:r>
          </w:p>
        </w:tc>
        <w:tc>
          <w:tcPr>
            <w:tcW w:type="dxa" w:w="2100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só captura anual</w:t>
            </w:r>
          </w:p>
        </w:tc>
        <w:tc>
          <w:tcPr>
            <w:tcW w:type="dxa" w:w="3512"/>
            <w:shd w:fill="F5F7FA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inefetivo: a covariável se confunde com o próprio efeito de ano</w:t>
            </w:r>
          </w:p>
        </w:tc>
      </w:tr>
      <w:tr>
        <w:tc>
          <w:tcPr>
            <w:tcW w:type="dxa" w:w="38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Modelo espaço-temporal (VAST, sdmTMB)</w:t>
            </w:r>
          </w:p>
        </w:tc>
        <w:tc>
          <w:tcPr>
            <w:tcW w:type="dxa" w:w="210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coordenadas por viagem</w:t>
            </w:r>
          </w:p>
        </w:tc>
        <w:tc>
          <w:tcPr>
            <w:tcW w:type="dxa" w:w="3512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keepNext/>
              <w:spacing w:after="0" w:line="240"/>
              <w:jc w:val="left"/>
            </w:pPr>
            <w:r>
              <w:rPr>
                <w:rFonts w:ascii="Calibri" w:cs="Calibri" w:eastAsia="Calibri" w:hAnsi="Calibri"/>
                <w:color w:val="1A1A1A"/>
                <w:sz w:val="17"/>
                <w:szCs w:val="17"/>
              </w:rPr>
              <w:t xml:space="preserve">o melhor quando o alvo é escolha de local de pesca</w:t>
            </w:r>
          </w:p>
        </w:tc>
      </w:tr>
    </w:tbl>
    <w:p>
      <w:pPr>
        <w:spacing w:after="170" w:before="60"/>
        <w:jc w:val="left"/>
      </w:pPr>
      <w:r>
        <w:rPr>
          <w:rFonts w:ascii="Calibri" w:cs="Calibri" w:eastAsia="Calibri" w:hAnsi="Calibri"/>
          <w:i/>
          <w:iCs/>
          <w:color w:val="52514E"/>
          <w:sz w:val="16"/>
          <w:szCs w:val="16"/>
        </w:rPr>
        <w:t xml:space="preserve">Tabela 4. Métodos para representar o direcionamento, por exigência de dado.</w:t>
      </w:r>
    </w:p>
    <w:p>
      <w:pPr>
        <w:spacing w:after="40" w:before="130"/>
        <w:jc w:val="center"/>
      </w:pPr>
      <w:r>
        <w:drawing>
          <wp:inline distT="0" distB="0" distL="0" distR="0">
            <wp:extent cx="5715000" cy="2352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5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2514E"/>
          <w:sz w:val="16"/>
          <w:szCs w:val="16"/>
        </w:rPr>
        <w:t xml:space="preserve">Figura 5. A composição da captura de cada viagem é a impressão digital da tática de pesca: agrupá-la produz o rótulo de alvo que entra no modelo como fator.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C0501B"/>
          <w:sz w:val="24"/>
          <w:szCs w:val="24"/>
        </w:rPr>
        <w:t xml:space="preserve">6. 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Diagnóstico: o que olhar antes de acreditar no índice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Ajuste.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resíduos contra ajustados e QQ-plot — o lognormal pressupõe resíduos simétricos e homocedásticos; reporte o resultado mesmo quando ele for ruim.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Influência.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gráficos de influência (pacote influ, de Bentley et al.) mostram quanto cada covariável desloca o índice. Se a covariável de alvo não desloca nada, ou ela não está capturando o direcionamento, ou não havia direcionamento a capturar.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Nominal × padronizada.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compare a série padronizada com a nominal no mesmo gráfico. Se as duas forem praticamente iguais, o modelo não está corrigindo coisa alguma — e isso é um resultado, não um contratempo.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Sensibilidade.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rode cluster contra PCA, as três formas de tratar o ano, com e sem efeito de barco. Se a série muda de forma nessas variações, a incerteza real é maior que o CV do modelo sugere.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C0501B"/>
          <w:sz w:val="24"/>
          <w:szCs w:val="24"/>
        </w:rPr>
        <w:t xml:space="preserve">7.  </w:t>
      </w: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O que fazer no caso da cavala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Os dados confirmados na reunião mudam o cenário por completo. Com a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composição de captura por espécie em cada viagem de cada barco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, vocês passam a ter exatamente o insumo que os métodos de targeting exigem — e que não existia quando a FAO fez a análise, em que a CPUE era simplesmente a captura da cavala dividida pelo esforço total de uma frota que pescava outra coisa. Resta um gargalo: o esforço vem agregado por ilha × mês × ano, não por viagem. Há duas saídas, em ordem de preferência: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(a) Pedir as datas de cada viagem.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com a data de saída e de retorno de cada viagem, o esforço passa a ser por viagem (dias no mar) e todo o resto deste guia se aplica diretamente. É o pedido de maior retorno e é muito provável que já exista no registro bruto.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(b) Alocar o esforço por tática.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sem (a), classifique cada viagem num cluster de composição e, dentro de cada estrato ilha × mês × ano, reparta os dias de pesca entre as táticas proporcionalmente ao número de viagens de cada uma. Isso transforma o “esforço total” em “esforço dirigido” — justamente o que o IMar diz não possuir. A premissa (viagens de táticas diferentes duram em média o mesmo) é aproximada, mas explicitável e testável assim que (a) chegar.</w:t>
      </w:r>
    </w:p>
    <w:p>
      <w:pPr>
        <w:keepNext/>
        <w:spacing w:after="7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Modelo de partida</w:t>
      </w:r>
    </w:p>
    <w:p>
      <w:pPr>
        <w:pBdr>
          <w:left w:val="single" w:color="1F4E79" w:sz="12" w:space="6"/>
        </w:pBdr>
        <w:shd w:fill="F5F7FA" w:color="auto" w:val="clear"/>
        <w:spacing w:after="60" w:before="60"/>
        <w:ind w:left="18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alvo &lt;- cluster (Ward ou k-means) da composição por barco-mês</w:t>
      </w:r>
    </w:p>
    <w:p>
      <w:pPr>
        <w:pBdr>
          <w:left w:val="single" w:color="1F4E79" w:sz="12" w:space="6"/>
        </w:pBdr>
        <w:shd w:fill="F5F7FA" w:color="auto" w:val="clear"/>
        <w:spacing w:after="120"/>
        <w:ind w:left="180"/>
      </w:pPr>
      <w:r>
        <w:rPr>
          <w:rFonts w:ascii="Consolas" w:cs="Consolas" w:eastAsia="Consolas" w:hAnsi="Consolas"/>
          <w:color w:val="1A1A1A"/>
          <w:sz w:val="17"/>
          <w:szCs w:val="17"/>
        </w:rPr>
        <w:t xml:space="preserve">m1 &lt;- glmmTMB(captura_cavala ~ ano + mes + ilha + alvo + (1|barco)</w:t>
      </w:r>
      <w:r>
        <w:br/>
      </w:r>
      <w:r>
        <w:rPr>
          <w:rFonts w:ascii="Consolas" w:cs="Consolas" w:eastAsia="Consolas" w:hAnsi="Consolas"/>
          <w:color w:val="1A1A1A"/>
          <w:sz w:val="17"/>
          <w:szCs w:val="17"/>
        </w:rPr>
        <w:t xml:space="preserve">              + offset(log(dias)), family = tweedie(link = "log"))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com </w:t>
      </w:r>
      <w:r>
        <w:rPr>
          <w:rFonts w:ascii="Consolas" w:cs="Consolas" w:eastAsia="Consolas" w:hAnsi="Consolas"/>
          <w:color w:val="1A1A1A"/>
          <w:sz w:val="18"/>
          <w:szCs w:val="18"/>
        </w:rPr>
        <w:t xml:space="preserve">ano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como fator. A alternativa delta — um binomial para presença e um lognormal para as positivas, combinados como na seção 3 — é igualmente defensável e é o que o ICCAT usa na prática.</w:t>
      </w:r>
    </w:p>
    <w:p>
      <w:pPr>
        <w:keepNext/>
        <w:spacing w:after="7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Cenários a levar para o JABBA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S0.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sem índice de abundância, só captura — a referência que vocês já têm do CMSY++ e do DB-SRA.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S1.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CPUE nominal (captura da cavala ÷ esforço total), reproduzindo o que a FAO fez, apenas para comparação.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S2.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CPUE padronizada com a covariável de alvo — este é o índice candidato.</w:t>
      </w:r>
    </w:p>
    <w:p>
      <w:pPr>
        <w:pStyle w:val="ListParagraph"/>
        <w:numPr>
          <w:ilvl w:val="0"/>
          <w:numId w:val="2"/>
        </w:numPr>
        <w:spacing w:after="60" w:line="264"/>
        <w:jc w:val="both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S3.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padronizada apenas nas viagens dirigidas à cavala, como sensibilidade ao critério de direcionamento.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distância entre S1 e S2 em torno de 2014 </w:t>
      </w: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é a medida do viés de troca de alvo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vira resultado do trabalho, e não apenas uma etapa metodológica. No JABBA, entre com a série de média 1 e o CV anual. E não emende os períodos pré e pós-2014 numa série contínua sem antes verificar se o modelo padronizado de fato removeu o degrau: se não removeu, a boa prática é tratá-los como cenários alternativos em vez de forçar um índice único (Hoyle et al., 2024).</w:t>
      </w:r>
    </w:p>
    <w:p>
      <w:pPr>
        <w:keepNext/>
        <w:spacing w:after="70" w:before="14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O que ainda pedir ao IMar</w:t>
      </w:r>
    </w:p>
    <w:p>
      <w:pPr>
        <w:spacing w:after="110" w:line="264"/>
        <w:jc w:val="both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Datas de saída e retorno por viagem; identificador da embarcação e suas características (comprimento, potência, capacidade de porão); zona ou pesqueiro da viagem, mesmo que em resolução grosseira; e, se o formulário tiver o campo, a espécie-alvo declarada pelo mestre. Os dois primeiros itens sozinhos já elevam a análise de “aproximação defensável” para “padronização completa”.</w:t>
      </w:r>
    </w:p>
    <w:p>
      <w:pPr>
        <w:keepNext/>
        <w:spacing w:after="120" w:before="26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Referências</w:t>
      </w:r>
    </w:p>
    <w:p>
      <w:pPr>
        <w:spacing w:after="70" w:line="240"/>
        <w:ind w:left="340" w:hanging="340"/>
        <w:jc w:val="both"/>
      </w:pPr>
      <w:r>
        <w:rPr>
          <w:rFonts w:ascii="Calibri" w:cs="Calibri" w:eastAsia="Calibri" w:hAnsi="Calibri"/>
          <w:color w:val="30302E"/>
          <w:sz w:val="17"/>
          <w:szCs w:val="17"/>
        </w:rPr>
        <w:t xml:space="preserve">Campos, R.O. &amp; Andrade, H.A. 1998. Uma metodologia para estimativa de captura por área de pesca a partir de dados pouco informativos: o caso do bonito listrado na costa do Brasil. Notas Técnicas FACIMAR 2: 61–69.</w:t>
      </w:r>
    </w:p>
    <w:p>
      <w:pPr>
        <w:spacing w:after="70" w:line="240"/>
        <w:ind w:left="340" w:hanging="340"/>
        <w:jc w:val="both"/>
      </w:pPr>
      <w:r>
        <w:rPr>
          <w:rFonts w:ascii="Calibri" w:cs="Calibri" w:eastAsia="Calibri" w:hAnsi="Calibri"/>
          <w:color w:val="30302E"/>
          <w:sz w:val="17"/>
          <w:szCs w:val="17"/>
        </w:rPr>
        <w:t xml:space="preserve">Hinton, M.G. &amp; Maunder, M.N. 2003/2004. Methods for standardizing CPUE and how to select among them. ICCAT Col. Vol. Sci. Pap. 56(1): 169–177 (SCRS/2003/034).</w:t>
      </w:r>
    </w:p>
    <w:p>
      <w:pPr>
        <w:spacing w:after="70" w:line="240"/>
        <w:ind w:left="340" w:hanging="340"/>
        <w:jc w:val="both"/>
      </w:pPr>
      <w:r>
        <w:rPr>
          <w:rFonts w:ascii="Calibri" w:cs="Calibri" w:eastAsia="Calibri" w:hAnsi="Calibri"/>
          <w:color w:val="30302E"/>
          <w:sz w:val="17"/>
          <w:szCs w:val="17"/>
        </w:rPr>
        <w:t xml:space="preserve">Hoyle, S.D. et al. 2024. Catch per unit effort modelling for stock assessment: a summary of good practices. Fisheries Research 269: 106860.</w:t>
      </w:r>
    </w:p>
    <w:p>
      <w:pPr>
        <w:spacing w:after="70" w:line="240"/>
        <w:ind w:left="340" w:hanging="340"/>
        <w:jc w:val="both"/>
      </w:pPr>
      <w:r>
        <w:rPr>
          <w:rFonts w:ascii="Calibri" w:cs="Calibri" w:eastAsia="Calibri" w:hAnsi="Calibri"/>
          <w:color w:val="30302E"/>
          <w:sz w:val="17"/>
          <w:szCs w:val="17"/>
        </w:rPr>
        <w:t xml:space="preserve">Lima, A.C. et al. 2000. On the standardization of the fishing effort. Acta Amazonica 30(1): 167–169.</w:t>
      </w:r>
    </w:p>
    <w:p>
      <w:pPr>
        <w:spacing w:after="70" w:line="240"/>
        <w:ind w:left="340" w:hanging="340"/>
        <w:jc w:val="both"/>
      </w:pPr>
      <w:r>
        <w:rPr>
          <w:rFonts w:ascii="Calibri" w:cs="Calibri" w:eastAsia="Calibri" w:hAnsi="Calibri"/>
          <w:color w:val="30302E"/>
          <w:sz w:val="17"/>
          <w:szCs w:val="17"/>
        </w:rPr>
        <w:t xml:space="preserve">Oliveira, E.S.C. &amp; Andrade, H.A. 2019. Padronização da taxa de captura para o espadarte (Xiphias gladius) usando efeito fixo e aleatório. Revista Brasileira de Ciências Agrárias 14(1): e5602.</w:t>
      </w:r>
    </w:p>
    <w:p>
      <w:pPr>
        <w:spacing w:after="70" w:line="240"/>
        <w:ind w:left="340" w:hanging="340"/>
        <w:jc w:val="both"/>
      </w:pPr>
      <w:r>
        <w:rPr>
          <w:rFonts w:ascii="Calibri" w:cs="Calibri" w:eastAsia="Calibri" w:hAnsi="Calibri"/>
          <w:color w:val="30302E"/>
          <w:sz w:val="17"/>
          <w:szCs w:val="17"/>
        </w:rPr>
        <w:t xml:space="preserve">Sant'Ana, R. et al. 2020. Albacore CPUE standardization: an update based on Brazilian longline fleet data (1998–2018). ICCAT Col. Vol. Sci. Pap. 77(7): 179–189.</w:t>
      </w:r>
    </w:p>
    <w:p>
      <w:pPr>
        <w:spacing w:after="70" w:line="240"/>
        <w:ind w:left="340" w:hanging="340"/>
        <w:jc w:val="both"/>
      </w:pPr>
      <w:r>
        <w:rPr>
          <w:rFonts w:ascii="Calibri" w:cs="Calibri" w:eastAsia="Calibri" w:hAnsi="Calibri"/>
          <w:color w:val="30302E"/>
          <w:sz w:val="17"/>
          <w:szCs w:val="17"/>
        </w:rPr>
        <w:t xml:space="preserve">Santos, R. et al. 2026. Integrating targeting behaviour and spatial effects to standardize CPUE in a multispecies deep-water fishery. ICES J. Mar. Sci. 83(9): fsag169.</w:t>
      </w:r>
    </w:p>
    <w:p>
      <w:pPr>
        <w:spacing w:after="70" w:line="240"/>
        <w:ind w:left="340" w:hanging="340"/>
        <w:jc w:val="both"/>
      </w:pPr>
      <w:r>
        <w:rPr>
          <w:rFonts w:ascii="Calibri" w:cs="Calibri" w:eastAsia="Calibri" w:hAnsi="Calibri"/>
          <w:color w:val="30302E"/>
          <w:sz w:val="17"/>
          <w:szCs w:val="17"/>
        </w:rPr>
        <w:t xml:space="preserve">Schirripa, M.J. &amp; Goodyear, C.P. 2010. CPUE standardizations of species targeting in longline fisheries. ICCAT Col. Vol. Sci. Pap. 65(6): 2351–2362.</w:t>
      </w:r>
    </w:p>
    <w:p>
      <w:pPr>
        <w:spacing w:after="70" w:line="240"/>
        <w:ind w:left="340" w:hanging="340"/>
        <w:jc w:val="both"/>
      </w:pPr>
      <w:r>
        <w:rPr>
          <w:rFonts w:ascii="Calibri" w:cs="Calibri" w:eastAsia="Calibri" w:hAnsi="Calibri"/>
          <w:color w:val="30302E"/>
          <w:sz w:val="17"/>
          <w:szCs w:val="17"/>
        </w:rPr>
        <w:t xml:space="preserve">Winker, H., Kerwath, S.E. &amp; Attwood, C.G. 2013. Comparison of two approaches to standardize catch-per-unit-effort for targeting behaviour in a multispecies hand-line fishery. Fisheries Research 139: 118–131.</w:t>
      </w:r>
    </w:p>
    <w:sectPr>
      <w:pgSz w:w="11906" w:h="16838" w:orient="portrait"/>
      <w:pgMar w:top="1133" w:right="1247" w:bottom="1020" w:left="124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f364e2a74783ec2ba5598ed273433e96dc4a6b9.png"/><Relationship Id="rId8" Type="http://schemas.openxmlformats.org/officeDocument/2006/relationships/image" Target="media/9ab7b9903d37768c74a7d18efb16135f8b17d32d.png"/><Relationship Id="rId9" Type="http://schemas.openxmlformats.org/officeDocument/2006/relationships/image" Target="media/75af149147effa0b1bd2df5f8928324a85245aa7.png"/><Relationship Id="rId10" Type="http://schemas.openxmlformats.org/officeDocument/2006/relationships/image" Target="media/f394cc38522a62ea1081dc2ed8846e1646d55888.png"/><Relationship Id="rId11" Type="http://schemas.openxmlformats.org/officeDocument/2006/relationships/image" Target="media/be927dcd33296ec78608a95fbc23968f783b830a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2026-09-15T13:15:45.393Z</dcterms:created>
  <dcterms:modified xsi:type="dcterms:W3CDTF">2026-09-15T13:15:45.394Z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