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5B6770"/>
          <w:spacing w:val="60"/>
          <w:sz w:val="24"/>
          <w:szCs w:val="24"/>
        </w:rPr>
        <w:t xml:space="preserve">RELATÓRIO FINAL</w:t>
      </w:r>
    </w:p>
    <w:p>
      <w:pPr>
        <w:spacing w:after="0"/>
        <w:jc w:val="center"/>
      </w:pPr>
      <w:r>
        <w:rPr>
          <w:b/>
          <w:bCs/>
          <w:color w:val="1F4E79"/>
          <w:sz w:val="40"/>
          <w:szCs w:val="40"/>
        </w:rPr>
        <w:t xml:space="preserve">Avaliação do estoque da cavala preta</w:t>
      </w:r>
    </w:p>
    <w:p>
      <w:pPr>
        <w:spacing w:after="240"/>
        <w:jc w:val="center"/>
      </w:pPr>
      <w:r>
        <w:rPr>
          <w:b/>
          <w:bCs/>
          <w:color w:val="1F4E79"/>
          <w:sz w:val="40"/>
          <w:szCs w:val="40"/>
        </w:rPr>
        <w:t xml:space="preserve">(</w:t>
      </w:r>
      <w:r>
        <w:rPr>
          <w:b/>
          <w:bCs/>
          <w:i/>
          <w:iCs/>
          <w:color w:val="1F4E79"/>
          <w:sz w:val="40"/>
          <w:szCs w:val="40"/>
        </w:rPr>
        <w:t xml:space="preserve">Decapterus macarellus</w:t>
      </w:r>
      <w:r>
        <w:rPr>
          <w:b/>
          <w:bCs/>
          <w:color w:val="1F4E79"/>
          <w:sz w:val="40"/>
          <w:szCs w:val="40"/>
        </w:rPr>
        <w:t xml:space="preserve">) no arquipélago de Cabo Verde</w:t>
      </w:r>
    </w:p>
    <w:p>
      <w:pPr>
        <w:spacing w:after="1400"/>
        <w:jc w:val="center"/>
      </w:pPr>
      <w:r>
        <w:rPr>
          <w:color w:val="33404A"/>
          <w:sz w:val="26"/>
          <w:szCs w:val="26"/>
        </w:rPr>
        <w:t xml:space="preserve">Abordagem multimodelo com dados de captura, esforço e comprimento (1989–2025)</w:t>
      </w:r>
    </w:p>
    <w:p>
      <w:pPr>
        <w:spacing w:after="80"/>
        <w:jc w:val="center"/>
      </w:pPr>
      <w:r>
        <w:rPr>
          <w:b/>
          <w:bCs/>
          <w:sz w:val="24"/>
          <w:szCs w:val="24"/>
        </w:rPr>
        <w:t xml:space="preserve">Autores:</w:t>
      </w:r>
      <w:r>
        <w:rPr>
          <w:sz w:val="24"/>
          <w:szCs w:val="24"/>
        </w:rPr>
        <w:t xml:space="preserve"> </w:t>
      </w:r>
      <w:r>
        <w:rPr>
          <w:sz w:val="24"/>
          <w:szCs w:val="24"/>
          <w:highlight w:val="yellow"/>
        </w:rPr>
        <w:t xml:space="preserve">[nomes e afiliações dos autores]</w:t>
      </w:r>
    </w:p>
    <w:p>
      <w:pPr>
        <w:spacing w:after="80"/>
        <w:jc w:val="center"/>
      </w:pPr>
      <w:r>
        <w:rPr>
          <w:sz w:val="22"/>
          <w:szCs w:val="22"/>
        </w:rPr>
        <w:t xml:space="preserve">Dados: Instituto do Mar (IMar), Cabo Verde</w:t>
      </w:r>
    </w:p>
    <w:p>
      <w:pPr>
        <w:spacing w:before="1800"/>
        <w:jc w:val="center"/>
      </w:pPr>
      <w:r>
        <w:rPr>
          <w:sz w:val="22"/>
          <w:szCs w:val="22"/>
          <w:highlight w:val="yellow"/>
        </w:rPr>
        <w:t xml:space="preserve">[local]</w:t>
      </w:r>
      <w:r>
        <w:rPr>
          <w:sz w:val="22"/>
          <w:szCs w:val="22"/>
        </w:rPr>
        <w:t xml:space="preserve">, setembro de 2026</w:t>
      </w:r>
    </w:p>
    <w:p>
      <w:r>
        <w:br w:type="page"/>
      </w:r>
    </w:p>
    <w:p>
      <w:pPr>
        <w:pStyle w:val="Heading1"/>
      </w:pPr>
      <w:bookmarkStart w:name="sec1" w:id="1"/>
      <w:r>
        <w:t xml:space="preserve">Apresentação</w:t>
      </w:r>
      <w:bookmarkEnd w:id="1"/>
    </w:p>
    <w:p>
      <w:pPr>
        <w:spacing w:after="100"/>
        <w:ind w:firstLine="425"/>
        <w:jc w:val="both"/>
      </w:pPr>
      <w:r>
        <w:t xml:space="preserve">Este relatório reúne a avaliação de estoque da cavala preta (</w:t>
      </w:r>
      <w:r>
        <w:rPr>
          <w:i/>
          <w:iCs/>
        </w:rPr>
        <w:t xml:space="preserve">Decapterus macarellus</w:t>
      </w:r>
      <w:r>
        <w:t xml:space="preserve">) em Cabo Verde feita a partir dos dados de desembarque, esforço de pesca e comprimento cedidos pelo Instituto do Mar (IMar). O objetivo é oferecer à gestão pesqueira a leitura mais completa possível do estado do recurso com a informação hoje disponível, deixando claro o que é resultado dos dados e o que depende das premissas adotadas.</w:t>
      </w:r>
    </w:p>
    <w:p>
      <w:pPr>
        <w:spacing w:after="100"/>
        <w:ind w:firstLine="425"/>
        <w:jc w:val="both"/>
      </w:pPr>
      <w:r>
        <w:t xml:space="preserve">O relatório está organizado da seguinte forma. A </w:t>
      </w:r>
      <w:r>
        <w:rPr>
          <w:b/>
          <w:bCs/>
        </w:rPr>
        <w:t xml:space="preserve">Introdução</w:t>
      </w:r>
      <w:r>
        <w:t xml:space="preserve"> apresenta a espécie, a pescaria, a gestão em vigor e as avaliações feitas até agora, e situa o que este estudo acrescenta. A </w:t>
      </w:r>
      <w:r>
        <w:rPr>
          <w:b/>
          <w:bCs/>
        </w:rPr>
        <w:t xml:space="preserve">Metodologia geral</w:t>
      </w:r>
      <w:r>
        <w:t xml:space="preserve"> descreve a hipótese de unidade de estoque, a compilação dos parâmetros de história de vida e os dados usados. As partes seguintes </w:t>
      </w:r>
      <w:r>
        <w:rPr>
          <w:highlight w:val="yellow"/>
        </w:rPr>
        <w:t xml:space="preserve">[a redigir]</w:t>
      </w:r>
      <w:r>
        <w:t xml:space="preserve"> tratam, em ordem, dos modelos baseados só em capturas (DB-SRA e CMSY++), do modelo de captura e índice de abundância (JABBA, incluindo a padronização da CPUE), dos modelos baseados em comprimento (LBSPR e Stock Synthesis) e, por fim, da síntese dos resultados e das recomendações para a gestão.</w:t>
      </w:r>
    </w:p>
    <w:p>
      <w:r>
        <w:br w:type="page"/>
      </w:r>
    </w:p>
    <w:p>
      <w:pPr>
        <w:spacing w:after="200"/>
      </w:pPr>
      <w:r>
        <w:rPr>
          <w:b/>
          <w:bCs/>
          <w:color w:val="1F4E79"/>
          <w:sz w:val="30"/>
          <w:szCs w:val="30"/>
        </w:rPr>
        <w:t xml:space="preserve">Sumário</w:t>
      </w:r>
    </w:p>
    <w:p>
      <w:pPr>
        <w:tabs>
          <w:tab w:val="right" w:pos="9638" w:leader="dot"/>
        </w:tabs>
        <w:spacing w:after="80" w:before="80"/>
        <w:ind w:left="0"/>
      </w:pPr>
      <w:hyperlink w:history="1" w:anchor="sec2">
        <w:r>
          <w:rPr>
            <w:b/>
            <w:bCs/>
          </w:rPr>
          <w:t xml:space="preserve">1. Introdução</w:t>
        </w:r>
        <w:r>
          <w:rPr>
            <w:b/>
            <w:bCs/>
          </w:rPr>
          <w:t xml:space="preserve">	4</w:t>
        </w:r>
      </w:hyperlink>
    </w:p>
    <w:p>
      <w:pPr>
        <w:tabs>
          <w:tab w:val="right" w:pos="9638" w:leader="dot"/>
        </w:tabs>
        <w:spacing w:after="30" w:before="0"/>
        <w:ind w:left="400"/>
      </w:pPr>
      <w:hyperlink w:history="1" w:anchor="sec3">
        <w:r>
          <w:t xml:space="preserve">1.1 A cavala preta e sua importância para Cabo Verde</w:t>
        </w:r>
        <w:r>
          <w:t xml:space="preserve">	4</w:t>
        </w:r>
      </w:hyperlink>
    </w:p>
    <w:p>
      <w:pPr>
        <w:tabs>
          <w:tab w:val="right" w:pos="9638" w:leader="dot"/>
        </w:tabs>
        <w:spacing w:after="30" w:before="0"/>
        <w:ind w:left="400"/>
      </w:pPr>
      <w:hyperlink w:history="1" w:anchor="sec4">
        <w:r>
          <w:t xml:space="preserve">1.2 A pescaria</w:t>
        </w:r>
        <w:r>
          <w:t xml:space="preserve">	4</w:t>
        </w:r>
      </w:hyperlink>
    </w:p>
    <w:p>
      <w:pPr>
        <w:tabs>
          <w:tab w:val="right" w:pos="9638" w:leader="dot"/>
        </w:tabs>
        <w:spacing w:after="30" w:before="0"/>
        <w:ind w:left="400"/>
      </w:pPr>
      <w:hyperlink w:history="1" w:anchor="sec5">
        <w:r>
          <w:t xml:space="preserve">1.3 Gestão da pescaria</w:t>
        </w:r>
        <w:r>
          <w:t xml:space="preserve">	4</w:t>
        </w:r>
      </w:hyperlink>
    </w:p>
    <w:p>
      <w:pPr>
        <w:tabs>
          <w:tab w:val="right" w:pos="9638" w:leader="dot"/>
        </w:tabs>
        <w:spacing w:after="30" w:before="0"/>
        <w:ind w:left="400"/>
      </w:pPr>
      <w:hyperlink w:history="1" w:anchor="sec6">
        <w:r>
          <w:t xml:space="preserve">1.4 Avaliações anteriores do estoque</w:t>
        </w:r>
        <w:r>
          <w:t xml:space="preserve">	5</w:t>
        </w:r>
      </w:hyperlink>
    </w:p>
    <w:p>
      <w:pPr>
        <w:tabs>
          <w:tab w:val="right" w:pos="9638" w:leader="dot"/>
        </w:tabs>
        <w:spacing w:after="30" w:before="0"/>
        <w:ind w:left="400"/>
      </w:pPr>
      <w:hyperlink w:history="1" w:anchor="sec7">
        <w:r>
          <w:t xml:space="preserve">1.5 O que este estudo acrescenta</w:t>
        </w:r>
        <w:r>
          <w:t xml:space="preserve">	6</w:t>
        </w:r>
      </w:hyperlink>
    </w:p>
    <w:p>
      <w:pPr>
        <w:tabs>
          <w:tab w:val="right" w:pos="9638" w:leader="dot"/>
        </w:tabs>
        <w:spacing w:after="80" w:before="80"/>
        <w:ind w:left="0"/>
      </w:pPr>
      <w:hyperlink w:history="1" w:anchor="sec8">
        <w:r>
          <w:rPr>
            <w:b/>
            <w:bCs/>
          </w:rPr>
          <w:t xml:space="preserve">2. Metodologia geral</w:t>
        </w:r>
        <w:r>
          <w:rPr>
            <w:b/>
            <w:bCs/>
          </w:rPr>
          <w:t xml:space="preserve">	6</w:t>
        </w:r>
      </w:hyperlink>
    </w:p>
    <w:p>
      <w:pPr>
        <w:tabs>
          <w:tab w:val="right" w:pos="9638" w:leader="dot"/>
        </w:tabs>
        <w:spacing w:after="30" w:before="0"/>
        <w:ind w:left="400"/>
      </w:pPr>
      <w:hyperlink w:history="1" w:anchor="sec9">
        <w:r>
          <w:t xml:space="preserve">2.1 Área de estudo e unidade de estoque</w:t>
        </w:r>
        <w:r>
          <w:t xml:space="preserve">	6</w:t>
        </w:r>
      </w:hyperlink>
    </w:p>
    <w:p>
      <w:pPr>
        <w:tabs>
          <w:tab w:val="right" w:pos="9638" w:leader="dot"/>
        </w:tabs>
        <w:spacing w:after="30" w:before="0"/>
        <w:ind w:left="400"/>
      </w:pPr>
      <w:hyperlink w:history="1" w:anchor="sec10">
        <w:r>
          <w:t xml:space="preserve">2.2 Parâmetros de história de vida</w:t>
        </w:r>
        <w:r>
          <w:t xml:space="preserve">	7</w:t>
        </w:r>
      </w:hyperlink>
    </w:p>
    <w:p>
      <w:pPr>
        <w:tabs>
          <w:tab w:val="right" w:pos="9638" w:leader="dot"/>
        </w:tabs>
        <w:spacing w:after="30" w:before="0"/>
        <w:ind w:left="400"/>
      </w:pPr>
      <w:hyperlink w:history="1" w:anchor="sec11">
        <w:r>
          <w:t xml:space="preserve">2.3 Dados de captura, esforço e comprimento</w:t>
        </w:r>
        <w:r>
          <w:t xml:space="preserve">	7</w:t>
        </w:r>
      </w:hyperlink>
    </w:p>
    <w:p>
      <w:pPr>
        <w:tabs>
          <w:tab w:val="right" w:pos="9638" w:leader="dot"/>
        </w:tabs>
        <w:spacing w:after="30" w:before="0"/>
        <w:ind w:left="800"/>
      </w:pPr>
      <w:hyperlink w:history="1" w:anchor="sec12">
        <w:r>
          <w:t xml:space="preserve">2.3.1 Desembarques totais</w:t>
        </w:r>
        <w:r>
          <w:t xml:space="preserve">	8</w:t>
        </w:r>
      </w:hyperlink>
    </w:p>
    <w:p>
      <w:pPr>
        <w:tabs>
          <w:tab w:val="right" w:pos="9638" w:leader="dot"/>
        </w:tabs>
        <w:spacing w:after="30" w:before="0"/>
        <w:ind w:left="800"/>
      </w:pPr>
      <w:hyperlink w:history="1" w:anchor="sec13">
        <w:r>
          <w:t xml:space="preserve">2.3.2 Esforço e captura da frota industrial</w:t>
        </w:r>
        <w:r>
          <w:t xml:space="preserve">	8</w:t>
        </w:r>
      </w:hyperlink>
    </w:p>
    <w:p>
      <w:pPr>
        <w:tabs>
          <w:tab w:val="right" w:pos="9638" w:leader="dot"/>
        </w:tabs>
        <w:spacing w:after="30" w:before="0"/>
        <w:ind w:left="800"/>
      </w:pPr>
      <w:hyperlink w:history="1" w:anchor="sec14">
        <w:r>
          <w:t xml:space="preserve">2.3.3 Composições de comprimento</w:t>
        </w:r>
        <w:r>
          <w:t xml:space="preserve">	8</w:t>
        </w:r>
      </w:hyperlink>
    </w:p>
    <w:p>
      <w:pPr>
        <w:tabs>
          <w:tab w:val="right" w:pos="9638" w:leader="dot"/>
        </w:tabs>
        <w:spacing w:after="80" w:before="80"/>
        <w:ind w:left="0"/>
      </w:pPr>
      <w:hyperlink w:history="1" w:anchor="sec15">
        <w:r>
          <w:rPr>
            <w:b/>
            <w:bCs/>
          </w:rPr>
          <w:t xml:space="preserve">Referências</w:t>
        </w:r>
        <w:r>
          <w:rPr>
            <w:b/>
            <w:bCs/>
          </w:rPr>
          <w:t xml:space="preserve">	8</w:t>
        </w:r>
      </w:hyperlink>
    </w:p>
    <w:p>
      <w:r>
        <w:br w:type="page"/>
      </w:r>
    </w:p>
    <w:p>
      <w:pPr>
        <w:pStyle w:val="Heading1"/>
      </w:pPr>
      <w:bookmarkStart w:name="sec2" w:id="2"/>
      <w:r>
        <w:t xml:space="preserve">1. Introdução</w:t>
      </w:r>
      <w:bookmarkEnd w:id="2"/>
    </w:p>
    <w:p>
      <w:pPr>
        <w:pStyle w:val="Heading2"/>
      </w:pPr>
      <w:bookmarkStart w:name="sec3" w:id="3"/>
      <w:r>
        <w:t xml:space="preserve">1.1 A cavala preta e sua importância para Cabo Verde</w:t>
      </w:r>
      <w:bookmarkEnd w:id="3"/>
    </w:p>
    <w:p>
      <w:pPr>
        <w:spacing w:after="100"/>
        <w:ind w:firstLine="425"/>
        <w:jc w:val="both"/>
      </w:pPr>
      <w:r>
        <w:t xml:space="preserve">A cavala preta, </w:t>
      </w:r>
      <w:r>
        <w:rPr>
          <w:i/>
          <w:iCs/>
        </w:rPr>
        <w:t xml:space="preserve">Decapterus macarellus</w:t>
      </w:r>
      <w:r>
        <w:t xml:space="preserve"> (Cuvier, 1833), é um pequeno pelágico da família Carangidae, de distribuição circunglobal em águas tropicais e subtropicais, que vive em cardumes e é ativa de dia e de noite (da Luz &amp; Vieira, 2020). Em Cabo Verde é, historicamente, o principal recurso de pequenos pelágicos: chegou a representar quase 40% de todas as capturas do país no pico da pescaria, em 1997 e 1998 (Stobberup &amp; Erzini, 2006; Vieira, 2019).</w:t>
      </w:r>
    </w:p>
    <w:p>
      <w:pPr>
        <w:spacing w:after="100"/>
        <w:ind w:firstLine="425"/>
        <w:jc w:val="both"/>
      </w:pPr>
      <w:r>
        <w:t xml:space="preserve">A importância da espécie vai além do volume desembarcado. A cavala preta tem preço de primeira venda baixo e é, por isso, uma fonte de proteína acessível a boa parte da população; é o isco vivo e morto mais usado na pesca de atuns com salto e vara; e abastece a indústria conserveira (Caramelo &amp; Carvalho, 1995; Baptista et al., 2009; Vieira, 2019). Qualquer mudança no estado do estoque afeta, portanto, a segurança alimentar, a pesca de grandes pelágicos e a economia local ao mesmo tempo.</w:t>
      </w:r>
    </w:p>
    <w:p>
      <w:pPr>
        <w:spacing w:after="100"/>
        <w:ind w:firstLine="425"/>
        <w:jc w:val="both"/>
      </w:pPr>
      <w:r>
        <w:t xml:space="preserve">A biologia da espécie no arquipélago é relativamente bem descrita. A reprodução é longa, de março a outubro, com picos em março e entre julho e outubro, e o comprimento de primeira maturação (L50) foi estimado em 24,1 cm de comprimento furcal (CF) para fêmeas e 26,6 cm CF para machos (Costa et al., 2020); estudos anteriores estimaram valores menores, entre cerca de 20 e 23 cm CF (Almada, 1997; Santos, 2018). O crescimento é rápido: a espécie atinge cerca de 20 cm CF no primeiro ano e perto de 30 cm CF aos três anos, com comprimento assintótico em torno de 30 cm CF (Almada, 1997) e mortalidade natural estimada entre 0,6 e 0,7 ano⁻¹ (Santos, 2018). A ocorrência nas capturas é sazonal, maior entre janeiro e abril (Baptista et al., 2009), e há indícios de relação entre os desembarques e a temperatura da superfície do mar, com defasagem de cerca de dois anos (Fujiwara &amp; Ramos, s.d.).</w:t>
      </w:r>
    </w:p>
    <w:p>
      <w:pPr>
        <w:pStyle w:val="Heading2"/>
      </w:pPr>
      <w:bookmarkStart w:name="sec4" w:id="4"/>
      <w:r>
        <w:t xml:space="preserve">1.2 A pescaria</w:t>
      </w:r>
      <w:bookmarkEnd w:id="4"/>
    </w:p>
    <w:p>
      <w:pPr>
        <w:spacing w:after="100"/>
        <w:ind w:firstLine="425"/>
        <w:jc w:val="both"/>
      </w:pPr>
      <w:r>
        <w:t xml:space="preserve">A pesca de pequenos pelágicos em Cabo Verde é antiga, provavelmente iniciada nos anos 1930, e o registro estatístico começou nos anos 1980 (Caramelo &amp; Carvalho, 1995). A cavala preta é capturada sobretudo com rede de cerco, tanto pela frota industrial (embarcações com mais de 11 m e motor interno) como pela artesanal (botes, motorizados ou não), com capturas menores de linha de mão e rede de praia (Caramelo &amp; Carvalho, 1995; Stobberup &amp; Erzini, 2006). A pescaria se concentra nas ilhas do norte (Barlavento), sobretudo em São Vicente, São Nicolau e Santo Antão, enquanto o chicharro domina nas ilhas do sul (Caramelo &amp; Carvalho, 1995).</w:t>
      </w:r>
    </w:p>
    <w:p>
      <w:pPr>
        <w:spacing w:after="100"/>
        <w:ind w:firstLine="425"/>
        <w:jc w:val="both"/>
      </w:pPr>
      <w:r>
        <w:t xml:space="preserve">No início dos anos 1990 a pesca da cavala cresceu rapidamente, estimulada em parte por embarcações estrangeiras que compravam o pescado à frota nacional (Caramelo &amp; Carvalho, 1995). Segundo os dados do IMar usados neste estudo, os desembarques totais saíram de 1.671 t em 1989 para o máximo de 3.015 t em 1998 e oscilaram entre cerca de 1.700 e 2.900 t até 2013. A partir de 2014 houve uma queda abrupta: 644 t em 2015 e menos de 250 t por ano entre 2021 e 2023. No mesmo período, a CPUE nominal da frota industrial caiu para cerca de 6% do valor de 2005 (Thiao, 2026).</w:t>
      </w:r>
    </w:p>
    <w:p>
      <w:pPr>
        <w:spacing w:after="100"/>
        <w:ind w:firstLine="425"/>
        <w:jc w:val="both"/>
      </w:pPr>
      <w:r>
        <w:t xml:space="preserve">Essa queda ainda não tem explicação consensual (Costa et al., 2020; da Cruz Delgado et al., 2024). Ela pode refletir uma redução real da biomassa, mas também mudanças na própria pescaria. A frota de cerco é multiespecífica: a mesma viagem desembarca cavala preta, chicharro, cavala branca e pequenos tunídeos, entre outras espécies, e o direcionamento da frota muda conforme a disponibilidade e o preço de cada uma (DGRM, 2019; Cabo Verde, 2020). Nos registros por viagem de 2015 a 2025, a cavala preta aparece em apenas uma fração das viagens de cerco, ao lado de várias outras espécies. Quando a frota deixa de procurar a cavala, a captura e a CPUE caem mesmo que o estoque não tenha diminuído — e é justamente essa ambiguidade que torna a avaliação difícil.</w:t>
      </w:r>
    </w:p>
    <w:p>
      <w:pPr>
        <w:pStyle w:val="Heading2"/>
      </w:pPr>
      <w:bookmarkStart w:name="sec5" w:id="5"/>
      <w:r>
        <w:t xml:space="preserve">1.3 Gestão da pescaria</w:t>
      </w:r>
      <w:bookmarkEnd w:id="5"/>
    </w:p>
    <w:p>
      <w:pPr>
        <w:spacing w:after="100"/>
        <w:ind w:firstLine="425"/>
        <w:jc w:val="both"/>
      </w:pPr>
      <w:r>
        <w:t xml:space="preserve">A pescaria é regulada no quadro do Decreto-Lei nº 3/2005 e dos planos de gestão dos recursos da pesca (da Cruz Delgado et al., 2024; DGRM, 2019). Para a cavala preta, as principais medidas são um período de defeso, criado em 2008 (1 de agosto a 30 de setembro) e depois ajustado para 15 de julho a 14 de setembro, e um tamanho mínimo de captura e comercialização, elevado de 18 para 20 cm CF (Cabo Verde, 2020; da Cruz Delgado et al., 2024). Na frota artesanal, a gestão prevê ainda uma modalidade de quota-avaliação por ilha (DGRM, 2019).</w:t>
      </w:r>
    </w:p>
    <w:p>
      <w:pPr>
        <w:spacing w:after="100"/>
        <w:ind w:firstLine="425"/>
        <w:jc w:val="both"/>
      </w:pPr>
      <w:r>
        <w:t xml:space="preserve">Essas medidas têm limitações conhecidas. O tamanho mínimo de 20 cm CF está abaixo do L50 atual (24–27 cm CF), o que permite capturar muitos indivíduos imaturos, e o defeso cobre o principal pico reprodutivo, mas não toda a época de desova (Costa et al., 2020). O próprio Plano de Gestão 2019–2023 considera a cavala preta sobre-explorada e aponta a necessidade de um plano de recuperação, usando como referência capturas de 2.000 a 3.000 t (DGRM, 2019). Faltam, porém, monitoramento contínuo e avaliação dos efeitos das medidas adotadas (da Cruz Delgado et al., 2024), e a base de dados passou por mudanças institucionais e de formato — da transição do INDP para o IMar a registros de 2015–2017 ainda sem validação e de 2018 em formato diferente — que dificultam a construção de séries longas e consistentes.</w:t>
      </w:r>
    </w:p>
    <w:p>
      <w:pPr>
        <w:pStyle w:val="Heading2"/>
      </w:pPr>
      <w:bookmarkStart w:name="sec6" w:id="6"/>
      <w:r>
        <w:t xml:space="preserve">1.4 Avaliações anteriores do estoque</w:t>
      </w:r>
      <w:bookmarkEnd w:id="6"/>
    </w:p>
    <w:p>
      <w:pPr>
        <w:spacing w:after="100"/>
        <w:ind w:firstLine="425"/>
        <w:jc w:val="both"/>
      </w:pPr>
      <w:r>
        <w:t xml:space="preserve">O estoque de cavala preta já foi avaliado várias vezes, com métodos e dados muito diferentes (Tabela 1). De forma geral, as estimativas de rendimento máximo sustentável (MSY) convergem para algo entre 2.000 e 2.700 t por ano, mas o diagnóstico do estado do estoque varia de “saudável, com margem para aumentar as capturas” (Stobberup &amp; Erzini, 2006) a “sobrepescado e sob sobrepesca” (DeAlteris, 2012; Thiao, 2026).</w:t>
      </w:r>
    </w:p>
    <w:p>
      <w:pPr>
        <w:keepNext/>
        <w:spacing w:after="60" w:before="120"/>
      </w:pPr>
      <w:r>
        <w:rPr>
          <w:b/>
          <w:bCs/>
          <w:sz w:val="20"/>
          <w:szCs w:val="20"/>
        </w:rPr>
        <w:t xml:space="preserve">Tabela 1.</w:t>
      </w:r>
      <w:r>
        <w:rPr>
          <w:sz w:val="20"/>
          <w:szCs w:val="20"/>
        </w:rPr>
        <w:t xml:space="preserve"> Avaliações anteriores do estoque de cavala preta (</w:t>
      </w:r>
      <w:r>
        <w:rPr>
          <w:i/>
          <w:iCs/>
          <w:sz w:val="20"/>
          <w:szCs w:val="20"/>
        </w:rPr>
        <w:t xml:space="preserve">Decapterus macarellus</w:t>
      </w:r>
      <w:r>
        <w:rPr>
          <w:sz w:val="20"/>
          <w:szCs w:val="20"/>
        </w:rPr>
        <w:t xml:space="preserve">) em Cabo Verde.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1638"/>
        <w:gridCol w:w="1735"/>
        <w:gridCol w:w="2891"/>
        <w:gridCol w:w="1928"/>
      </w:tblGrid>
      <w:tr>
        <w:trPr>
          <w:tblHeader/>
        </w:trPr>
        <w:tc>
          <w:tcPr>
            <w:tcW w:type="dxa" w:w="1446"/>
            <w:tcBorders>
              <w:top w:val="single" w:color="A6B4C0" w:sz="4"/>
              <w:left w:val="single" w:color="A6B4C0" w:sz="4"/>
              <w:bottom w:val="single" w:color="A6B4C0" w:sz="4"/>
              <w:right w:val="single" w:color="A6B4C0" w:sz="4"/>
            </w:tcBorders>
            <w:shd w:fill="1F4E79" w:color="auto" w:val="clear"/>
            <w:tcMar>
              <w:top w:type="dxa" w:w="50"/>
              <w:left w:type="dxa" w:w="80"/>
              <w:bottom w:type="dxa" w:w="50"/>
              <w:right w:type="dxa" w:w="80"/>
            </w:tcMar>
          </w:tcPr>
          <w:p>
            <w:pPr>
              <w:spacing w:after="0"/>
            </w:pPr>
            <w:r>
              <w:rPr>
                <w:b/>
                <w:bCs/>
                <w:color w:val="FFFFFF"/>
                <w:sz w:val="18"/>
                <w:szCs w:val="18"/>
              </w:rPr>
              <w:t xml:space="preserve">Estudo</w:t>
            </w:r>
          </w:p>
        </w:tc>
        <w:tc>
          <w:tcPr>
            <w:tcW w:type="dxa" w:w="1638"/>
            <w:tcBorders>
              <w:top w:val="single" w:color="A6B4C0" w:sz="4"/>
              <w:left w:val="single" w:color="A6B4C0" w:sz="4"/>
              <w:bottom w:val="single" w:color="A6B4C0" w:sz="4"/>
              <w:right w:val="single" w:color="A6B4C0" w:sz="4"/>
            </w:tcBorders>
            <w:shd w:fill="1F4E79" w:color="auto" w:val="clear"/>
            <w:tcMar>
              <w:top w:type="dxa" w:w="50"/>
              <w:left w:type="dxa" w:w="80"/>
              <w:bottom w:type="dxa" w:w="50"/>
              <w:right w:type="dxa" w:w="80"/>
            </w:tcMar>
          </w:tcPr>
          <w:p>
            <w:pPr>
              <w:spacing w:after="0"/>
            </w:pPr>
            <w:r>
              <w:rPr>
                <w:b/>
                <w:bCs/>
                <w:color w:val="FFFFFF"/>
                <w:sz w:val="18"/>
                <w:szCs w:val="18"/>
              </w:rPr>
              <w:t xml:space="preserve">Dados</w:t>
            </w:r>
          </w:p>
        </w:tc>
        <w:tc>
          <w:tcPr>
            <w:tcW w:type="dxa" w:w="1735"/>
            <w:tcBorders>
              <w:top w:val="single" w:color="A6B4C0" w:sz="4"/>
              <w:left w:val="single" w:color="A6B4C0" w:sz="4"/>
              <w:bottom w:val="single" w:color="A6B4C0" w:sz="4"/>
              <w:right w:val="single" w:color="A6B4C0" w:sz="4"/>
            </w:tcBorders>
            <w:shd w:fill="1F4E79" w:color="auto" w:val="clear"/>
            <w:tcMar>
              <w:top w:type="dxa" w:w="50"/>
              <w:left w:type="dxa" w:w="80"/>
              <w:bottom w:type="dxa" w:w="50"/>
              <w:right w:type="dxa" w:w="80"/>
            </w:tcMar>
          </w:tcPr>
          <w:p>
            <w:pPr>
              <w:spacing w:after="0"/>
            </w:pPr>
            <w:r>
              <w:rPr>
                <w:b/>
                <w:bCs/>
                <w:color w:val="FFFFFF"/>
                <w:sz w:val="18"/>
                <w:szCs w:val="18"/>
              </w:rPr>
              <w:t xml:space="preserve">Método</w:t>
            </w:r>
          </w:p>
        </w:tc>
        <w:tc>
          <w:tcPr>
            <w:tcW w:type="dxa" w:w="2891"/>
            <w:tcBorders>
              <w:top w:val="single" w:color="A6B4C0" w:sz="4"/>
              <w:left w:val="single" w:color="A6B4C0" w:sz="4"/>
              <w:bottom w:val="single" w:color="A6B4C0" w:sz="4"/>
              <w:right w:val="single" w:color="A6B4C0" w:sz="4"/>
            </w:tcBorders>
            <w:shd w:fill="1F4E79" w:color="auto" w:val="clear"/>
            <w:tcMar>
              <w:top w:type="dxa" w:w="50"/>
              <w:left w:type="dxa" w:w="80"/>
              <w:bottom w:type="dxa" w:w="50"/>
              <w:right w:type="dxa" w:w="80"/>
            </w:tcMar>
          </w:tcPr>
          <w:p>
            <w:pPr>
              <w:spacing w:after="0"/>
            </w:pPr>
            <w:r>
              <w:rPr>
                <w:b/>
                <w:bCs/>
                <w:color w:val="FFFFFF"/>
                <w:sz w:val="18"/>
                <w:szCs w:val="18"/>
              </w:rPr>
              <w:t xml:space="preserve">Principais resultados</w:t>
            </w:r>
          </w:p>
        </w:tc>
        <w:tc>
          <w:tcPr>
            <w:tcW w:type="dxa" w:w="1928"/>
            <w:tcBorders>
              <w:top w:val="single" w:color="A6B4C0" w:sz="4"/>
              <w:left w:val="single" w:color="A6B4C0" w:sz="4"/>
              <w:bottom w:val="single" w:color="A6B4C0" w:sz="4"/>
              <w:right w:val="single" w:color="A6B4C0" w:sz="4"/>
            </w:tcBorders>
            <w:shd w:fill="1F4E79" w:color="auto" w:val="clear"/>
            <w:tcMar>
              <w:top w:type="dxa" w:w="50"/>
              <w:left w:type="dxa" w:w="80"/>
              <w:bottom w:type="dxa" w:w="50"/>
              <w:right w:type="dxa" w:w="80"/>
            </w:tcMar>
          </w:tcPr>
          <w:p>
            <w:pPr>
              <w:spacing w:after="0"/>
            </w:pPr>
            <w:r>
              <w:rPr>
                <w:b/>
                <w:bCs/>
                <w:color w:val="FFFFFF"/>
                <w:sz w:val="18"/>
                <w:szCs w:val="18"/>
              </w:rPr>
              <w:t xml:space="preserve">Limitações apontadas</w:t>
            </w:r>
          </w:p>
        </w:tc>
      </w:tr>
      <w:tr>
        <w:trPr>
          <w:cantSplit/>
        </w:trPr>
        <w:tc>
          <w:tcPr>
            <w:tcW w:type="dxa" w:w="1446"/>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Caramelo &amp; Carvalho (1995)</w:t>
            </w:r>
          </w:p>
        </w:tc>
        <w:tc>
          <w:tcPr>
            <w:tcW w:type="dxa" w:w="1638"/>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Capturas, esforço e composições de comprimento, 1983–1994</w:t>
            </w:r>
          </w:p>
        </w:tc>
        <w:tc>
          <w:tcPr>
            <w:tcW w:type="dxa" w:w="1735"/>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Análise de coortes por comprimento (Jones), em equilíbrio; projeções de captura e biomassa</w:t>
            </w:r>
          </w:p>
        </w:tc>
        <w:tc>
          <w:tcPr>
            <w:tcW w:type="dxa" w:w="2891"/>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Estoque em fase em que variações de até 10% no esforço não alteram capturas e biomassa de forma apreciável</w:t>
            </w:r>
          </w:p>
        </w:tc>
        <w:tc>
          <w:tcPr>
            <w:tcW w:type="dxa" w:w="1928"/>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Esforço registrado só em nível de pescaria; incertezas nas composições de comprimento</w:t>
            </w:r>
          </w:p>
        </w:tc>
      </w:tr>
      <w:tr>
        <w:trPr>
          <w:cantSplit/>
        </w:trPr>
        <w:tc>
          <w:tcPr>
            <w:tcW w:type="dxa" w:w="1446"/>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Almada (1997)</w:t>
            </w:r>
          </w:p>
        </w:tc>
        <w:tc>
          <w:tcPr>
            <w:tcW w:type="dxa" w:w="1638"/>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Comprimentos e biologia, 1983–1996</w:t>
            </w:r>
          </w:p>
        </w:tc>
        <w:tc>
          <w:tcPr>
            <w:tcW w:type="dxa" w:w="1735"/>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Crescimento, maturação e mortalidade</w:t>
            </w:r>
          </w:p>
        </w:tc>
        <w:tc>
          <w:tcPr>
            <w:tcW w:type="dxa" w:w="2891"/>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L∞ = 30,1 cm CF; parâmetros de história de vida</w:t>
            </w:r>
          </w:p>
        </w:tc>
        <w:tc>
          <w:tcPr>
            <w:tcW w:type="dxa" w:w="1928"/>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Estudo biológico, sem pontos de referência de gestão</w:t>
            </w:r>
          </w:p>
        </w:tc>
      </w:tr>
      <w:tr>
        <w:trPr>
          <w:cantSplit/>
        </w:trPr>
        <w:tc>
          <w:tcPr>
            <w:tcW w:type="dxa" w:w="1446"/>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Ramos &amp; Fujiwara (s.d.); Fujiwara &amp; Ramos (s.d.)</w:t>
            </w:r>
          </w:p>
        </w:tc>
        <w:tc>
          <w:tcPr>
            <w:tcW w:type="dxa" w:w="1638"/>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Morfometria (2002) e capturas–esforço (1992–2000)</w:t>
            </w:r>
          </w:p>
        </w:tc>
        <w:tc>
          <w:tcPr>
            <w:tcW w:type="dxa" w:w="1735"/>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Escalonamento multidimensional; modelo de Schaefer</w:t>
            </w:r>
          </w:p>
        </w:tc>
        <w:tc>
          <w:tcPr>
            <w:tcW w:type="dxa" w:w="2891"/>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Dois grupos (norte e sul); MSY de 2.213 t (norte) e 593 t (sul); esforço histórico acima do nível do MSY</w:t>
            </w:r>
          </w:p>
        </w:tc>
        <w:tc>
          <w:tcPr>
            <w:tcW w:type="dxa" w:w="1928"/>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Uma única amostragem morfométrica; separação de estoques não confirmada</w:t>
            </w:r>
          </w:p>
        </w:tc>
      </w:tr>
      <w:tr>
        <w:trPr>
          <w:cantSplit/>
        </w:trPr>
        <w:tc>
          <w:tcPr>
            <w:tcW w:type="dxa" w:w="1446"/>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Stobberup &amp; Erzini (2006)</w:t>
            </w:r>
          </w:p>
        </w:tc>
        <w:tc>
          <w:tcPr>
            <w:tcW w:type="dxa" w:w="1638"/>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Capturas e CPUE, até 2004</w:t>
            </w:r>
          </w:p>
        </w:tc>
        <w:tc>
          <w:tcPr>
            <w:tcW w:type="dxa" w:w="1735"/>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Modelo de dinâmica de biomassa bayesiano</w:t>
            </w:r>
          </w:p>
        </w:tc>
        <w:tc>
          <w:tcPr>
            <w:tcW w:type="dxa" w:w="2891"/>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Pesca sustentável; seria possível aumentar as capturas até 4.000 t</w:t>
            </w:r>
          </w:p>
        </w:tc>
        <w:tc>
          <w:tcPr>
            <w:tcW w:type="dxa" w:w="1928"/>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CPUE pouco informativa (posterior de r ≈ priori); aumento de eficiência não captado pelo esforço</w:t>
            </w:r>
          </w:p>
        </w:tc>
      </w:tr>
      <w:tr>
        <w:trPr>
          <w:cantSplit/>
        </w:trPr>
        <w:tc>
          <w:tcPr>
            <w:tcW w:type="dxa" w:w="1446"/>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DeAlteris (2012)</w:t>
            </w:r>
          </w:p>
        </w:tc>
        <w:tc>
          <w:tcPr>
            <w:tcW w:type="dxa" w:w="1638"/>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Capturas e CPUE (cerco artesanal e industrial), 1989–2009</w:t>
            </w:r>
          </w:p>
        </w:tc>
        <w:tc>
          <w:tcPr>
            <w:tcW w:type="dxa" w:w="1735"/>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Modelos de produção de equilíbrio e dinâmicos (Schaefer e Fox); rendimento e biomassa desovante por recruta</w:t>
            </w:r>
          </w:p>
        </w:tc>
        <w:tc>
          <w:tcPr>
            <w:tcW w:type="dxa" w:w="2891"/>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MSY ≈ 2.500 t; estoque sobrepescado e sob sobrepesca em 2009; recomendação de limitar desembarques a 1.000 t por 3 anos</w:t>
            </w:r>
          </w:p>
        </w:tc>
        <w:tc>
          <w:tcPr>
            <w:tcW w:type="dxa" w:w="1928"/>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Supõe CPUE representativa da abundância e área de pesca constante</w:t>
            </w:r>
          </w:p>
        </w:tc>
      </w:tr>
      <w:tr>
        <w:trPr>
          <w:cantSplit/>
        </w:trPr>
        <w:tc>
          <w:tcPr>
            <w:tcW w:type="dxa" w:w="1446"/>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Vieira (2019)</w:t>
            </w:r>
          </w:p>
        </w:tc>
        <w:tc>
          <w:tcPr>
            <w:tcW w:type="dxa" w:w="1638"/>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Capturas reconstruídas (Sea Around Us) e CPUE, 1950–2015; comprimentos 1989–2018</w:t>
            </w:r>
          </w:p>
        </w:tc>
        <w:tc>
          <w:tcPr>
            <w:tcW w:type="dxa" w:w="1735"/>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Schaefer; FiSAT II</w:t>
            </w:r>
          </w:p>
        </w:tc>
        <w:tc>
          <w:tcPr>
            <w:tcW w:type="dxa" w:w="2891"/>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MSY ≈ 5.600 t; sinais de declínio não conclusivos</w:t>
            </w:r>
          </w:p>
        </w:tc>
        <w:tc>
          <w:tcPr>
            <w:tcW w:type="dxa" w:w="1928"/>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Série de capturas reconstruída de outra fonte; relação fraca com o ambiente</w:t>
            </w:r>
          </w:p>
        </w:tc>
      </w:tr>
      <w:tr>
        <w:trPr>
          <w:cantSplit/>
        </w:trPr>
        <w:tc>
          <w:tcPr>
            <w:tcW w:type="dxa" w:w="1446"/>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da Luz &amp; Vieira (2020)</w:t>
            </w:r>
          </w:p>
        </w:tc>
        <w:tc>
          <w:tcPr>
            <w:tcW w:type="dxa" w:w="1638"/>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Capturas 1989–2015; comprimentos do mercado de São Vicente, 2004–2018</w:t>
            </w:r>
          </w:p>
        </w:tc>
        <w:tc>
          <w:tcPr>
            <w:tcW w:type="dxa" w:w="1735"/>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CMSY, BSM e LBB</w:t>
            </w:r>
          </w:p>
        </w:tc>
        <w:tc>
          <w:tcPr>
            <w:tcW w:type="dxa" w:w="2891"/>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MSY de 2.130–2.400 t; em 2015, B/Bmsy = 0,80 e F/Fmsy = 0,61: estoque em risco de ficar sobrepescado</w:t>
            </w:r>
          </w:p>
        </w:tc>
        <w:tc>
          <w:tcPr>
            <w:tcW w:type="dxa" w:w="1928"/>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Priori de depleção final vinda do LBB; comprimentos de um único mercado</w:t>
            </w:r>
          </w:p>
        </w:tc>
      </w:tr>
      <w:tr>
        <w:trPr>
          <w:cantSplit/>
        </w:trPr>
        <w:tc>
          <w:tcPr>
            <w:tcW w:type="dxa" w:w="1446"/>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Thiao (2026)</w:t>
            </w:r>
          </w:p>
        </w:tc>
        <w:tc>
          <w:tcPr>
            <w:tcW w:type="dxa" w:w="1638"/>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Capturas e CPUE industrial, 2004–2023</w:t>
            </w:r>
          </w:p>
        </w:tc>
        <w:tc>
          <w:tcPr>
            <w:tcW w:type="dxa" w:w="1735"/>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JABBA (Pella-Tomlinson) e modelo bioeconómico</w:t>
            </w:r>
          </w:p>
        </w:tc>
        <w:tc>
          <w:tcPr>
            <w:tcW w:type="dxa" w:w="2891"/>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MSY = 2.641 t; biomassa recente de 20–30% de Bmsy; estoque provavelmente em recuperação em 2023 (P = 72%)</w:t>
            </w:r>
          </w:p>
        </w:tc>
        <w:tc>
          <w:tcPr>
            <w:tcW w:type="dxa" w:w="1928"/>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CPUE industrial nominal, sem correção do direcionamento</w:t>
            </w:r>
          </w:p>
        </w:tc>
      </w:tr>
    </w:tbl>
    <w:p>
      <w:pPr>
        <w:spacing w:after="120"/>
      </w:pPr>
    </w:p>
    <w:p>
      <w:pPr>
        <w:spacing w:after="100"/>
        <w:ind w:firstLine="425"/>
        <w:jc w:val="both"/>
      </w:pPr>
      <w:r>
        <w:t xml:space="preserve">Essa divergência tem causas recorrentes, que as próprias avaliações anteriores já reconheciam. A primeira é o baixo conteúdo de informação da CPUE: Stobberup &amp; Erzini (2006) verificaram que a distribuição posterior da taxa intrínseca de crescimento (</w:t>
      </w:r>
      <w:r>
        <w:rPr>
          <w:i/>
          <w:iCs/>
        </w:rPr>
        <w:t xml:space="preserve">r</w:t>
      </w:r>
      <w:r>
        <w:t xml:space="preserve">) era quase idêntica à priori, isto é, a série de abundância não ensinava quase nada ao modelo. A segunda é que o esforço medido em dias de mar ou viagens não capta os ganhos de eficiência da frota, o que tende a produzir resultados otimistas (Stobberup &amp; Erzini, 2006). A terceira é o direcionamento: numa pescaria multiespecífica, a CPUE só representa a abundância da cavala se o esforço considerado for de fato dirigido a ela — premissa assumida, mas não verificada, em avaliações como DeAlteris (2012) e Thiao (2026). Por fim, os modelos baseados apenas em capturas (da Luz &amp; Vieira, 2020) dependem fortemente das premissas sobre a depleção inicial e final do estoque, que não podem ser estimadas a partir das capturas.</w:t>
      </w:r>
    </w:p>
    <w:p>
      <w:pPr>
        <w:pStyle w:val="Heading2"/>
      </w:pPr>
      <w:bookmarkStart w:name="sec7" w:id="7"/>
      <w:r>
        <w:t xml:space="preserve">1.5 O que este estudo acrescenta</w:t>
      </w:r>
      <w:bookmarkEnd w:id="7"/>
    </w:p>
    <w:p>
      <w:pPr>
        <w:spacing w:after="100"/>
        <w:ind w:firstLine="425"/>
        <w:jc w:val="both"/>
      </w:pPr>
      <w:r>
        <w:t xml:space="preserve">Este estudo parte das mesmas limitações, mas procura enfrentá-las de forma explícita. Primeiro, usa a série de dados mais longa e atual disponível: desembarques de 1989 a 2023 (com registros de cerco até 2025), esforço agregado da frota industrial de 1989 a 2014, registros por viagem de 2015 a 2025 e composições de comprimento de 1988 a 2024. Segundo, trata a mudança de direcionamento como parte do problema: os registros por viagem permitem identificar, pela composição das capturas, as táticas de pesca da frota e padronizar a CPUE levando-as em conta, em vez de supor que todo o esforço de cerco é dirigido à cavala (Maunder &amp; Punt, 2004).</w:t>
      </w:r>
    </w:p>
    <w:p>
      <w:pPr>
        <w:spacing w:after="100"/>
        <w:ind w:firstLine="425"/>
        <w:jc w:val="both"/>
      </w:pPr>
      <w:r>
        <w:t xml:space="preserve">Terceiro, ataca o problema por várias frentes. Foram aplicados seis modelos, que usam combinações diferentes de dados: dois modelos só de captura — DB-SRA (Dick &amp; MacCall, 2011) e CMSY++ (Froese et al., 2023); um modelo de captura e índice de abundância — JABBA (Winker et al., 2018); um modelo só de comprimento — LBSPR (Hordyk et al., 2015); e duas configurações do Stock Synthesis (Methot &amp; Wetzel, 2013), uma apenas com comprimentos e outra com capturas e comprimentos. Cada modelo responde a perguntas diferentes (produtividade, biomassa relativa, mortalidade por pesca, potencial reprodutivo) e erra de formas diferentes; o que se repete entre eles é o que merece mais confiança.</w:t>
      </w:r>
    </w:p>
    <w:p>
      <w:pPr>
        <w:spacing w:after="100"/>
        <w:ind w:firstLine="425"/>
        <w:jc w:val="both"/>
      </w:pPr>
      <w:r>
        <w:t xml:space="preserve">Quarto, cada modelo foi rodado sobre uma grade ampla de cenários — hipóteses de depleção, produtividade, mortalidade natural, índices e janelas de tempo — para separar o que vem dos dados do que vem das premissas. Quando um resultado muda pouco entre cenários, ele é informado pelos dados; quando acompanha a premissa, é a premissa que está falando. O objetivo final é chegar a estimativas de biomassa, mortalidade por pesca, estado atual e pontos de referência úteis para a gestão, acompanhadas de uma leitura honesta de quão confiáveis elas são.</w:t>
      </w:r>
    </w:p>
    <w:p>
      <w:pPr>
        <w:pStyle w:val="Heading1"/>
      </w:pPr>
      <w:bookmarkStart w:name="sec8" w:id="8"/>
      <w:r>
        <w:t xml:space="preserve">2. Metodologia geral</w:t>
      </w:r>
      <w:bookmarkEnd w:id="8"/>
    </w:p>
    <w:p>
      <w:pPr>
        <w:pStyle w:val="Heading2"/>
      </w:pPr>
      <w:bookmarkStart w:name="sec9" w:id="9"/>
      <w:r>
        <w:t xml:space="preserve">2.1 Área de estudo e unidade de estoque</w:t>
      </w:r>
      <w:bookmarkEnd w:id="9"/>
    </w:p>
    <w:p>
      <w:pPr>
        <w:spacing w:after="100"/>
        <w:ind w:firstLine="425"/>
        <w:jc w:val="both"/>
      </w:pPr>
      <w:r>
        <w:t xml:space="preserve">Cabo Verde é um arquipélago vulcânico de dez ilhas, a cerca de 600 km da costa ocidental africana, com uma zona económica exclusiva de aproximadamente 734 mil km² e uma plataforma continental estreita, de cerca de 10 mil km² (Ramos, s.d.). As ilhas dividem-se em Barlavento (norte) e Sotavento (sul), e a pesca de cavala preta concentra-se na plataforma e nos bancos próximos às ilhas.</w:t>
      </w:r>
    </w:p>
    <w:p>
      <w:pPr>
        <w:spacing w:after="100"/>
        <w:ind w:firstLine="425"/>
        <w:jc w:val="both"/>
      </w:pPr>
      <w:r>
        <w:t xml:space="preserve">Neste estudo, a cavala preta de Cabo Verde foi tratada como um </w:t>
      </w:r>
      <w:r>
        <w:rPr>
          <w:b/>
          <w:bCs/>
        </w:rPr>
        <w:t xml:space="preserve">estoque único para todo o arquipélago</w:t>
      </w:r>
      <w:r>
        <w:t xml:space="preserve">. As evidências de estrutura populacional são escassas. O único estudo específico, baseado em morfometria de 895 exemplares coletados entre maio e julho de 2002, sugeriu diferenças entre as ilhas do norte e do sul (Ramos &amp; Fujiwara, s.d.), mas trata-se de uma única amostragem, e diferenças morfométricas podem refletir o ambiente e não populações isoladas. Por outro lado, a análise da composição das capturas não encontrou efeitos de ilha ou região relevantes (Stobberup &amp; Erzini, 2006), e não existem para a espécie no arquipélago estudos genéticos de estrutura populacional, de marcação e recaptura ou de conectividade larval — os trabalhos genéticos disponíveis tratam da identificação das espécies de </w:t>
      </w:r>
      <w:r>
        <w:rPr>
          <w:i/>
          <w:iCs/>
        </w:rPr>
        <w:t xml:space="preserve">Decapterus</w:t>
      </w:r>
      <w:r>
        <w:t xml:space="preserve"> nas capturas e nas conservas (Brás, 2014; Lopes et al., 2021). Diante disso, e como todas as avaliações anteriores (com exceção de Ramos &amp; Fujiwara, s.d.) e a gestão em vigor tratam o recurso em escala de arquipélago, a hipótese de estoque único é a mais defensável, a mais simples e a mais útil para a gestão.</w:t>
      </w:r>
    </w:p>
    <w:p>
      <w:pPr>
        <w:pStyle w:val="Heading2"/>
      </w:pPr>
      <w:bookmarkStart w:name="sec10" w:id="10"/>
      <w:r>
        <w:t xml:space="preserve">2.2 Parâmetros de história de vida</w:t>
      </w:r>
      <w:bookmarkEnd w:id="10"/>
    </w:p>
    <w:p>
      <w:pPr>
        <w:spacing w:after="100"/>
        <w:ind w:firstLine="425"/>
        <w:jc w:val="both"/>
      </w:pPr>
      <w:r>
        <w:t xml:space="preserve">Os parâmetros biológicos usados nos modelos (crescimento, mortalidade natural, maturação, relação peso-comprimento e longevidade) vieram de uma compilação de todos os estudos disponíveis para a espécie em Cabo Verde. A busca incluiu </w:t>
      </w:r>
      <w:r>
        <w:rPr>
          <w:highlight w:val="yellow"/>
        </w:rPr>
        <w:t xml:space="preserve">[bases bibliográficas a confirmar: Google Scholar, Scopus, Web of Science e FishBase]</w:t>
      </w:r>
      <w:r>
        <w:t xml:space="preserve"> e a literatura cinzenta institucional (relatórios do INDP/IMar e da FAO, projetos finais da UNU-FTP e trabalhos de conclusão de curso da Uni-CV). De cada estudo foram extraídos o período e o local de amostragem, o tamanho amostral, os parâmetros de von Bertalanffy (L∞, K, t0), a relação peso-comprimento (a, b), o L50, a longevidade, as mortalidades natural (M), por pesca (F) e total (Z), as épocas de reprodução e recrutamento e os métodos usados. Só foram incluídos valores reportados explicitamente em comprimento furcal; medidas em comprimento total não foram convertidas, para não introduzir erro adicional.</w:t>
      </w:r>
    </w:p>
    <w:p>
      <w:pPr>
        <w:spacing w:after="100"/>
        <w:ind w:firstLine="425"/>
        <w:jc w:val="both"/>
      </w:pPr>
      <w:r>
        <w:t xml:space="preserve">Como os estudos diferem muito em qualidade, cada fonte recebeu uma nota de confiabilidade. Foram atribuídas notas de 1 (mais fraco) a 5 (mais forte) a seis critérios: tipo de publicação e revisão por pares; tamanho amostral; cobertura espacial; cobertura e continuidade temporal; robustez metodológica; e consistência interna do documento. A média das seis notas define o nível de confiabilidade: alta (≥ 4,0), média (2,5 a 3,9) ou baixa (&lt; 2,5). Fontes citadas apenas de forma indireta, cujo documento original não foi obtido, foram marcadas como não avaliáveis.</w:t>
      </w:r>
    </w:p>
    <w:p>
      <w:pPr>
        <w:spacing w:after="100"/>
        <w:ind w:firstLine="425"/>
        <w:jc w:val="both"/>
      </w:pPr>
      <w:r>
        <w:t xml:space="preserve">Ao todo foram reunidos 43 registros de parâmetros, provenientes de 12 fontes. Três fontes tiveram confiabilidade alta — Costa et al. (2020), Jardim (1999) e da Cruz Delgado et al. (2024); cinco tiveram confiabilidade média — Carvalho &amp; Caramelo (1999), Santos (2018), Almada (1997), da Luz &amp; Vieira (2020) e Vieira (2019); e duas, baixa — Stobberup &amp; Erzini (2006), como fonte de crescimento, e Tariche &amp; Martins (2009). Essas notas orientaram a escolha dos valores centrais e das faixas das prioris: fontes de alta confiabilidade definiram os valores de referência, e as demais foram usadas nos cenários de sensibilidade. A compilação completa, com as notas e as justificativas de cada fonte, está disponível publicamente no repositório do projeto (https://github.com/lucazsilva/Cabo-Verde---Stock-Assessment).</w:t>
      </w:r>
    </w:p>
    <w:p>
      <w:pPr>
        <w:pStyle w:val="Heading2"/>
      </w:pPr>
      <w:bookmarkStart w:name="sec11" w:id="11"/>
      <w:r>
        <w:t xml:space="preserve">2.3 Dados de captura, esforço e comprimento</w:t>
      </w:r>
      <w:bookmarkEnd w:id="11"/>
    </w:p>
    <w:p>
      <w:pPr>
        <w:spacing w:after="100"/>
        <w:ind w:firstLine="425"/>
        <w:jc w:val="both"/>
      </w:pPr>
      <w:r>
        <w:t xml:space="preserve">Todos os dados pesqueiros foram cedidos pelo Instituto do Mar (IMar, antigo INDP), responsável pela recolha e guarda das estatísticas de desembarque de Cabo Verde. A Tabela 2 resume cada conjunto de dados, o período coberto e o uso que teve neste estudo.</w:t>
      </w:r>
    </w:p>
    <w:p>
      <w:pPr>
        <w:keepNext/>
        <w:spacing w:after="60" w:before="120"/>
      </w:pPr>
      <w:r>
        <w:rPr>
          <w:b/>
          <w:bCs/>
          <w:sz w:val="20"/>
          <w:szCs w:val="20"/>
        </w:rPr>
        <w:t xml:space="preserve">Tabela 2.</w:t>
      </w:r>
      <w:r>
        <w:rPr>
          <w:sz w:val="20"/>
          <w:szCs w:val="20"/>
        </w:rPr>
        <w:t xml:space="preserve"> Conjuntos de dados usados neste estudo.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3"/>
        <w:gridCol w:w="3662"/>
        <w:gridCol w:w="2603"/>
      </w:tblGrid>
      <w:tr>
        <w:trPr>
          <w:tblHeader/>
        </w:trPr>
        <w:tc>
          <w:tcPr>
            <w:tcW w:type="dxa" w:w="2120"/>
            <w:tcBorders>
              <w:top w:val="single" w:color="A6B4C0" w:sz="4"/>
              <w:left w:val="single" w:color="A6B4C0" w:sz="4"/>
              <w:bottom w:val="single" w:color="A6B4C0" w:sz="4"/>
              <w:right w:val="single" w:color="A6B4C0" w:sz="4"/>
            </w:tcBorders>
            <w:shd w:fill="1F4E79" w:color="auto" w:val="clear"/>
            <w:tcMar>
              <w:top w:type="dxa" w:w="50"/>
              <w:left w:type="dxa" w:w="80"/>
              <w:bottom w:type="dxa" w:w="50"/>
              <w:right w:type="dxa" w:w="80"/>
            </w:tcMar>
          </w:tcPr>
          <w:p>
            <w:pPr>
              <w:spacing w:after="0"/>
            </w:pPr>
            <w:r>
              <w:rPr>
                <w:b/>
                <w:bCs/>
                <w:color w:val="FFFFFF"/>
                <w:sz w:val="18"/>
                <w:szCs w:val="18"/>
              </w:rPr>
              <w:t xml:space="preserve">Conjunto de dados</w:t>
            </w:r>
          </w:p>
        </w:tc>
        <w:tc>
          <w:tcPr>
            <w:tcW w:type="dxa" w:w="1253"/>
            <w:tcBorders>
              <w:top w:val="single" w:color="A6B4C0" w:sz="4"/>
              <w:left w:val="single" w:color="A6B4C0" w:sz="4"/>
              <w:bottom w:val="single" w:color="A6B4C0" w:sz="4"/>
              <w:right w:val="single" w:color="A6B4C0" w:sz="4"/>
            </w:tcBorders>
            <w:shd w:fill="1F4E79" w:color="auto" w:val="clear"/>
            <w:tcMar>
              <w:top w:type="dxa" w:w="50"/>
              <w:left w:type="dxa" w:w="80"/>
              <w:bottom w:type="dxa" w:w="50"/>
              <w:right w:type="dxa" w:w="80"/>
            </w:tcMar>
          </w:tcPr>
          <w:p>
            <w:pPr>
              <w:spacing w:after="0"/>
            </w:pPr>
            <w:r>
              <w:rPr>
                <w:b/>
                <w:bCs/>
                <w:color w:val="FFFFFF"/>
                <w:sz w:val="18"/>
                <w:szCs w:val="18"/>
              </w:rPr>
              <w:t xml:space="preserve">Período</w:t>
            </w:r>
          </w:p>
        </w:tc>
        <w:tc>
          <w:tcPr>
            <w:tcW w:type="dxa" w:w="3662"/>
            <w:tcBorders>
              <w:top w:val="single" w:color="A6B4C0" w:sz="4"/>
              <w:left w:val="single" w:color="A6B4C0" w:sz="4"/>
              <w:bottom w:val="single" w:color="A6B4C0" w:sz="4"/>
              <w:right w:val="single" w:color="A6B4C0" w:sz="4"/>
            </w:tcBorders>
            <w:shd w:fill="1F4E79" w:color="auto" w:val="clear"/>
            <w:tcMar>
              <w:top w:type="dxa" w:w="50"/>
              <w:left w:type="dxa" w:w="80"/>
              <w:bottom w:type="dxa" w:w="50"/>
              <w:right w:type="dxa" w:w="80"/>
            </w:tcMar>
          </w:tcPr>
          <w:p>
            <w:pPr>
              <w:spacing w:after="0"/>
            </w:pPr>
            <w:r>
              <w:rPr>
                <w:b/>
                <w:bCs/>
                <w:color w:val="FFFFFF"/>
                <w:sz w:val="18"/>
                <w:szCs w:val="18"/>
              </w:rPr>
              <w:t xml:space="preserve">Conteúdo</w:t>
            </w:r>
          </w:p>
        </w:tc>
        <w:tc>
          <w:tcPr>
            <w:tcW w:type="dxa" w:w="2603"/>
            <w:tcBorders>
              <w:top w:val="single" w:color="A6B4C0" w:sz="4"/>
              <w:left w:val="single" w:color="A6B4C0" w:sz="4"/>
              <w:bottom w:val="single" w:color="A6B4C0" w:sz="4"/>
              <w:right w:val="single" w:color="A6B4C0" w:sz="4"/>
            </w:tcBorders>
            <w:shd w:fill="1F4E79" w:color="auto" w:val="clear"/>
            <w:tcMar>
              <w:top w:type="dxa" w:w="50"/>
              <w:left w:type="dxa" w:w="80"/>
              <w:bottom w:type="dxa" w:w="50"/>
              <w:right w:type="dxa" w:w="80"/>
            </w:tcMar>
          </w:tcPr>
          <w:p>
            <w:pPr>
              <w:spacing w:after="0"/>
            </w:pPr>
            <w:r>
              <w:rPr>
                <w:b/>
                <w:bCs/>
                <w:color w:val="FFFFFF"/>
                <w:sz w:val="18"/>
                <w:szCs w:val="18"/>
              </w:rPr>
              <w:t xml:space="preserve">Uso neste estudo</w:t>
            </w:r>
          </w:p>
        </w:tc>
      </w:tr>
      <w:tr>
        <w:trPr>
          <w:cantSplit/>
        </w:trPr>
        <w:tc>
          <w:tcPr>
            <w:tcW w:type="dxa" w:w="2120"/>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Desembarques totais (todas as artes)</w:t>
            </w:r>
          </w:p>
        </w:tc>
        <w:tc>
          <w:tcPr>
            <w:tcW w:type="dxa" w:w="1253"/>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1989–2023</w:t>
            </w:r>
          </w:p>
        </w:tc>
        <w:tc>
          <w:tcPr>
            <w:tcW w:type="dxa" w:w="3662"/>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Desembarque anual de cavala preta de todas as frotas e artes (t)</w:t>
            </w:r>
          </w:p>
        </w:tc>
        <w:tc>
          <w:tcPr>
            <w:tcW w:type="dxa" w:w="2603"/>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Série de capturas dos modelos DB-SRA, CMSY++, JABBA e Stock Synthesis</w:t>
            </w:r>
          </w:p>
        </w:tc>
      </w:tr>
      <w:tr>
        <w:trPr>
          <w:cantSplit/>
        </w:trPr>
        <w:tc>
          <w:tcPr>
            <w:tcW w:type="dxa" w:w="2120"/>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Frota industrial – série histórica agregada</w:t>
            </w:r>
          </w:p>
        </w:tc>
        <w:tc>
          <w:tcPr>
            <w:tcW w:type="dxa" w:w="1253"/>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1989–2014</w:t>
            </w:r>
          </w:p>
        </w:tc>
        <w:tc>
          <w:tcPr>
            <w:tcW w:type="dxa" w:w="3662"/>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Desembarque anual de cavala preta e esforço total (dias de mar no cerco; viagens na linha de mão)</w:t>
            </w:r>
          </w:p>
        </w:tc>
        <w:tc>
          <w:tcPr>
            <w:tcW w:type="dxa" w:w="2603"/>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CPUE nominal do período histórico (JABBA)</w:t>
            </w:r>
          </w:p>
        </w:tc>
      </w:tr>
      <w:tr>
        <w:trPr>
          <w:cantSplit/>
        </w:trPr>
        <w:tc>
          <w:tcPr>
            <w:tcW w:type="dxa" w:w="2120"/>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Frota industrial – registros por viagem</w:t>
            </w:r>
          </w:p>
        </w:tc>
        <w:tc>
          <w:tcPr>
            <w:tcW w:type="dxa" w:w="1253"/>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2015–2025</w:t>
            </w:r>
          </w:p>
        </w:tc>
        <w:tc>
          <w:tcPr>
            <w:tcW w:type="dxa" w:w="3662"/>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Desembarque por espécie e viagem, com data, duração, ilha, porto, embarcação, arte, tripulação e banco de pesca</w:t>
            </w:r>
          </w:p>
        </w:tc>
        <w:tc>
          <w:tcPr>
            <w:tcW w:type="dxa" w:w="2603"/>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Identificação de táticas, padronização da CPUE e capturas de cerco de 2024–2025</w:t>
            </w:r>
          </w:p>
        </w:tc>
      </w:tr>
      <w:tr>
        <w:trPr>
          <w:cantSplit/>
        </w:trPr>
        <w:tc>
          <w:tcPr>
            <w:tcW w:type="dxa" w:w="2120"/>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Esforço por frota (Thiao, 2026)</w:t>
            </w:r>
          </w:p>
        </w:tc>
        <w:tc>
          <w:tcPr>
            <w:tcW w:type="dxa" w:w="1253"/>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2004–2023</w:t>
            </w:r>
          </w:p>
        </w:tc>
        <w:tc>
          <w:tcPr>
            <w:tcW w:type="dxa" w:w="3662"/>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Dias de mar da frota industrial e viagens da frota artesanal</w:t>
            </w:r>
          </w:p>
        </w:tc>
        <w:tc>
          <w:tcPr>
            <w:tcW w:type="dxa" w:w="2603"/>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Verificação cruzada do esforço </w:t>
            </w:r>
            <w:r>
              <w:rPr>
                <w:sz w:val="18"/>
                <w:szCs w:val="18"/>
                <w:highlight w:val="yellow"/>
              </w:rPr>
              <w:t xml:space="preserve">[confirmar uso]</w:t>
            </w:r>
          </w:p>
        </w:tc>
      </w:tr>
      <w:tr>
        <w:trPr>
          <w:cantSplit/>
        </w:trPr>
        <w:tc>
          <w:tcPr>
            <w:tcW w:type="dxa" w:w="2120"/>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Composições de comprimento</w:t>
            </w:r>
          </w:p>
        </w:tc>
        <w:tc>
          <w:tcPr>
            <w:tcW w:type="dxa" w:w="1253"/>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1988–2024</w:t>
            </w:r>
          </w:p>
        </w:tc>
        <w:tc>
          <w:tcPr>
            <w:tcW w:type="dxa" w:w="3662"/>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17.167 exemplares medidos (comprimento furcal, 1 cm)</w:t>
            </w:r>
          </w:p>
        </w:tc>
        <w:tc>
          <w:tcPr>
            <w:tcW w:type="dxa" w:w="2603"/>
            <w:tcBorders>
              <w:top w:val="single" w:color="A6B4C0" w:sz="4"/>
              <w:left w:val="single" w:color="A6B4C0" w:sz="4"/>
              <w:bottom w:val="single" w:color="A6B4C0" w:sz="4"/>
              <w:right w:val="single" w:color="A6B4C0" w:sz="4"/>
            </w:tcBorders>
            <w:tcMar>
              <w:top w:type="dxa" w:w="50"/>
              <w:left w:type="dxa" w:w="80"/>
              <w:bottom w:type="dxa" w:w="50"/>
              <w:right w:type="dxa" w:w="80"/>
            </w:tcMar>
          </w:tcPr>
          <w:p>
            <w:pPr>
              <w:spacing w:after="0"/>
            </w:pPr>
            <w:r>
              <w:rPr>
                <w:sz w:val="18"/>
                <w:szCs w:val="18"/>
              </w:rPr>
              <w:t xml:space="preserve">LBSPR e Stock Synthesis</w:t>
            </w:r>
          </w:p>
        </w:tc>
      </w:tr>
      <w:tr>
        <w:trPr>
          <w:cantSplit/>
        </w:trPr>
        <w:tc>
          <w:tcPr>
            <w:tcW w:type="dxa" w:w="2120"/>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Parâmetros de história de vida</w:t>
            </w:r>
          </w:p>
        </w:tc>
        <w:tc>
          <w:tcPr>
            <w:tcW w:type="dxa" w:w="1253"/>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Estudos de 1983 a 2021</w:t>
            </w:r>
          </w:p>
        </w:tc>
        <w:tc>
          <w:tcPr>
            <w:tcW w:type="dxa" w:w="3662"/>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43 registros de 12 fontes, com notas de confiabilidade</w:t>
            </w:r>
          </w:p>
        </w:tc>
        <w:tc>
          <w:tcPr>
            <w:tcW w:type="dxa" w:w="2603"/>
            <w:tcBorders>
              <w:top w:val="single" w:color="A6B4C0" w:sz="4"/>
              <w:left w:val="single" w:color="A6B4C0" w:sz="4"/>
              <w:bottom w:val="single" w:color="A6B4C0" w:sz="4"/>
              <w:right w:val="single" w:color="A6B4C0" w:sz="4"/>
            </w:tcBorders>
            <w:shd w:fill="EEF3F7" w:color="auto" w:val="clear"/>
            <w:tcMar>
              <w:top w:type="dxa" w:w="50"/>
              <w:left w:type="dxa" w:w="80"/>
              <w:bottom w:type="dxa" w:w="50"/>
              <w:right w:type="dxa" w:w="80"/>
            </w:tcMar>
          </w:tcPr>
          <w:p>
            <w:pPr>
              <w:spacing w:after="0"/>
            </w:pPr>
            <w:r>
              <w:rPr>
                <w:sz w:val="18"/>
                <w:szCs w:val="18"/>
              </w:rPr>
              <w:t xml:space="preserve">Prioris de M, r, crescimento e maturação em todos os modelos</w:t>
            </w:r>
          </w:p>
        </w:tc>
      </w:tr>
    </w:tbl>
    <w:p>
      <w:pPr>
        <w:spacing w:after="120"/>
      </w:pPr>
    </w:p>
    <w:p>
      <w:pPr>
        <w:pStyle w:val="Heading3"/>
      </w:pPr>
      <w:bookmarkStart w:name="sec12" w:id="12"/>
      <w:r>
        <w:t xml:space="preserve">2.3.1 Desembarques totais</w:t>
      </w:r>
      <w:bookmarkEnd w:id="12"/>
    </w:p>
    <w:p>
      <w:pPr>
        <w:spacing w:after="100"/>
        <w:ind w:firstLine="425"/>
        <w:jc w:val="both"/>
      </w:pPr>
      <w:r>
        <w:t xml:space="preserve">A série de desembarques totais de cavala preta, somando todas as artes e frotas, cobre 1989 a 2023 e é a série de capturas comum aos modelos. Dois anos foram corrigidos. Em 2014, o total registrado (151 t) era menor que a captura só da frota industrial de cerco no mesmo ano (1.273,8 t), o que é impossível; o valor foi considerado incompleto e substituído pela interpolação linear entre 2013 e 2015 (1.429 t). Em 2018, ano recolhido em formato diferente, o total (2.362 t) destoava fortemente dos anos vizinhos (150–800 t) e foi substituído pela média de 2015–2017 e 2019–2021 (554,5 t). Os mesmos valores corrigidos foram usados em todos os modelos. Para 2024 e 2025 não há total de todas as artes, apenas os registros da frota de cerco; esses dois anos entram somente nas análises que usam os dados por viagem.</w:t>
      </w:r>
    </w:p>
    <w:p>
      <w:pPr>
        <w:pStyle w:val="Heading3"/>
      </w:pPr>
      <w:bookmarkStart w:name="sec13" w:id="13"/>
      <w:r>
        <w:t xml:space="preserve">2.3.2 Esforço e captura da frota industrial</w:t>
      </w:r>
      <w:bookmarkEnd w:id="13"/>
    </w:p>
    <w:p>
      <w:pPr>
        <w:spacing w:after="100"/>
        <w:ind w:firstLine="425"/>
        <w:jc w:val="both"/>
      </w:pPr>
      <w:r>
        <w:t xml:space="preserve">Para 1989–2014 existe apenas uma série anual agregada da frota industrial, com o desembarque de cavala preta e o esforço total (dias de mar para a rede de cerco e número de viagens para a linha de mão). Essa série não identifica embarcações nem registra as outras espécies desembarcadas, de modo que não permite saber quanto do esforço foi dirigido à cavala.</w:t>
      </w:r>
    </w:p>
    <w:p>
      <w:pPr>
        <w:spacing w:after="100"/>
        <w:ind w:firstLine="425"/>
        <w:jc w:val="both"/>
      </w:pPr>
      <w:r>
        <w:t xml:space="preserve">A partir de 2015 os dados passam a ser registrados por viagem e por espécie. Cada registro traz a data de partida e chegada, a duração da viagem (dias e horas), a ilha, o porto, a embarcação, a arte de pesca, o número de pescadores, o banco de pesca e a quantidade desembarcada de cada espécie. Esses dados chegaram em três arquivos com estruturas diferentes: 2015–2017 (6.305 registros, ainda sem validação pelo IMar), 2018 (3.537 registros, em formato diferente e com menos campos) e 2019–2025 (17.144 registros, versão atualizada em setembro de 2026). A rede de cerco e a linha de mão respondem pela grande maioria dos registros, e as ilhas de Santiago e São Vicente concentram a maior parte dos desembarques. É esse detalhamento por viagem que permite identificar as táticas de pesca pela composição das capturas e padronizar a CPUE, como descrito na secção sobre o modelo JABBA </w:t>
      </w:r>
      <w:r>
        <w:rPr>
          <w:highlight w:val="yellow"/>
        </w:rPr>
        <w:t xml:space="preserve">[remeter à secção]</w:t>
      </w:r>
      <w:r>
        <w:t xml:space="preserve">.</w:t>
      </w:r>
    </w:p>
    <w:p>
      <w:pPr>
        <w:pStyle w:val="Heading3"/>
      </w:pPr>
      <w:bookmarkStart w:name="sec14" w:id="14"/>
      <w:r>
        <w:t xml:space="preserve">2.3.3 Composições de comprimento</w:t>
      </w:r>
      <w:bookmarkEnd w:id="14"/>
    </w:p>
    <w:p>
      <w:pPr>
        <w:spacing w:after="100"/>
        <w:ind w:firstLine="425"/>
        <w:jc w:val="both"/>
      </w:pPr>
      <w:r>
        <w:t xml:space="preserve">Os comprimentos vêm da amostragem biológica de rotina do IMar nos locais de desembarque e de venda, incluindo o mercado de peixe </w:t>
      </w:r>
      <w:r>
        <w:rPr>
          <w:highlight w:val="yellow"/>
        </w:rPr>
        <w:t xml:space="preserve">[confirmar os locais e o protocolo de amostragem com o IMar]</w:t>
      </w:r>
      <w:r>
        <w:t xml:space="preserve">. Os exemplares foram medidos em comprimento furcal, com precisão de 1 cm. A série disponível cobre 1988 a 2024 e soma 17.167 medições, com uma média de cerca de 480 exemplares por ano; não há dados para 1992, e alguns anos têm amostras pequenas (por exemplo, 41 exemplares em 1991 e 134 em 1999). Essas composições alimentam os modelos baseados em comprimento (LBSPR e Stock Synthesis) </w:t>
      </w:r>
      <w:r>
        <w:rPr>
          <w:highlight w:val="yellow"/>
        </w:rPr>
        <w:t xml:space="preserve">[confirmar se 2025 foi incluído e quais anos entraram em cada modelo]</w:t>
      </w:r>
      <w:r>
        <w:t xml:space="preserve">.</w:t>
      </w:r>
    </w:p>
    <w:p>
      <w:pPr>
        <w:pStyle w:val="Heading1"/>
      </w:pPr>
      <w:bookmarkStart w:name="sec15" w:id="15"/>
      <w:r>
        <w:t xml:space="preserve">Referências</w:t>
      </w:r>
      <w:bookmarkEnd w:id="15"/>
    </w:p>
    <w:p>
      <w:pPr>
        <w:spacing w:after="80"/>
        <w:ind w:left="425" w:hanging="425"/>
        <w:jc w:val="both"/>
      </w:pPr>
      <w:r>
        <w:t xml:space="preserve">Almada, E.O. 1997. Life history of scad mackerel </w:t>
      </w:r>
      <w:r>
        <w:rPr>
          <w:i/>
          <w:iCs/>
        </w:rPr>
        <w:t xml:space="preserve">Decapterus macarellus</w:t>
      </w:r>
      <w:r>
        <w:t xml:space="preserve"> Cuvier, 1833, in the waters off the Cape Verde Islands. Dissertação de mestrado. Universidade da Islândia, Reykjavík.</w:t>
      </w:r>
    </w:p>
    <w:p>
      <w:pPr>
        <w:spacing w:after="80"/>
        <w:ind w:left="425" w:hanging="425"/>
        <w:jc w:val="both"/>
      </w:pPr>
      <w:r>
        <w:t xml:space="preserve">Baptista, A.J.; Gominho, V.C.; Varela, A.S. 2009. Tendência e sazonalidade da ocorrência da cavala preta (</w:t>
      </w:r>
      <w:r>
        <w:rPr>
          <w:i/>
          <w:iCs/>
        </w:rPr>
        <w:t xml:space="preserve">Decapterus macarellus</w:t>
      </w:r>
      <w:r>
        <w:t xml:space="preserve">) em Cabo Verde. In: Congresso da Sociedade Brasileira de Economia, Administração e Sociologia Rural, Porto Alegre, 26–30 jul. 2009.</w:t>
      </w:r>
    </w:p>
    <w:p>
      <w:pPr>
        <w:spacing w:after="80"/>
        <w:ind w:left="425" w:hanging="425"/>
        <w:jc w:val="both"/>
      </w:pPr>
      <w:r>
        <w:t xml:space="preserve">Brás, N.R. 2014. Caracterização e traçabilidade genética de conservas de cavalas produzidas em Cabo Verde. Relatório de estágio (Licenciatura em Biologia Marinha e Pescas). Universidade de Cabo Verde, Mindelo.</w:t>
      </w:r>
    </w:p>
    <w:p>
      <w:pPr>
        <w:spacing w:after="80"/>
        <w:ind w:left="425" w:hanging="425"/>
        <w:jc w:val="both"/>
      </w:pPr>
      <w:r>
        <w:t xml:space="preserve">Cabo Verde. 2020. Resolução nº 185/2020, de 31 de dezembro. Aprova o Plano Executivo Anual de Gestão dos Recursos da Pesca para o ano de 2021. Boletim Oficial, I Série, nº 142, 2º suplemento.</w:t>
      </w:r>
    </w:p>
    <w:p>
      <w:pPr>
        <w:spacing w:after="80"/>
        <w:ind w:left="425" w:hanging="425"/>
        <w:jc w:val="both"/>
      </w:pPr>
      <w:r>
        <w:t xml:space="preserve">Caramelo, A.M.; Carvalho, M.E.M. 1995. Avaliação do estado do stock de cavala preta em Cabo Verde. Instituto Nacional de Desenvolvimento das Pescas (INDP), Mindelo.</w:t>
      </w:r>
    </w:p>
    <w:p>
      <w:pPr>
        <w:spacing w:after="80"/>
        <w:ind w:left="425" w:hanging="425"/>
        <w:jc w:val="both"/>
      </w:pPr>
      <w:r>
        <w:t xml:space="preserve">Carvalho, M.E.M.; Caramelo, A.M. 1999. Avaliação do estado da pescaria de cavala preta e do chicharro em Cabo Verde. In: Carvalho, E.M.; Morais, J.; Nascimento, J. (Eds.). Investigação e Gestão Haliêuticas em Cabo Verde. INDP, Mindelo, p. 143–153.</w:t>
      </w:r>
    </w:p>
    <w:p>
      <w:pPr>
        <w:spacing w:after="80"/>
        <w:ind w:left="425" w:hanging="425"/>
        <w:jc w:val="both"/>
      </w:pPr>
      <w:r>
        <w:t xml:space="preserve">Costa, M.P.V.; Cruz, D.R.S.; Monteiro, L.S.; Evora, K.S.M.; Cardoso, L.G. 2020. Reproductive biology of the mackerel scad </w:t>
      </w:r>
      <w:r>
        <w:rPr>
          <w:i/>
          <w:iCs/>
        </w:rPr>
        <w:t xml:space="preserve">Decapterus macarellus</w:t>
      </w:r>
      <w:r>
        <w:t xml:space="preserve"> from Cabo Verde and the implications for its fishery management. African Journal of Marine Science, 42(1): 35–42. https://doi.org/10.2989/1814232X.2020.1721328</w:t>
      </w:r>
    </w:p>
    <w:p>
      <w:pPr>
        <w:spacing w:after="80"/>
        <w:ind w:left="425" w:hanging="425"/>
        <w:jc w:val="both"/>
      </w:pPr>
      <w:r>
        <w:t xml:space="preserve">da Cruz Delgado, K.; Osemwegie, I.; Medina, A.D.; da Luz, A.N.; Kubik, Z.; Kouamelan, E.P. 2024. Ex-post evaluation of fishery management policies on wild fisheries production in northern Cabo Verde: an example of mackerel scad (</w:t>
      </w:r>
      <w:r>
        <w:rPr>
          <w:i/>
          <w:iCs/>
        </w:rPr>
        <w:t xml:space="preserve">Decapterus macarellus</w:t>
      </w:r>
      <w:r>
        <w:t xml:space="preserve">, Carangidae). Journal of Fish Biology, 105: 1212–1226. https://doi.org/10.1111/jfb.15861</w:t>
      </w:r>
    </w:p>
    <w:p>
      <w:pPr>
        <w:spacing w:after="80"/>
        <w:ind w:left="425" w:hanging="425"/>
        <w:jc w:val="both"/>
      </w:pPr>
      <w:r>
        <w:t xml:space="preserve">da Luz, A.; Vieira, N. 2020. Stock assessment of blackspot picarel (</w:t>
      </w:r>
      <w:r>
        <w:rPr>
          <w:i/>
          <w:iCs/>
        </w:rPr>
        <w:t xml:space="preserve">Spicara melanurus</w:t>
      </w:r>
      <w:r>
        <w:t xml:space="preserve">) and mackerel scad (</w:t>
      </w:r>
      <w:r>
        <w:rPr>
          <w:i/>
          <w:iCs/>
        </w:rPr>
        <w:t xml:space="preserve">Decapterus macarellus</w:t>
      </w:r>
      <w:r>
        <w:t xml:space="preserve">) in Cape Verde waters, Northwest Africa. In: Palomares, M.L.D.; Khalfallah, M.; Woroniak, J.; Pauly, D. (Eds.). Assessments of marine fisheries resources in West Africa with emphasis on small pelagics. Fisheries Centre Research Reports, 28(4): 5–17.</w:t>
      </w:r>
    </w:p>
    <w:p>
      <w:pPr>
        <w:spacing w:after="80"/>
        <w:ind w:left="425" w:hanging="425"/>
        <w:jc w:val="both"/>
      </w:pPr>
      <w:r>
        <w:t xml:space="preserve">DeAlteris, J. 2012. Assessment of stock status and intensity of exploitation for the cavala preta, chicharro and dobrada, small pelagic fishery resources in the waters surrounding Cape Verde. Intermediate report. West Africa Regional Fisheries Project – Cape Verde (WARFP-CV), Praia.</w:t>
      </w:r>
    </w:p>
    <w:p>
      <w:pPr>
        <w:spacing w:after="80"/>
        <w:ind w:left="425" w:hanging="425"/>
        <w:jc w:val="both"/>
      </w:pPr>
      <w:r>
        <w:t xml:space="preserve">DGRM – Direcção Geral dos Recursos Marinhos. 2019. Plano de Gestão dos Recursos da Pesca 2019–2023. DGRM, Mindelo.</w:t>
      </w:r>
    </w:p>
    <w:p>
      <w:pPr>
        <w:spacing w:after="80"/>
        <w:ind w:left="425" w:hanging="425"/>
        <w:jc w:val="both"/>
      </w:pPr>
      <w:r>
        <w:t xml:space="preserve">Dick, E.J.; MacCall, A.D. 2011. Depletion-Based Stock Reduction Analysis: a catch-based method for determining sustainable yields for data-poor fish stocks. Fisheries Research, 110: 331–341.</w:t>
      </w:r>
    </w:p>
    <w:p>
      <w:pPr>
        <w:spacing w:after="80"/>
        <w:ind w:left="425" w:hanging="425"/>
        <w:jc w:val="both"/>
      </w:pPr>
      <w:r>
        <w:t xml:space="preserve">Froese, R.; Winker, H.; Coro, G.; Palomares, M.L.D.; Tsikliras, A.C.; Dimarchopoulou, D.; Touloumis, K.; Demirel, N.; Vianna, G.M.S.; Scarcella, G.; Schijns, R.; Liang, C.; Pauly, D. 2023. New developments in the analysis of catch time series as the basis for fish stock assessments: the CMSY++ method. Acta Ichthyologica et Piscatoria, 53: 173–189.</w:t>
      </w:r>
    </w:p>
    <w:p>
      <w:pPr>
        <w:spacing w:after="80"/>
        <w:ind w:left="425" w:hanging="425"/>
        <w:jc w:val="both"/>
      </w:pPr>
      <w:r>
        <w:t xml:space="preserve">Fujiwara, S.; Ramos, V. s.d. Biology and resource management of cavala preta, </w:t>
      </w:r>
      <w:r>
        <w:rPr>
          <w:i/>
          <w:iCs/>
        </w:rPr>
        <w:t xml:space="preserve">Decapterus macarellus</w:t>
      </w:r>
      <w:r>
        <w:t xml:space="preserve">, in Cabo Verde waters. Projeto de Cooperação Técnica INDP/OFCF (dados de 2002–2003), Mindelo.</w:t>
      </w:r>
    </w:p>
    <w:p>
      <w:pPr>
        <w:spacing w:after="80"/>
        <w:ind w:left="425" w:hanging="425"/>
        <w:jc w:val="both"/>
      </w:pPr>
      <w:r>
        <w:t xml:space="preserve">Hordyk, A.; Ono, K.; Valencia, S.; Loneragan, N.; Prince, J. 2015. A novel length-based empirical estimation method of spawning potential ratio (SPR), and tests of its performance, for small-scale, data-poor fisheries. ICES Journal of Marine Science, 72(1): 217–231.</w:t>
      </w:r>
    </w:p>
    <w:p>
      <w:pPr>
        <w:spacing w:after="80"/>
        <w:ind w:left="425" w:hanging="425"/>
        <w:jc w:val="both"/>
      </w:pPr>
      <w:r>
        <w:t xml:space="preserve">Jardim, J.E. 1999. Contribuição para o estudo da pescaria de cavala preta (</w:t>
      </w:r>
      <w:r>
        <w:rPr>
          <w:i/>
          <w:iCs/>
        </w:rPr>
        <w:t xml:space="preserve">Decapterus macarellus</w:t>
      </w:r>
      <w:r>
        <w:t xml:space="preserve">) no Arquipélago de Cabo Verde no período de 1981 a 1992. In: Carvalho, E.M.; Morais, J.; Nascimento, J. (Eds.). Investigação e Gestão Haliêuticas em Cabo Verde. INDP, Mindelo, p. 215–233.</w:t>
      </w:r>
    </w:p>
    <w:p>
      <w:pPr>
        <w:spacing w:after="80"/>
        <w:ind w:left="425" w:hanging="425"/>
        <w:jc w:val="both"/>
      </w:pPr>
      <w:r>
        <w:t xml:space="preserve">Lopes, E.P.; Monteiro, V.; Martins, A.; Coelho, R.; Freitas, R.; Blancke, T.; Hanel, R. 2021. Confirmed record of the roughear scad </w:t>
      </w:r>
      <w:r>
        <w:rPr>
          <w:i/>
          <w:iCs/>
        </w:rPr>
        <w:t xml:space="preserve">Decapterus tabl</w:t>
      </w:r>
      <w:r>
        <w:t xml:space="preserve"> in the Cabo Verde Archipelago based on morphological and genetic data. Zoologia Caboverdiana, 9(1): 3–13.</w:t>
      </w:r>
    </w:p>
    <w:p>
      <w:pPr>
        <w:spacing w:after="80"/>
        <w:ind w:left="425" w:hanging="425"/>
        <w:jc w:val="both"/>
      </w:pPr>
      <w:r>
        <w:t xml:space="preserve">Maunder, M.N.; Punt, A.E. 2004. Standardizing catch and effort data: a review of recent approaches. Fisheries Research, 70: 141–159.</w:t>
      </w:r>
    </w:p>
    <w:p>
      <w:pPr>
        <w:spacing w:after="80"/>
        <w:ind w:left="425" w:hanging="425"/>
        <w:jc w:val="both"/>
      </w:pPr>
      <w:r>
        <w:t xml:space="preserve">Methot, R.D.; Wetzel, C.R. 2013. Stock synthesis: a biological and statistical framework for fish stock assessment and fishery management. Fisheries Research, 142: 86–99.</w:t>
      </w:r>
    </w:p>
    <w:p>
      <w:pPr>
        <w:spacing w:after="80"/>
        <w:ind w:left="425" w:hanging="425"/>
        <w:jc w:val="both"/>
      </w:pPr>
      <w:r>
        <w:t xml:space="preserve">Ramos, V. s.d. Early life history of cavala preta, </w:t>
      </w:r>
      <w:r>
        <w:rPr>
          <w:i/>
          <w:iCs/>
        </w:rPr>
        <w:t xml:space="preserve">Decapterus macarellus</w:t>
      </w:r>
      <w:r>
        <w:t xml:space="preserve">, by the larval net sampling. In: Relatório Final, Projeto de Cooperação Técnica na Área de Investigação Científica sobre Recursos Haliêuticos na ZEE de Cabo Verde (INDP/OFCF), Mindelo.</w:t>
      </w:r>
    </w:p>
    <w:p>
      <w:pPr>
        <w:spacing w:after="80"/>
        <w:ind w:left="425" w:hanging="425"/>
        <w:jc w:val="both"/>
      </w:pPr>
      <w:r>
        <w:t xml:space="preserve">Ramos, V.; Fujiwara, S. s.d. Preliminary analysis concerning morphometric data and application for fishery management on cavala preta </w:t>
      </w:r>
      <w:r>
        <w:rPr>
          <w:i/>
          <w:iCs/>
        </w:rPr>
        <w:t xml:space="preserve">Decapterus macarellus</w:t>
      </w:r>
      <w:r>
        <w:t xml:space="preserve"> in Cabo Verde waters. Projeto de Cooperação Técnica INDP/OFCF (dados de 2002), Mindelo.</w:t>
      </w:r>
    </w:p>
    <w:p>
      <w:pPr>
        <w:spacing w:after="80"/>
        <w:ind w:left="425" w:hanging="425"/>
        <w:jc w:val="both"/>
      </w:pPr>
      <w:r>
        <w:t xml:space="preserve">Santos, M.G. 2018. Dinâmica populacional da cavala preta (</w:t>
      </w:r>
      <w:r>
        <w:rPr>
          <w:i/>
          <w:iCs/>
        </w:rPr>
        <w:t xml:space="preserve">Decapterus macarellus</w:t>
      </w:r>
      <w:r>
        <w:t xml:space="preserve">) na região norte de Cabo Verde: diagnóstico do período de 2005–2018. Relatório de estágio (Licenciatura em Ciências Biológicas). Universidade de Cabo Verde / INDP, Mindelo.</w:t>
      </w:r>
    </w:p>
    <w:p>
      <w:pPr>
        <w:spacing w:after="80"/>
        <w:ind w:left="425" w:hanging="425"/>
        <w:jc w:val="both"/>
      </w:pPr>
      <w:r>
        <w:t xml:space="preserve">Stobberup, K.A.; Erzini, K. 2006. Assessing mackerel scad, </w:t>
      </w:r>
      <w:r>
        <w:rPr>
          <w:i/>
          <w:iCs/>
        </w:rPr>
        <w:t xml:space="preserve">Decapterus macarellus</w:t>
      </w:r>
      <w:r>
        <w:t xml:space="preserve">, in Cape Verde: using a Bayesian approach to biomass dynamic modelling in a data-limited situation. Fisheries Research, 82: 194–203. https://doi.org/10.1016/j.fishres.2006.06.005</w:t>
      </w:r>
    </w:p>
    <w:p>
      <w:pPr>
        <w:spacing w:after="80"/>
        <w:ind w:left="425" w:hanging="425"/>
        <w:jc w:val="both"/>
      </w:pPr>
      <w:r>
        <w:t xml:space="preserve">Tariche, O.; Martins, A. 2009. Dinâmica populacional e avaliação do estado de exploração dos principais recursos haliêuticos de Cabo Verde. INDP, Mindelo.</w:t>
      </w:r>
    </w:p>
    <w:p>
      <w:pPr>
        <w:spacing w:after="80"/>
        <w:ind w:left="425" w:hanging="425"/>
        <w:jc w:val="both"/>
      </w:pPr>
      <w:r>
        <w:t xml:space="preserve">Thiao, D. 2026. Preliminary bioeconomic assessment of mackerel scad and three tuna-like species in Cabo Verde. FAO Fisheries and Aquaculture Circular No. 1297. FAO, Roma. https://doi.org/10.4060/cd8722en</w:t>
      </w:r>
    </w:p>
    <w:p>
      <w:pPr>
        <w:spacing w:after="80"/>
        <w:ind w:left="425" w:hanging="425"/>
        <w:jc w:val="both"/>
      </w:pPr>
      <w:r>
        <w:t xml:space="preserve">Vieira, N. 2019. Stock assessment and the influence of environmental parameters on the distribution of mackerel scad (</w:t>
      </w:r>
      <w:r>
        <w:rPr>
          <w:i/>
          <w:iCs/>
        </w:rPr>
        <w:t xml:space="preserve">Decapterus macarellus</w:t>
      </w:r>
      <w:r>
        <w:t xml:space="preserve">) in Cabo Verde waters. Final project. United Nations University Fisheries Training Programme, Reykjavík.</w:t>
      </w:r>
    </w:p>
    <w:p>
      <w:pPr>
        <w:spacing w:after="80"/>
        <w:ind w:left="425" w:hanging="425"/>
        <w:jc w:val="both"/>
      </w:pPr>
      <w:r>
        <w:t xml:space="preserve">Winker, H.; Carvalho, F.; Kapur, M. 2018. JABBA: Just Another Bayesian Biomass Assessment. Fisheries Research, 204: 275–288.</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0696575">
          <wp:simplePos x="0" y="0"/>
          <wp:positionH relativeFrom="page">
            <wp:align>center</wp:align>
          </wp:positionH>
          <wp:positionV relativeFrom="page">
            <wp:align>center</wp:align>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p>
    <w:pPr>
      <w:jc w:val="right"/>
    </w:pPr>
    <w:r>
      <w:rPr>
        <w:i/>
        <w:iCs/>
        <w:color w:val="7F8C95"/>
        <w:sz w:val="16"/>
        <w:szCs w:val="16"/>
      </w:rPr>
      <w:t xml:space="preserve">Avaliação da cavala preta em Cabo Verde · Relatório final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0696575">
          <wp:simplePos x="0" y="0"/>
          <wp:positionH relativeFrom="page">
            <wp:align>center</wp:align>
          </wp:positionH>
          <wp:positionV relativeFrom="page">
            <wp:align>center</wp:align>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keepNext/>
      <w:spacing w:after="80" w:before="200"/>
      <w:outlineLvl w:val="1"/>
    </w:pPr>
    <w:rPr>
      <w:rFonts w:ascii="Times New Roman" w:cs="Times New Roman" w:eastAsia="Times New Roman" w:hAnsi="Times New Roman"/>
      <w:b/>
      <w:bCs/>
      <w:color w:val="1F4E79"/>
      <w:sz w:val="26"/>
      <w:szCs w:val="26"/>
    </w:rPr>
  </w:style>
  <w:style w:type="paragraph" w:styleId="Heading3">
    <w:name w:val="Heading 3"/>
    <w:basedOn w:val="Normal"/>
    <w:next w:val="Normal"/>
    <w:qFormat/>
    <w:pPr>
      <w:keepNext/>
      <w:spacing w:after="60" w:before="160"/>
      <w:outlineLvl w:val="2"/>
    </w:pPr>
    <w:rPr>
      <w:rFonts w:ascii="Times New Roman" w:cs="Times New Roman" w:eastAsia="Times New Roman" w:hAnsi="Times New Roman"/>
      <w:b/>
      <w:bCs/>
      <w:i/>
      <w:iCs/>
      <w:color w:val="3340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d84385bb3e1cf38db50e936fd27431a49df6d5.png"/></Relationships>
</file>

<file path=word/_rels/header2.xml.rels><?xml version="1.0" encoding="UTF-8"?><Relationships xmlns="http://schemas.openxmlformats.org/package/2006/relationships"><Relationship Id="rId0" Type="http://schemas.openxmlformats.org/officeDocument/2006/relationships/image" Target="media/57d84385bb3e1cf38db50e936fd27431a49df6d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Avaliação do estoque da cavala preta em Cabo Verde</dc:title>
  <dc:creator>Relatório cavala preta</dc:creator>
  <cp:lastModifiedBy>Un-named</cp:lastModifiedBy>
  <cp:revision>1</cp:revision>
  <dcterms:created xsi:type="dcterms:W3CDTF">2026-09-30T16:08:05.736Z</dcterms:created>
  <dcterms:modified xsi:type="dcterms:W3CDTF">2026-09-30T16:08:05.736Z</dcterms:modified>
</cp:coreProperties>
</file>

<file path=docProps/custom.xml><?xml version="1.0" encoding="utf-8"?>
<Properties xmlns="http://schemas.openxmlformats.org/officeDocument/2006/custom-properties" xmlns:vt="http://schemas.openxmlformats.org/officeDocument/2006/docPropsVTypes"/>
</file>