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A8248" w14:textId="3782DF59" w:rsidR="0022272D" w:rsidRDefault="00590EA9" w:rsidP="00590EA9">
      <w:pPr>
        <w:tabs>
          <w:tab w:val="left" w:pos="5574"/>
        </w:tabs>
        <w:jc w:val="center"/>
      </w:pPr>
      <w:r>
        <w:rPr>
          <w:noProof/>
        </w:rPr>
        <w:drawing>
          <wp:inline distT="0" distB="0" distL="0" distR="0" wp14:anchorId="20489B50" wp14:editId="7055C995">
            <wp:extent cx="1009439" cy="1009439"/>
            <wp:effectExtent l="0" t="0" r="635" b="635"/>
            <wp:docPr id="1149381101" name="Imagem 1" descr="UFRPE | Recife 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FRPE | Recife P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907" cy="1018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90EA9">
        <w:drawing>
          <wp:inline distT="0" distB="0" distL="0" distR="0" wp14:anchorId="12B16F01" wp14:editId="3BFC43D8">
            <wp:extent cx="1658112" cy="621792"/>
            <wp:effectExtent l="0" t="0" r="0" b="0"/>
            <wp:docPr id="9" name="Image 2" descr="/tmp/claude-0/-home-claude/fc1b0d19-c3ae-5c6c-b854-8d33620bb2e5/scratchpad/deck/img/im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2" descr="/tmp/claude-0/-home-claude/fc1b0d19-c3ae-5c6c-b854-8d33620bb2e5/scratchpad/deck/img/imar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8112" cy="6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0EA9">
        <w:rPr>
          <w:highlight w:val="yellow"/>
        </w:rPr>
        <w:t xml:space="preserve">(Logo </w:t>
      </w:r>
      <w:proofErr w:type="spellStart"/>
      <w:r w:rsidRPr="00590EA9">
        <w:rPr>
          <w:highlight w:val="yellow"/>
        </w:rPr>
        <w:t>sustentamares</w:t>
      </w:r>
      <w:proofErr w:type="spellEnd"/>
      <w:r w:rsidRPr="00590EA9">
        <w:rPr>
          <w:highlight w:val="yellow"/>
        </w:rPr>
        <w:t>)</w:t>
      </w:r>
    </w:p>
    <w:p w14:paraId="0A34BF81" w14:textId="77777777" w:rsidR="0022272D" w:rsidRPr="00650737" w:rsidRDefault="00000000">
      <w:pPr>
        <w:spacing w:after="120"/>
        <w:jc w:val="center"/>
        <w:rPr>
          <w:lang w:val="pt-BR"/>
        </w:rPr>
      </w:pPr>
      <w:r w:rsidRPr="00650737">
        <w:rPr>
          <w:b/>
          <w:bCs/>
          <w:color w:val="5B6770"/>
          <w:spacing w:val="60"/>
          <w:lang w:val="pt-BR"/>
        </w:rPr>
        <w:t>RELATÓRIO FINAL</w:t>
      </w:r>
    </w:p>
    <w:p w14:paraId="24A365F2" w14:textId="77777777" w:rsidR="0022272D" w:rsidRPr="00650737" w:rsidRDefault="00000000">
      <w:pPr>
        <w:jc w:val="center"/>
        <w:rPr>
          <w:lang w:val="pt-BR"/>
        </w:rPr>
      </w:pPr>
      <w:r w:rsidRPr="00650737">
        <w:rPr>
          <w:b/>
          <w:bCs/>
          <w:color w:val="1F4E79"/>
          <w:sz w:val="40"/>
          <w:szCs w:val="40"/>
          <w:lang w:val="pt-BR"/>
        </w:rPr>
        <w:t>Avaliação do estoque da cavala preta</w:t>
      </w:r>
    </w:p>
    <w:p w14:paraId="2B8AC397" w14:textId="77777777" w:rsidR="0022272D" w:rsidRPr="00650737" w:rsidRDefault="00000000">
      <w:pPr>
        <w:spacing w:after="240"/>
        <w:jc w:val="center"/>
        <w:rPr>
          <w:lang w:val="pt-BR"/>
        </w:rPr>
      </w:pPr>
      <w:r w:rsidRPr="00650737">
        <w:rPr>
          <w:b/>
          <w:bCs/>
          <w:color w:val="1F4E79"/>
          <w:sz w:val="40"/>
          <w:szCs w:val="40"/>
          <w:lang w:val="pt-BR"/>
        </w:rPr>
        <w:t>(</w:t>
      </w:r>
      <w:proofErr w:type="spellStart"/>
      <w:r w:rsidRPr="00650737">
        <w:rPr>
          <w:b/>
          <w:bCs/>
          <w:i/>
          <w:iCs/>
          <w:color w:val="1F4E79"/>
          <w:sz w:val="40"/>
          <w:szCs w:val="40"/>
          <w:lang w:val="pt-BR"/>
        </w:rPr>
        <w:t>Decapterus</w:t>
      </w:r>
      <w:proofErr w:type="spellEnd"/>
      <w:r w:rsidRPr="00650737">
        <w:rPr>
          <w:b/>
          <w:bCs/>
          <w:i/>
          <w:iCs/>
          <w:color w:val="1F4E79"/>
          <w:sz w:val="40"/>
          <w:szCs w:val="40"/>
          <w:lang w:val="pt-BR"/>
        </w:rPr>
        <w:t xml:space="preserve"> </w:t>
      </w:r>
      <w:proofErr w:type="spellStart"/>
      <w:r w:rsidRPr="00650737">
        <w:rPr>
          <w:b/>
          <w:bCs/>
          <w:i/>
          <w:iCs/>
          <w:color w:val="1F4E79"/>
          <w:sz w:val="40"/>
          <w:szCs w:val="40"/>
          <w:lang w:val="pt-BR"/>
        </w:rPr>
        <w:t>macarellus</w:t>
      </w:r>
      <w:proofErr w:type="spellEnd"/>
      <w:r w:rsidRPr="00650737">
        <w:rPr>
          <w:b/>
          <w:bCs/>
          <w:color w:val="1F4E79"/>
          <w:sz w:val="40"/>
          <w:szCs w:val="40"/>
          <w:lang w:val="pt-BR"/>
        </w:rPr>
        <w:t>) no arquipélago de Cabo Verde</w:t>
      </w:r>
    </w:p>
    <w:p w14:paraId="057E470F" w14:textId="77777777" w:rsidR="0022272D" w:rsidRPr="00650737" w:rsidRDefault="00000000">
      <w:pPr>
        <w:spacing w:after="1400"/>
        <w:jc w:val="center"/>
        <w:rPr>
          <w:lang w:val="pt-BR"/>
        </w:rPr>
      </w:pPr>
      <w:r w:rsidRPr="00650737">
        <w:rPr>
          <w:color w:val="33404A"/>
          <w:sz w:val="26"/>
          <w:szCs w:val="26"/>
          <w:lang w:val="pt-BR"/>
        </w:rPr>
        <w:t xml:space="preserve">Abordagem </w:t>
      </w:r>
      <w:proofErr w:type="spellStart"/>
      <w:r w:rsidRPr="00650737">
        <w:rPr>
          <w:color w:val="33404A"/>
          <w:sz w:val="26"/>
          <w:szCs w:val="26"/>
          <w:lang w:val="pt-BR"/>
        </w:rPr>
        <w:t>multimodelo</w:t>
      </w:r>
      <w:proofErr w:type="spellEnd"/>
      <w:r w:rsidRPr="00650737">
        <w:rPr>
          <w:color w:val="33404A"/>
          <w:sz w:val="26"/>
          <w:szCs w:val="26"/>
          <w:lang w:val="pt-BR"/>
        </w:rPr>
        <w:t xml:space="preserve"> com dados de captura, esforço e comprimento (1989–2025)</w:t>
      </w:r>
    </w:p>
    <w:p w14:paraId="073DB7C4" w14:textId="77777777" w:rsidR="00380B46" w:rsidRDefault="00380B46">
      <w:pPr>
        <w:spacing w:after="80"/>
        <w:jc w:val="center"/>
        <w:rPr>
          <w:b/>
          <w:bCs/>
          <w:lang w:val="pt-BR"/>
        </w:rPr>
      </w:pPr>
    </w:p>
    <w:p w14:paraId="5878BDB3" w14:textId="63CE952C" w:rsidR="0022272D" w:rsidRDefault="00000000">
      <w:pPr>
        <w:spacing w:after="80"/>
        <w:jc w:val="center"/>
        <w:rPr>
          <w:lang w:val="pt-BR"/>
        </w:rPr>
      </w:pPr>
      <w:r w:rsidRPr="00650737">
        <w:rPr>
          <w:b/>
          <w:bCs/>
          <w:lang w:val="pt-BR"/>
        </w:rPr>
        <w:t>Autores:</w:t>
      </w:r>
      <w:r w:rsidRPr="00650737">
        <w:rPr>
          <w:lang w:val="pt-BR"/>
        </w:rPr>
        <w:t xml:space="preserve"> </w:t>
      </w:r>
      <w:r w:rsidR="00650737">
        <w:rPr>
          <w:lang w:val="pt-BR"/>
        </w:rPr>
        <w:t>Matheus Lourenço Soares da Silva – Universidade Federal Rural de Pernambuco</w:t>
      </w:r>
    </w:p>
    <w:p w14:paraId="2A3A71EA" w14:textId="6BDE935F" w:rsidR="00650737" w:rsidRDefault="00650737" w:rsidP="00650737">
      <w:pPr>
        <w:spacing w:after="80"/>
        <w:jc w:val="center"/>
        <w:rPr>
          <w:lang w:val="pt-BR"/>
        </w:rPr>
      </w:pPr>
      <w:r>
        <w:rPr>
          <w:lang w:val="pt-BR"/>
        </w:rPr>
        <w:t xml:space="preserve">Lucas Santos </w:t>
      </w:r>
      <w:r>
        <w:rPr>
          <w:lang w:val="pt-BR"/>
        </w:rPr>
        <w:t>–</w:t>
      </w:r>
      <w:r>
        <w:rPr>
          <w:lang w:val="pt-BR"/>
        </w:rPr>
        <w:t xml:space="preserve"> </w:t>
      </w:r>
      <w:r>
        <w:rPr>
          <w:lang w:val="pt-BR"/>
        </w:rPr>
        <w:t>Universidade Federal Rural de Pernambuco</w:t>
      </w:r>
    </w:p>
    <w:p w14:paraId="2BE50734" w14:textId="77777777" w:rsidR="00590EA9" w:rsidRDefault="00590EA9" w:rsidP="00650737">
      <w:pPr>
        <w:spacing w:after="80"/>
        <w:jc w:val="center"/>
        <w:rPr>
          <w:lang w:val="pt-BR"/>
        </w:rPr>
      </w:pPr>
    </w:p>
    <w:p w14:paraId="5D6169BC" w14:textId="77777777" w:rsidR="00380B46" w:rsidRDefault="00380B46" w:rsidP="00380B46">
      <w:pPr>
        <w:spacing w:line="300" w:lineRule="auto"/>
        <w:jc w:val="both"/>
        <w:rPr>
          <w:lang w:val="pt-BR"/>
        </w:rPr>
      </w:pPr>
    </w:p>
    <w:p w14:paraId="274FFC2D" w14:textId="77777777" w:rsidR="00380B46" w:rsidRDefault="00380B46" w:rsidP="00380B46">
      <w:pPr>
        <w:spacing w:line="300" w:lineRule="auto"/>
        <w:jc w:val="both"/>
        <w:rPr>
          <w:lang w:val="pt-BR"/>
        </w:rPr>
      </w:pPr>
    </w:p>
    <w:p w14:paraId="45763B52" w14:textId="77777777" w:rsidR="00380B46" w:rsidRDefault="00380B46" w:rsidP="00380B46">
      <w:pPr>
        <w:spacing w:line="300" w:lineRule="auto"/>
        <w:jc w:val="both"/>
        <w:rPr>
          <w:lang w:val="pt-BR"/>
        </w:rPr>
      </w:pPr>
    </w:p>
    <w:p w14:paraId="0F188F95" w14:textId="305D7EE5" w:rsidR="00380B46" w:rsidRPr="00990EF8" w:rsidRDefault="00590EA9" w:rsidP="00380B46">
      <w:pPr>
        <w:spacing w:line="300" w:lineRule="auto"/>
        <w:jc w:val="both"/>
        <w:rPr>
          <w:bCs/>
          <w:lang w:val="pt-BR"/>
        </w:rPr>
      </w:pPr>
      <w:r>
        <w:rPr>
          <w:lang w:val="pt-BR"/>
        </w:rPr>
        <w:t xml:space="preserve">Projeto de cooperação internacional </w:t>
      </w:r>
      <w:r w:rsidR="00380B46" w:rsidRPr="00F94C0F">
        <w:rPr>
          <w:bCs/>
          <w:lang w:val="pt-BR"/>
        </w:rPr>
        <w:t>"</w:t>
      </w:r>
      <w:proofErr w:type="spellStart"/>
      <w:r w:rsidR="00380B46" w:rsidRPr="00F94C0F">
        <w:rPr>
          <w:bCs/>
          <w:lang w:val="pt-BR"/>
        </w:rPr>
        <w:t>SustentaMares</w:t>
      </w:r>
      <w:proofErr w:type="spellEnd"/>
      <w:r w:rsidR="00380B46" w:rsidRPr="00F94C0F">
        <w:rPr>
          <w:bCs/>
          <w:lang w:val="pt-BR"/>
        </w:rPr>
        <w:t xml:space="preserve"> – Pesca Sustentável sem Fronteiras", executado pela Universidade Federal Rural de Pernambuco (UFRPE), Brasil, e apoiado pelo Conselho Nacional de Desenvolvimento Científico e Tecnológico (CNPq), através da CHAMADA PÚBLICA MCTI/CNPQ Nº 16/2024 – Faixa 1: Projeto em Cooperação.</w:t>
      </w:r>
      <w:r w:rsidR="00380B46" w:rsidRPr="00990EF8">
        <w:rPr>
          <w:bCs/>
          <w:lang w:val="pt-BR"/>
        </w:rPr>
        <w:t xml:space="preserve">, </w:t>
      </w:r>
      <w:r w:rsidR="00380B46">
        <w:rPr>
          <w:bCs/>
          <w:lang w:val="pt-BR"/>
        </w:rPr>
        <w:t xml:space="preserve">realizado em conjunto com o Instituto do Mar – </w:t>
      </w:r>
      <w:proofErr w:type="spellStart"/>
      <w:r w:rsidR="00380B46">
        <w:rPr>
          <w:bCs/>
          <w:lang w:val="pt-BR"/>
        </w:rPr>
        <w:t>IMar</w:t>
      </w:r>
      <w:proofErr w:type="spellEnd"/>
      <w:r w:rsidR="00380B46" w:rsidRPr="00990EF8">
        <w:rPr>
          <w:bCs/>
          <w:lang w:val="pt-BR"/>
        </w:rPr>
        <w:t>, em Mindelo, São Vicente, Cabo Verde.</w:t>
      </w:r>
    </w:p>
    <w:p w14:paraId="457727B4" w14:textId="3C48F117" w:rsidR="00590EA9" w:rsidRPr="00650737" w:rsidRDefault="00590EA9" w:rsidP="00650737">
      <w:pPr>
        <w:spacing w:after="80"/>
        <w:jc w:val="center"/>
        <w:rPr>
          <w:lang w:val="pt-BR"/>
        </w:rPr>
      </w:pPr>
    </w:p>
    <w:p w14:paraId="06E277E0" w14:textId="77777777" w:rsidR="00650737" w:rsidRDefault="00650737">
      <w:pPr>
        <w:spacing w:before="1800"/>
        <w:jc w:val="center"/>
        <w:rPr>
          <w:sz w:val="22"/>
          <w:szCs w:val="22"/>
          <w:highlight w:val="yellow"/>
          <w:lang w:val="pt-BR"/>
        </w:rPr>
      </w:pPr>
    </w:p>
    <w:p w14:paraId="7AD96748" w14:textId="61373D3A" w:rsidR="0022272D" w:rsidRPr="00650737" w:rsidRDefault="00650737">
      <w:pPr>
        <w:spacing w:before="1800"/>
        <w:jc w:val="center"/>
        <w:rPr>
          <w:lang w:val="pt-BR"/>
        </w:rPr>
      </w:pPr>
      <w:r>
        <w:rPr>
          <w:sz w:val="22"/>
          <w:szCs w:val="22"/>
          <w:lang w:val="pt-BR"/>
        </w:rPr>
        <w:t>Mindelo</w:t>
      </w:r>
      <w:r w:rsidR="00000000" w:rsidRPr="00650737">
        <w:rPr>
          <w:sz w:val="22"/>
          <w:szCs w:val="22"/>
          <w:lang w:val="pt-BR"/>
        </w:rPr>
        <w:t>, setembro de 2026</w:t>
      </w:r>
    </w:p>
    <w:p w14:paraId="015C28A0" w14:textId="77777777" w:rsidR="0022272D" w:rsidRPr="00650737" w:rsidRDefault="00000000">
      <w:pPr>
        <w:rPr>
          <w:lang w:val="pt-BR"/>
        </w:rPr>
      </w:pPr>
      <w:r w:rsidRPr="00650737">
        <w:rPr>
          <w:lang w:val="pt-BR"/>
        </w:rPr>
        <w:br w:type="page"/>
      </w:r>
    </w:p>
    <w:p w14:paraId="478F3227" w14:textId="77777777" w:rsidR="0022272D" w:rsidRPr="00650737" w:rsidRDefault="00000000">
      <w:pPr>
        <w:pStyle w:val="Ttulo1"/>
        <w:rPr>
          <w:lang w:val="pt-BR"/>
        </w:rPr>
      </w:pPr>
      <w:bookmarkStart w:id="0" w:name="sec1"/>
      <w:r w:rsidRPr="00650737">
        <w:rPr>
          <w:lang w:val="pt-BR"/>
        </w:rPr>
        <w:lastRenderedPageBreak/>
        <w:t>Apresentação</w:t>
      </w:r>
      <w:bookmarkEnd w:id="0"/>
    </w:p>
    <w:p w14:paraId="5B83EC91" w14:textId="008733A5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Este relatório reúne a avaliação de estoque da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em Cabo Verde feita a partir dos dados de desembarque, esforço de pesca e comprimento cedidos pelo Instituto do Mar (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). O objetivo é oferecer à gestão pesqueira a leitura mais completa possível do estado do recurso com a informação hoje disponível, </w:t>
      </w:r>
      <w:r w:rsidR="00380B46">
        <w:rPr>
          <w:lang w:val="pt-BR"/>
        </w:rPr>
        <w:t xml:space="preserve">elucidando o que é advindo dos dados </w:t>
      </w:r>
      <w:r w:rsidRPr="00650737">
        <w:rPr>
          <w:lang w:val="pt-BR"/>
        </w:rPr>
        <w:t>e o que depende das premissas adotadas.</w:t>
      </w:r>
    </w:p>
    <w:p w14:paraId="6F175947" w14:textId="762D38D5" w:rsidR="0022272D" w:rsidRPr="00380B46" w:rsidRDefault="00000000">
      <w:pPr>
        <w:spacing w:after="100"/>
        <w:ind w:firstLine="425"/>
        <w:jc w:val="both"/>
        <w:rPr>
          <w:lang w:val="pt-BR"/>
        </w:rPr>
      </w:pPr>
      <w:r w:rsidRPr="00380B46">
        <w:rPr>
          <w:lang w:val="pt-BR"/>
        </w:rPr>
        <w:t>O relatório está organizado da seguinte forma. A Introdução apresenta a espécie, a pescaria, a gestão em vigor e as avaliações feitas até agora, e situa o que este estudo acrescenta. A Metodologia geral descreve a hipótese de unidade de estoque, a compilação dos parâmetros de história de vida e os dados usados. As partes seguintes</w:t>
      </w:r>
      <w:r w:rsidR="00520141">
        <w:rPr>
          <w:lang w:val="pt-BR"/>
        </w:rPr>
        <w:t xml:space="preserve"> </w:t>
      </w:r>
      <w:r w:rsidRPr="00380B46">
        <w:rPr>
          <w:lang w:val="pt-BR"/>
        </w:rPr>
        <w:t xml:space="preserve">tratam, em ordem, dos modelos baseados só em capturas (DB-SRA e CMSY++), do modelo de captura e índice de abundância (JABBA, incluindo a padronização da CPUE), dos modelos baseados em comprimento (LBSPR e Stock </w:t>
      </w:r>
      <w:proofErr w:type="spellStart"/>
      <w:r w:rsidRPr="00380B46">
        <w:rPr>
          <w:lang w:val="pt-BR"/>
        </w:rPr>
        <w:t>Synthesis</w:t>
      </w:r>
      <w:proofErr w:type="spellEnd"/>
      <w:r w:rsidRPr="00380B46">
        <w:rPr>
          <w:lang w:val="pt-BR"/>
        </w:rPr>
        <w:t>) e, por fim, da síntese dos resultados e das recomendações para a gestão.</w:t>
      </w:r>
    </w:p>
    <w:p w14:paraId="6DC8FA7E" w14:textId="77777777" w:rsidR="0022272D" w:rsidRPr="00650737" w:rsidRDefault="00000000">
      <w:pPr>
        <w:rPr>
          <w:lang w:val="pt-BR"/>
        </w:rPr>
      </w:pPr>
      <w:r w:rsidRPr="00650737">
        <w:rPr>
          <w:lang w:val="pt-BR"/>
        </w:rPr>
        <w:br w:type="page"/>
      </w:r>
    </w:p>
    <w:p w14:paraId="523E9DCC" w14:textId="77777777" w:rsidR="0022272D" w:rsidRPr="00650737" w:rsidRDefault="00000000">
      <w:pPr>
        <w:spacing w:after="200"/>
        <w:rPr>
          <w:lang w:val="pt-BR"/>
        </w:rPr>
      </w:pPr>
      <w:r w:rsidRPr="00650737">
        <w:rPr>
          <w:b/>
          <w:bCs/>
          <w:color w:val="1F4E79"/>
          <w:sz w:val="30"/>
          <w:szCs w:val="30"/>
          <w:lang w:val="pt-BR"/>
        </w:rPr>
        <w:lastRenderedPageBreak/>
        <w:t>Sumário</w:t>
      </w:r>
    </w:p>
    <w:p w14:paraId="473875D9" w14:textId="77777777" w:rsidR="0022272D" w:rsidRPr="00650737" w:rsidRDefault="00000000">
      <w:pPr>
        <w:tabs>
          <w:tab w:val="right" w:leader="dot" w:pos="9638"/>
        </w:tabs>
        <w:spacing w:before="80" w:after="80"/>
        <w:rPr>
          <w:lang w:val="pt-BR"/>
        </w:rPr>
      </w:pPr>
      <w:hyperlink w:anchor="sec2" w:history="1">
        <w:r w:rsidRPr="00650737">
          <w:rPr>
            <w:b/>
            <w:bCs/>
            <w:lang w:val="pt-BR"/>
          </w:rPr>
          <w:t>1. Introdu</w:t>
        </w:r>
        <w:r w:rsidRPr="00650737">
          <w:rPr>
            <w:b/>
            <w:bCs/>
            <w:lang w:val="pt-BR"/>
          </w:rPr>
          <w:t>ç</w:t>
        </w:r>
        <w:r w:rsidRPr="00650737">
          <w:rPr>
            <w:b/>
            <w:bCs/>
            <w:lang w:val="pt-BR"/>
          </w:rPr>
          <w:t>ão</w:t>
        </w:r>
        <w:r w:rsidRPr="00650737">
          <w:rPr>
            <w:b/>
            <w:bCs/>
            <w:lang w:val="pt-BR"/>
          </w:rPr>
          <w:tab/>
          <w:t>4</w:t>
        </w:r>
      </w:hyperlink>
    </w:p>
    <w:p w14:paraId="5C0DDE65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3" w:history="1">
        <w:r w:rsidRPr="00650737">
          <w:rPr>
            <w:lang w:val="pt-BR"/>
          </w:rPr>
          <w:t>1.1 A cavala preta e sua importância para Cabo Verde</w:t>
        </w:r>
        <w:r w:rsidRPr="00650737">
          <w:rPr>
            <w:lang w:val="pt-BR"/>
          </w:rPr>
          <w:tab/>
          <w:t>4</w:t>
        </w:r>
      </w:hyperlink>
    </w:p>
    <w:p w14:paraId="1B19BD5B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4" w:history="1">
        <w:r w:rsidRPr="00650737">
          <w:rPr>
            <w:lang w:val="pt-BR"/>
          </w:rPr>
          <w:t>1.2 A pescaria</w:t>
        </w:r>
        <w:r w:rsidRPr="00650737">
          <w:rPr>
            <w:lang w:val="pt-BR"/>
          </w:rPr>
          <w:tab/>
          <w:t>4</w:t>
        </w:r>
      </w:hyperlink>
    </w:p>
    <w:p w14:paraId="45821EC8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5" w:history="1">
        <w:r w:rsidRPr="00650737">
          <w:rPr>
            <w:lang w:val="pt-BR"/>
          </w:rPr>
          <w:t>1.3 Gestão da pescaria</w:t>
        </w:r>
        <w:r w:rsidRPr="00650737">
          <w:rPr>
            <w:lang w:val="pt-BR"/>
          </w:rPr>
          <w:tab/>
          <w:t>4</w:t>
        </w:r>
      </w:hyperlink>
    </w:p>
    <w:p w14:paraId="2BE3A684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6" w:history="1">
        <w:r w:rsidRPr="00650737">
          <w:rPr>
            <w:lang w:val="pt-BR"/>
          </w:rPr>
          <w:t>1.4 Avaliações anteriores do estoque</w:t>
        </w:r>
        <w:r w:rsidRPr="00650737">
          <w:rPr>
            <w:lang w:val="pt-BR"/>
          </w:rPr>
          <w:tab/>
          <w:t>5</w:t>
        </w:r>
      </w:hyperlink>
    </w:p>
    <w:p w14:paraId="5777D0D8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7" w:history="1">
        <w:r w:rsidRPr="00650737">
          <w:rPr>
            <w:lang w:val="pt-BR"/>
          </w:rPr>
          <w:t>1.5 O que este estudo acrescenta</w:t>
        </w:r>
        <w:r w:rsidRPr="00650737">
          <w:rPr>
            <w:lang w:val="pt-BR"/>
          </w:rPr>
          <w:tab/>
          <w:t>6</w:t>
        </w:r>
      </w:hyperlink>
    </w:p>
    <w:p w14:paraId="2A93E5D5" w14:textId="77777777" w:rsidR="0022272D" w:rsidRPr="00650737" w:rsidRDefault="00000000">
      <w:pPr>
        <w:tabs>
          <w:tab w:val="right" w:leader="dot" w:pos="9638"/>
        </w:tabs>
        <w:spacing w:before="80" w:after="80"/>
        <w:rPr>
          <w:lang w:val="pt-BR"/>
        </w:rPr>
      </w:pPr>
      <w:hyperlink w:anchor="sec8" w:history="1">
        <w:r w:rsidRPr="00650737">
          <w:rPr>
            <w:b/>
            <w:bCs/>
            <w:lang w:val="pt-BR"/>
          </w:rPr>
          <w:t>2. Metod</w:t>
        </w:r>
        <w:r w:rsidRPr="00650737">
          <w:rPr>
            <w:b/>
            <w:bCs/>
            <w:lang w:val="pt-BR"/>
          </w:rPr>
          <w:t>o</w:t>
        </w:r>
        <w:r w:rsidRPr="00650737">
          <w:rPr>
            <w:b/>
            <w:bCs/>
            <w:lang w:val="pt-BR"/>
          </w:rPr>
          <w:t>logia geral</w:t>
        </w:r>
        <w:r w:rsidRPr="00650737">
          <w:rPr>
            <w:b/>
            <w:bCs/>
            <w:lang w:val="pt-BR"/>
          </w:rPr>
          <w:tab/>
          <w:t>6</w:t>
        </w:r>
      </w:hyperlink>
    </w:p>
    <w:p w14:paraId="06E4DD6C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9" w:history="1">
        <w:r w:rsidRPr="00650737">
          <w:rPr>
            <w:lang w:val="pt-BR"/>
          </w:rPr>
          <w:t>2.1 Área de estudo e unidade de estoque</w:t>
        </w:r>
        <w:r w:rsidRPr="00650737">
          <w:rPr>
            <w:lang w:val="pt-BR"/>
          </w:rPr>
          <w:tab/>
          <w:t>6</w:t>
        </w:r>
      </w:hyperlink>
    </w:p>
    <w:p w14:paraId="150F1ED3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10" w:history="1">
        <w:r w:rsidRPr="00650737">
          <w:rPr>
            <w:lang w:val="pt-BR"/>
          </w:rPr>
          <w:t>2.2 Parâmetros de história de vida</w:t>
        </w:r>
        <w:r w:rsidRPr="00650737">
          <w:rPr>
            <w:lang w:val="pt-BR"/>
          </w:rPr>
          <w:tab/>
          <w:t>7</w:t>
        </w:r>
      </w:hyperlink>
    </w:p>
    <w:p w14:paraId="001E4D0A" w14:textId="77777777" w:rsidR="0022272D" w:rsidRPr="00650737" w:rsidRDefault="00000000">
      <w:pPr>
        <w:tabs>
          <w:tab w:val="right" w:leader="dot" w:pos="9638"/>
        </w:tabs>
        <w:spacing w:after="30"/>
        <w:ind w:left="400"/>
        <w:rPr>
          <w:lang w:val="pt-BR"/>
        </w:rPr>
      </w:pPr>
      <w:hyperlink w:anchor="sec11" w:history="1">
        <w:r w:rsidRPr="00650737">
          <w:rPr>
            <w:lang w:val="pt-BR"/>
          </w:rPr>
          <w:t>2.3 Dados de captura, esforço e comprimento</w:t>
        </w:r>
        <w:r w:rsidRPr="00650737">
          <w:rPr>
            <w:lang w:val="pt-BR"/>
          </w:rPr>
          <w:tab/>
          <w:t>7</w:t>
        </w:r>
      </w:hyperlink>
    </w:p>
    <w:p w14:paraId="257E1795" w14:textId="77777777" w:rsidR="0022272D" w:rsidRPr="00650737" w:rsidRDefault="00000000"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2" w:history="1">
        <w:r w:rsidRPr="00650737">
          <w:rPr>
            <w:lang w:val="pt-BR"/>
          </w:rPr>
          <w:t>2.3.1 Desembarques totais</w:t>
        </w:r>
        <w:r w:rsidRPr="00650737">
          <w:rPr>
            <w:lang w:val="pt-BR"/>
          </w:rPr>
          <w:tab/>
          <w:t>8</w:t>
        </w:r>
      </w:hyperlink>
    </w:p>
    <w:p w14:paraId="715B6347" w14:textId="77777777" w:rsidR="0022272D" w:rsidRPr="00650737" w:rsidRDefault="00000000"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3" w:history="1">
        <w:r w:rsidRPr="00650737">
          <w:rPr>
            <w:lang w:val="pt-BR"/>
          </w:rPr>
          <w:t>2.3.2 Esforço e captura da frota industrial</w:t>
        </w:r>
        <w:r w:rsidRPr="00650737">
          <w:rPr>
            <w:lang w:val="pt-BR"/>
          </w:rPr>
          <w:tab/>
          <w:t>8</w:t>
        </w:r>
      </w:hyperlink>
    </w:p>
    <w:p w14:paraId="59FC9334" w14:textId="77777777" w:rsidR="0022272D" w:rsidRPr="00650737" w:rsidRDefault="00000000">
      <w:pPr>
        <w:tabs>
          <w:tab w:val="right" w:leader="dot" w:pos="9638"/>
        </w:tabs>
        <w:spacing w:after="30"/>
        <w:ind w:left="800"/>
        <w:rPr>
          <w:lang w:val="pt-BR"/>
        </w:rPr>
      </w:pPr>
      <w:hyperlink w:anchor="sec14" w:history="1">
        <w:r w:rsidRPr="00650737">
          <w:rPr>
            <w:lang w:val="pt-BR"/>
          </w:rPr>
          <w:t>2.3.3 Composições de comprimento</w:t>
        </w:r>
        <w:r w:rsidRPr="00650737">
          <w:rPr>
            <w:lang w:val="pt-BR"/>
          </w:rPr>
          <w:tab/>
          <w:t>8</w:t>
        </w:r>
      </w:hyperlink>
    </w:p>
    <w:p w14:paraId="49A807D5" w14:textId="77777777" w:rsidR="0022272D" w:rsidRPr="00650737" w:rsidRDefault="00000000">
      <w:pPr>
        <w:tabs>
          <w:tab w:val="right" w:leader="dot" w:pos="9638"/>
        </w:tabs>
        <w:spacing w:before="80" w:after="80"/>
        <w:rPr>
          <w:lang w:val="pt-BR"/>
        </w:rPr>
      </w:pPr>
      <w:hyperlink w:anchor="sec15" w:history="1">
        <w:r w:rsidRPr="00650737">
          <w:rPr>
            <w:b/>
            <w:bCs/>
            <w:lang w:val="pt-BR"/>
          </w:rPr>
          <w:t>Referências</w:t>
        </w:r>
        <w:r w:rsidRPr="00650737">
          <w:rPr>
            <w:b/>
            <w:bCs/>
            <w:lang w:val="pt-BR"/>
          </w:rPr>
          <w:tab/>
          <w:t>8</w:t>
        </w:r>
      </w:hyperlink>
    </w:p>
    <w:p w14:paraId="4E415D54" w14:textId="77777777" w:rsidR="0022272D" w:rsidRPr="00650737" w:rsidRDefault="00000000">
      <w:pPr>
        <w:rPr>
          <w:lang w:val="pt-BR"/>
        </w:rPr>
      </w:pPr>
      <w:r w:rsidRPr="00650737">
        <w:rPr>
          <w:lang w:val="pt-BR"/>
        </w:rPr>
        <w:br w:type="page"/>
      </w:r>
    </w:p>
    <w:p w14:paraId="3CA64F62" w14:textId="77777777" w:rsidR="0022272D" w:rsidRPr="00650737" w:rsidRDefault="00000000">
      <w:pPr>
        <w:pStyle w:val="Ttulo1"/>
        <w:rPr>
          <w:lang w:val="pt-BR"/>
        </w:rPr>
      </w:pPr>
      <w:bookmarkStart w:id="1" w:name="sec2"/>
      <w:r w:rsidRPr="00650737">
        <w:rPr>
          <w:lang w:val="pt-BR"/>
        </w:rPr>
        <w:lastRenderedPageBreak/>
        <w:t>1. Introdução</w:t>
      </w:r>
      <w:bookmarkEnd w:id="1"/>
    </w:p>
    <w:p w14:paraId="534043B5" w14:textId="77777777" w:rsidR="0022272D" w:rsidRPr="00650737" w:rsidRDefault="00000000">
      <w:pPr>
        <w:pStyle w:val="Ttulo2"/>
        <w:rPr>
          <w:lang w:val="pt-BR"/>
        </w:rPr>
      </w:pPr>
      <w:bookmarkStart w:id="2" w:name="sec3"/>
      <w:r w:rsidRPr="00650737">
        <w:rPr>
          <w:lang w:val="pt-BR"/>
        </w:rPr>
        <w:t>1.1 A cavala preta e sua importância para Cabo Verde</w:t>
      </w:r>
      <w:bookmarkEnd w:id="2"/>
    </w:p>
    <w:p w14:paraId="6372602D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cavala preta, 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 xml:space="preserve"> (</w:t>
      </w:r>
      <w:proofErr w:type="spellStart"/>
      <w:r w:rsidRPr="00650737">
        <w:rPr>
          <w:lang w:val="pt-BR"/>
        </w:rPr>
        <w:t>Cuvier</w:t>
      </w:r>
      <w:proofErr w:type="spellEnd"/>
      <w:r w:rsidRPr="00650737">
        <w:rPr>
          <w:lang w:val="pt-BR"/>
        </w:rPr>
        <w:t xml:space="preserve">, 1833), é um pequeno pelágico da família </w:t>
      </w:r>
      <w:proofErr w:type="spellStart"/>
      <w:r w:rsidRPr="00650737">
        <w:rPr>
          <w:lang w:val="pt-BR"/>
        </w:rPr>
        <w:t>Carangidae</w:t>
      </w:r>
      <w:proofErr w:type="spellEnd"/>
      <w:r w:rsidRPr="00650737">
        <w:rPr>
          <w:lang w:val="pt-BR"/>
        </w:rPr>
        <w:t xml:space="preserve">, de distribuição </w:t>
      </w:r>
      <w:proofErr w:type="spellStart"/>
      <w:r w:rsidRPr="00650737">
        <w:rPr>
          <w:lang w:val="pt-BR"/>
        </w:rPr>
        <w:t>circunglobal</w:t>
      </w:r>
      <w:proofErr w:type="spellEnd"/>
      <w:r w:rsidRPr="00650737">
        <w:rPr>
          <w:lang w:val="pt-BR"/>
        </w:rPr>
        <w:t xml:space="preserve"> em águas tropicais e subtropicais, que vive em cardumes e é ativa de dia e de noite (da Luz &amp; Vieira, 2020). Em Cabo Verde é, historicamente, o principal recurso de pequenos pelágicos: chegou a representar quase 40% de todas as capturas do país no pico da pescaria, em 1997 e 1998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2006; Vieira, 2019).</w:t>
      </w:r>
    </w:p>
    <w:p w14:paraId="35E08DFE" w14:textId="511FDEF9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importância da espécie vai além do volume desembarcado. A cavala preta tem preço de primeira venda baixo e é, por isso, uma fonte de proteína acessível a boa parte da população; é o isco vivo e morto mais usado na pesca de atuns com salto e vara; e abastece a indústria </w:t>
      </w:r>
      <w:r w:rsidR="00055ED2">
        <w:rPr>
          <w:lang w:val="pt-BR"/>
        </w:rPr>
        <w:t>de conserva</w:t>
      </w:r>
      <w:r w:rsidRPr="00650737">
        <w:rPr>
          <w:lang w:val="pt-BR"/>
        </w:rPr>
        <w:t xml:space="preserve"> (Caramelo &amp; Carvalho, 1995; Baptista et al., 2009; Vieira, 2019). Qualquer mudança no estado do estoque afeta, portanto, a segurança alimentar, a pesca de grandes pelágicos e a economia local ao mesmo tempo.</w:t>
      </w:r>
    </w:p>
    <w:p w14:paraId="02B4157B" w14:textId="2911605A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biologia da espécie no arquipélago </w:t>
      </w:r>
      <w:r w:rsidR="00055ED2">
        <w:rPr>
          <w:lang w:val="pt-BR"/>
        </w:rPr>
        <w:t xml:space="preserve">descreve sua </w:t>
      </w:r>
      <w:r w:rsidRPr="00650737">
        <w:rPr>
          <w:lang w:val="pt-BR"/>
        </w:rPr>
        <w:t xml:space="preserve">reprodução </w:t>
      </w:r>
      <w:r w:rsidR="00055ED2">
        <w:rPr>
          <w:lang w:val="pt-BR"/>
        </w:rPr>
        <w:t>como</w:t>
      </w:r>
      <w:r w:rsidRPr="00650737">
        <w:rPr>
          <w:lang w:val="pt-BR"/>
        </w:rPr>
        <w:t xml:space="preserve"> longa, de março a outubro, com picos em março e entre julho e outubro, e o comprimento de primeira maturação (L50) foi estimado em 24,1 cm de comprimento </w:t>
      </w:r>
      <w:proofErr w:type="spellStart"/>
      <w:r w:rsidRPr="00650737">
        <w:rPr>
          <w:lang w:val="pt-BR"/>
        </w:rPr>
        <w:t>furcal</w:t>
      </w:r>
      <w:proofErr w:type="spellEnd"/>
      <w:r w:rsidRPr="00650737">
        <w:rPr>
          <w:lang w:val="pt-BR"/>
        </w:rPr>
        <w:t xml:space="preserve"> (CF) para fêmeas e 26,6 cm CF para machos (Costa et al., 2020); estudos anteriores estimaram valores menores, entre cerca de 20 e 23 cm CF (Almada, 1997; Santos, 2018). O crescimento é rápido: a espécie atinge cerca de 20 cm CF no primeiro ano e perto de 30 cm CF aos três anos, com comprimento assintótico em torno de 30 cm CF (Almada, 1997) e mortalidade natural estimada entre 0,6 e 0,7 ano⁻¹ (Santos, 2018). A ocorrência nas capturas é sazonal, maior entre janeiro e abril (Baptista et al., 2009), e há indícios de relação entre os desembarques e a temperatura da superfície do mar, com defasagem de cerca de dois anos (Fujiwara &amp; Ramos, s.d.).</w:t>
      </w:r>
    </w:p>
    <w:p w14:paraId="51A8B8BE" w14:textId="77777777" w:rsidR="0022272D" w:rsidRPr="00650737" w:rsidRDefault="00000000">
      <w:pPr>
        <w:pStyle w:val="Ttulo2"/>
        <w:rPr>
          <w:lang w:val="pt-BR"/>
        </w:rPr>
      </w:pPr>
      <w:bookmarkStart w:id="3" w:name="sec4"/>
      <w:r w:rsidRPr="00650737">
        <w:rPr>
          <w:lang w:val="pt-BR"/>
        </w:rPr>
        <w:t>1.2 A pescaria</w:t>
      </w:r>
      <w:bookmarkEnd w:id="3"/>
    </w:p>
    <w:p w14:paraId="50C43F8B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pesca de pequenos pelágicos em Cabo Verde é antiga, provavelmente iniciada nos anos 1930, e o registro estatístico começou nos anos 1980 (Caramelo &amp; Carvalho, 1995). A cavala preta é capturada sobretudo com rede de cerco, tanto pela frota industrial (embarcações com mais de 11 m e motor interno) como pela artesanal (botes, motorizados ou não), com capturas menores de linha de mão e rede de praia (Caramelo &amp; Carvalho, 1995; 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2006). A pescaria se concentra nas ilhas do norte (Barlavento), sobretudo em São Vicente, São Nicolau e Santo Antão, enquanto o chicharro domina nas ilhas do sul (Caramelo &amp; Carvalho, 1995).</w:t>
      </w:r>
    </w:p>
    <w:p w14:paraId="13C6A545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No início dos anos 1990 a pesca da cavala cresceu rapidamente, estimulada em parte por embarcações estrangeiras que compravam o pescado à frota nacional (Caramelo &amp; Carvalho, 1995). Segundo os dados do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 usados neste estudo, os desembarques totais saíram de 1.671 t em 1989 para o máximo de 3.015 t em 1998 e oscilaram entre cerca de 1.700 e 2.900 t até 2013. A partir de 2014 houve uma queda abrupta: 644 t em 2015 e menos de 250 t por ano entre 2021 e 2023. No mesmo período, a CPUE nominal da frota industrial caiu para cerca de 6% do valor de 2005 (</w:t>
      </w:r>
      <w:proofErr w:type="spellStart"/>
      <w:r w:rsidRPr="00650737">
        <w:rPr>
          <w:lang w:val="pt-BR"/>
        </w:rPr>
        <w:t>Thiao</w:t>
      </w:r>
      <w:proofErr w:type="spellEnd"/>
      <w:r w:rsidRPr="00650737">
        <w:rPr>
          <w:lang w:val="pt-BR"/>
        </w:rPr>
        <w:t>, 2026).</w:t>
      </w:r>
    </w:p>
    <w:p w14:paraId="46BEFF83" w14:textId="4F6BC6C9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Essa queda ainda não tem explicação consensual (Costa et al., 2020; da Cruz Delgado et al., 2024). Ela pode refletir uma redução real da biomassa, mas também mudanças na própria pescaria. A frota de cerco é multiespecífica: a mesma viagem desembarca cavala preta, chicharro, cavala branca e pequenos tunídeos, entre outras espécies, e o direcionamento da frota muda conforme a disponibilidade e o preço de cada uma (DGRM, 2019; Cabo Verde, 2020). Nos registros por viagem de 2015 a 2025, a cavala preta aparece em apenas uma fração das viagens de cerco, ao lado de várias </w:t>
      </w:r>
      <w:r w:rsidRPr="00650737">
        <w:rPr>
          <w:lang w:val="pt-BR"/>
        </w:rPr>
        <w:lastRenderedPageBreak/>
        <w:t>outras espécies. Quando a frota deixa de procurar a cavala, a captura e a CPUE caem mesmo que o estoque não tenha diminuído</w:t>
      </w:r>
      <w:r w:rsidR="00055ED2">
        <w:rPr>
          <w:lang w:val="pt-BR"/>
        </w:rPr>
        <w:t>,</w:t>
      </w:r>
      <w:r w:rsidRPr="00650737">
        <w:rPr>
          <w:lang w:val="pt-BR"/>
        </w:rPr>
        <w:t xml:space="preserve"> e </w:t>
      </w:r>
      <w:r w:rsidR="00055ED2">
        <w:rPr>
          <w:lang w:val="pt-BR"/>
        </w:rPr>
        <w:t xml:space="preserve">essa </w:t>
      </w:r>
      <w:r w:rsidRPr="00650737">
        <w:rPr>
          <w:lang w:val="pt-BR"/>
        </w:rPr>
        <w:t xml:space="preserve">ambiguidade torna a avaliação </w:t>
      </w:r>
      <w:r w:rsidR="00055ED2">
        <w:rPr>
          <w:lang w:val="pt-BR"/>
        </w:rPr>
        <w:t>mais complexa</w:t>
      </w:r>
      <w:r w:rsidRPr="00650737">
        <w:rPr>
          <w:lang w:val="pt-BR"/>
        </w:rPr>
        <w:t>.</w:t>
      </w:r>
    </w:p>
    <w:p w14:paraId="285D2E51" w14:textId="77777777" w:rsidR="0022272D" w:rsidRPr="00650737" w:rsidRDefault="00000000">
      <w:pPr>
        <w:pStyle w:val="Ttulo2"/>
        <w:rPr>
          <w:lang w:val="pt-BR"/>
        </w:rPr>
      </w:pPr>
      <w:bookmarkStart w:id="4" w:name="sec5"/>
      <w:r w:rsidRPr="00650737">
        <w:rPr>
          <w:lang w:val="pt-BR"/>
        </w:rPr>
        <w:t>1.3 Gestão da pescaria</w:t>
      </w:r>
      <w:bookmarkEnd w:id="4"/>
    </w:p>
    <w:p w14:paraId="19C69838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A pescaria é regulada no quadro do Decreto-Lei nº 3/2005 e dos planos de gestão dos recursos da pesca (da Cruz Delgado et al., 2024; DGRM, 2019). Para a cavala preta, as principais medidas são um período de defeso, criado em 2008 (1 de agosto a 30 de setembro) e depois ajustado para 15 de julho a 14 de setembro, e um tamanho mínimo de captura e comercialização, elevado de 18 para 20 cm CF (Cabo Verde, 2020; da Cruz Delgado et al., 2024). Na frota artesanal, a gestão prevê ainda uma modalidade de quota-avaliação por ilha (DGRM, 2019).</w:t>
      </w:r>
    </w:p>
    <w:p w14:paraId="72CA580F" w14:textId="26623278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Essas medidas têm limitações conhecidas. O tamanho mínimo de 20 cm CF está abaixo do L50 atual (24–27 cm CF), o que permite capturar muitos indivíduos imaturos, e o defeso cobre o principal pico reprodutivo, mas não toda a época de desova (Costa et al., 2020). O próprio Plano de Gestão 2019–2023 considera a cavala preta </w:t>
      </w:r>
      <w:proofErr w:type="spellStart"/>
      <w:r w:rsidRPr="00650737">
        <w:rPr>
          <w:lang w:val="pt-BR"/>
        </w:rPr>
        <w:t>sobre-explorada</w:t>
      </w:r>
      <w:proofErr w:type="spellEnd"/>
      <w:r w:rsidRPr="00650737">
        <w:rPr>
          <w:lang w:val="pt-BR"/>
        </w:rPr>
        <w:t xml:space="preserve"> e aponta a necessidade de um plano de recuperação, usando como referência capturas de 2.000 a 3.000 t (DGRM, 2019). Faltam, porém, monitoramento contínuo e avaliação dos efeitos das medidas adotadas (da Cruz Delgado et al., 2024), e a base de dados passou por mudanças institucionais e de formato</w:t>
      </w:r>
      <w:r w:rsidR="00055ED2">
        <w:rPr>
          <w:lang w:val="pt-BR"/>
        </w:rPr>
        <w:t>,</w:t>
      </w:r>
      <w:r w:rsidRPr="00650737">
        <w:rPr>
          <w:lang w:val="pt-BR"/>
        </w:rPr>
        <w:t xml:space="preserve"> da transição do INDP para 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 a registros de 2015–2017 ainda sem validação e de 2018 em formato diferente</w:t>
      </w:r>
      <w:r w:rsidR="00055ED2">
        <w:rPr>
          <w:lang w:val="pt-BR"/>
        </w:rPr>
        <w:t>,</w:t>
      </w:r>
      <w:r w:rsidRPr="00650737">
        <w:rPr>
          <w:lang w:val="pt-BR"/>
        </w:rPr>
        <w:t xml:space="preserve"> que dificultam a construção de séries longas e consistentes.</w:t>
      </w:r>
    </w:p>
    <w:p w14:paraId="57A12EBC" w14:textId="77777777" w:rsidR="0022272D" w:rsidRPr="00650737" w:rsidRDefault="00000000">
      <w:pPr>
        <w:pStyle w:val="Ttulo2"/>
        <w:rPr>
          <w:lang w:val="pt-BR"/>
        </w:rPr>
      </w:pPr>
      <w:bookmarkStart w:id="5" w:name="sec6"/>
      <w:r w:rsidRPr="00650737">
        <w:rPr>
          <w:lang w:val="pt-BR"/>
        </w:rPr>
        <w:t>1.4 Avaliações anteriores do estoque</w:t>
      </w:r>
      <w:bookmarkEnd w:id="5"/>
    </w:p>
    <w:p w14:paraId="5D8AC2BA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O estoque de cavala preta já foi avaliado várias vezes, com métodos e dados muito diferentes (Tabela 1). De forma geral, as estimativas de rendimento máximo sustentável (MSY) convergem para algo entre 2.000 e 2.700 t por ano, mas o diagnóstico do estado do estoque varia de “saudável, com margem para aumentar as capturas”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 a “</w:t>
      </w:r>
      <w:proofErr w:type="spellStart"/>
      <w:r w:rsidRPr="00650737">
        <w:rPr>
          <w:lang w:val="pt-BR"/>
        </w:rPr>
        <w:t>sobrepescado</w:t>
      </w:r>
      <w:proofErr w:type="spellEnd"/>
      <w:r w:rsidRPr="00650737">
        <w:rPr>
          <w:lang w:val="pt-BR"/>
        </w:rPr>
        <w:t xml:space="preserve"> e sob sobrepesca” (</w:t>
      </w:r>
      <w:proofErr w:type="spellStart"/>
      <w:r w:rsidRPr="00650737">
        <w:rPr>
          <w:lang w:val="pt-BR"/>
        </w:rPr>
        <w:t>DeAlteris</w:t>
      </w:r>
      <w:proofErr w:type="spellEnd"/>
      <w:r w:rsidRPr="00650737">
        <w:rPr>
          <w:lang w:val="pt-BR"/>
        </w:rPr>
        <w:t xml:space="preserve">, 2012; </w:t>
      </w:r>
      <w:proofErr w:type="spellStart"/>
      <w:r w:rsidRPr="00650737">
        <w:rPr>
          <w:lang w:val="pt-BR"/>
        </w:rPr>
        <w:t>Thiao</w:t>
      </w:r>
      <w:proofErr w:type="spellEnd"/>
      <w:r w:rsidRPr="00650737">
        <w:rPr>
          <w:lang w:val="pt-BR"/>
        </w:rPr>
        <w:t>, 2026).</w:t>
      </w:r>
    </w:p>
    <w:p w14:paraId="2F5D5102" w14:textId="77777777" w:rsidR="0022272D" w:rsidRPr="00650737" w:rsidRDefault="00000000">
      <w:pPr>
        <w:keepNext/>
        <w:spacing w:before="120" w:after="60"/>
        <w:rPr>
          <w:lang w:val="pt-BR"/>
        </w:rPr>
      </w:pPr>
      <w:r w:rsidRPr="00650737">
        <w:rPr>
          <w:b/>
          <w:bCs/>
          <w:sz w:val="20"/>
          <w:szCs w:val="20"/>
          <w:lang w:val="pt-BR"/>
        </w:rPr>
        <w:t>Tabela 1.</w:t>
      </w:r>
      <w:r w:rsidRPr="00650737">
        <w:rPr>
          <w:sz w:val="20"/>
          <w:szCs w:val="20"/>
          <w:lang w:val="pt-BR"/>
        </w:rPr>
        <w:t xml:space="preserve"> Avaliações anteriores do estoque de cavala preta (</w:t>
      </w:r>
      <w:proofErr w:type="spellStart"/>
      <w:r w:rsidRPr="00650737">
        <w:rPr>
          <w:i/>
          <w:iCs/>
          <w:sz w:val="20"/>
          <w:szCs w:val="20"/>
          <w:lang w:val="pt-BR"/>
        </w:rPr>
        <w:t>Decapterus</w:t>
      </w:r>
      <w:proofErr w:type="spellEnd"/>
      <w:r w:rsidRPr="00650737">
        <w:rPr>
          <w:i/>
          <w:iCs/>
          <w:sz w:val="20"/>
          <w:szCs w:val="20"/>
          <w:lang w:val="pt-BR"/>
        </w:rPr>
        <w:t xml:space="preserve"> </w:t>
      </w:r>
      <w:proofErr w:type="spellStart"/>
      <w:r w:rsidRPr="00650737">
        <w:rPr>
          <w:i/>
          <w:iCs/>
          <w:sz w:val="20"/>
          <w:szCs w:val="20"/>
          <w:lang w:val="pt-BR"/>
        </w:rPr>
        <w:t>macarellus</w:t>
      </w:r>
      <w:proofErr w:type="spellEnd"/>
      <w:r w:rsidRPr="00650737">
        <w:rPr>
          <w:sz w:val="20"/>
          <w:szCs w:val="20"/>
          <w:lang w:val="pt-BR"/>
        </w:rPr>
        <w:t>) em Cabo Verde.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1638"/>
        <w:gridCol w:w="1735"/>
        <w:gridCol w:w="2891"/>
        <w:gridCol w:w="1928"/>
      </w:tblGrid>
      <w:tr w:rsidR="0022272D" w14:paraId="50499A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F981BC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Estudo</w:t>
            </w:r>
            <w:proofErr w:type="spellEnd"/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F2D220" w14:textId="77777777" w:rsidR="0022272D" w:rsidRDefault="00000000">
            <w:r>
              <w:rPr>
                <w:b/>
                <w:bCs/>
                <w:color w:val="FFFFFF"/>
                <w:sz w:val="18"/>
                <w:szCs w:val="18"/>
              </w:rPr>
              <w:t>Dados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7404BE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  <w:proofErr w:type="spellEnd"/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E6D52C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Principais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resultados</w:t>
            </w:r>
            <w:proofErr w:type="spellEnd"/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8CE567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Limitações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apontadas</w:t>
            </w:r>
            <w:proofErr w:type="spellEnd"/>
          </w:p>
        </w:tc>
      </w:tr>
      <w:tr w:rsidR="0022272D" w:rsidRPr="00650737" w14:paraId="4FFD8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B2505F" w14:textId="77777777" w:rsidR="0022272D" w:rsidRDefault="00000000">
            <w:r>
              <w:rPr>
                <w:sz w:val="18"/>
                <w:szCs w:val="18"/>
              </w:rPr>
              <w:t>Caramelo &amp; Carvalho (1995)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22DC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Capturas, esforço e composições de comprimento, 1983–1994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62AF91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Análise de coortes por comprimento (Jones), em equilíbrio; projeções de captura e biomassa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F60EC9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Estoque em fase em que variações de até 10% no esforço não alteram capturas e biomassa de forma apreciável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A22F4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Esforço registrado só em nível de pescaria; incertezas nas composições de comprimento</w:t>
            </w:r>
          </w:p>
        </w:tc>
      </w:tr>
      <w:tr w:rsidR="0022272D" w:rsidRPr="00650737" w14:paraId="1857A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7BE44" w14:textId="77777777" w:rsidR="0022272D" w:rsidRDefault="00000000">
            <w:r>
              <w:rPr>
                <w:sz w:val="18"/>
                <w:szCs w:val="18"/>
              </w:rPr>
              <w:t>Almada (1997)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B0DB1" w14:textId="77777777" w:rsidR="0022272D" w:rsidRDefault="00000000">
            <w:proofErr w:type="spellStart"/>
            <w:r>
              <w:rPr>
                <w:sz w:val="18"/>
                <w:szCs w:val="18"/>
              </w:rPr>
              <w:t>Comprimentos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biologia</w:t>
            </w:r>
            <w:proofErr w:type="spellEnd"/>
            <w:r>
              <w:rPr>
                <w:sz w:val="18"/>
                <w:szCs w:val="18"/>
              </w:rPr>
              <w:t>, 1983–1996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93B14" w14:textId="77777777" w:rsidR="0022272D" w:rsidRDefault="00000000">
            <w:proofErr w:type="spellStart"/>
            <w:r>
              <w:rPr>
                <w:sz w:val="18"/>
                <w:szCs w:val="18"/>
              </w:rPr>
              <w:t>Crescimento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maturação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mortalidade</w:t>
            </w:r>
            <w:proofErr w:type="spellEnd"/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C712A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L∞ = 30,1 cm CF; parâmetros de história de vida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1E3EA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Estudo biológico, sem pontos de referência de gestão</w:t>
            </w:r>
          </w:p>
        </w:tc>
      </w:tr>
      <w:tr w:rsidR="0022272D" w:rsidRPr="00650737" w14:paraId="34BD1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65B51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Ramos &amp; Fujiwara (s.d.); Fujiwara &amp; Ramos (s.d.)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0A9EA" w14:textId="77777777" w:rsidR="0022272D" w:rsidRDefault="00000000">
            <w:proofErr w:type="spellStart"/>
            <w:r>
              <w:rPr>
                <w:sz w:val="18"/>
                <w:szCs w:val="18"/>
              </w:rPr>
              <w:t>Morfometria</w:t>
            </w:r>
            <w:proofErr w:type="spellEnd"/>
            <w:r>
              <w:rPr>
                <w:sz w:val="18"/>
                <w:szCs w:val="18"/>
              </w:rPr>
              <w:t xml:space="preserve"> (2002) e </w:t>
            </w:r>
            <w:proofErr w:type="spellStart"/>
            <w:r>
              <w:rPr>
                <w:sz w:val="18"/>
                <w:szCs w:val="18"/>
              </w:rPr>
              <w:t>capturas</w:t>
            </w:r>
            <w:proofErr w:type="spellEnd"/>
            <w:r>
              <w:rPr>
                <w:sz w:val="18"/>
                <w:szCs w:val="18"/>
              </w:rPr>
              <w:t>–</w:t>
            </w:r>
            <w:proofErr w:type="spellStart"/>
            <w:r>
              <w:rPr>
                <w:sz w:val="18"/>
                <w:szCs w:val="18"/>
              </w:rPr>
              <w:t>esforço</w:t>
            </w:r>
            <w:proofErr w:type="spellEnd"/>
            <w:r>
              <w:rPr>
                <w:sz w:val="18"/>
                <w:szCs w:val="18"/>
              </w:rPr>
              <w:t xml:space="preserve"> (1992–2000)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3545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Escalonamento multidimensional; modelo de Schaefer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2781BF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Dois grupos (norte e sul); MSY de 2.213 t (norte) e 593 t (sul); esforço histórico acima do nível do MSY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A944B1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Uma única amostragem morfométrica; separação de estoques não confirmada</w:t>
            </w:r>
          </w:p>
        </w:tc>
      </w:tr>
      <w:tr w:rsidR="0022272D" w:rsidRPr="00650737" w14:paraId="501C1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B47FF" w14:textId="77777777" w:rsidR="0022272D" w:rsidRDefault="00000000">
            <w:r>
              <w:rPr>
                <w:sz w:val="18"/>
                <w:szCs w:val="18"/>
              </w:rPr>
              <w:t xml:space="preserve">Stobberup &amp; </w:t>
            </w:r>
            <w:proofErr w:type="spellStart"/>
            <w:r>
              <w:rPr>
                <w:sz w:val="18"/>
                <w:szCs w:val="18"/>
              </w:rPr>
              <w:t>Erzini</w:t>
            </w:r>
            <w:proofErr w:type="spellEnd"/>
            <w:r>
              <w:rPr>
                <w:sz w:val="18"/>
                <w:szCs w:val="18"/>
              </w:rPr>
              <w:t xml:space="preserve"> (2006)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E5EB4A" w14:textId="77777777" w:rsidR="0022272D" w:rsidRDefault="00000000">
            <w:proofErr w:type="spellStart"/>
            <w:r>
              <w:rPr>
                <w:sz w:val="18"/>
                <w:szCs w:val="18"/>
              </w:rPr>
              <w:t>Capturas</w:t>
            </w:r>
            <w:proofErr w:type="spellEnd"/>
            <w:r>
              <w:rPr>
                <w:sz w:val="18"/>
                <w:szCs w:val="18"/>
              </w:rPr>
              <w:t xml:space="preserve"> e CPUE, </w:t>
            </w:r>
            <w:proofErr w:type="spellStart"/>
            <w:r>
              <w:rPr>
                <w:sz w:val="18"/>
                <w:szCs w:val="18"/>
              </w:rPr>
              <w:t>até</w:t>
            </w:r>
            <w:proofErr w:type="spellEnd"/>
            <w:r>
              <w:rPr>
                <w:sz w:val="18"/>
                <w:szCs w:val="18"/>
              </w:rPr>
              <w:t xml:space="preserve"> 2004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02DB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Modelo de dinâmica de biomassa bayesiano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663897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Pesca sustentável; seria possível aumentar as capturas até 4.000 t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95EFC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CPUE pouco informativa (posterior de r ≈ priori); aumento de eficiência não captado pelo esforço</w:t>
            </w:r>
          </w:p>
        </w:tc>
      </w:tr>
      <w:tr w:rsidR="0022272D" w:rsidRPr="00650737" w14:paraId="31165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8DC214" w14:textId="77777777" w:rsidR="0022272D" w:rsidRDefault="00000000">
            <w:proofErr w:type="spellStart"/>
            <w:r>
              <w:rPr>
                <w:sz w:val="18"/>
                <w:szCs w:val="18"/>
              </w:rPr>
              <w:lastRenderedPageBreak/>
              <w:t>DeAlteris</w:t>
            </w:r>
            <w:proofErr w:type="spellEnd"/>
            <w:r>
              <w:rPr>
                <w:sz w:val="18"/>
                <w:szCs w:val="18"/>
              </w:rPr>
              <w:t xml:space="preserve"> (2012)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5B61A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 e CPUE (cerco artesanal e industrial), 1989–2009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DAB65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Modelos de produção de equilíbrio e dinâmicos (Schaefer e Fox); rendimento e biomassa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desovante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por recruta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64FADC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MSY ≈ 2.500 t; estoque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sobrepescado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e sob sobrepesca em 2009; recomendação de limitar desembarques a 1.000 t por 3 anos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F8BA7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Supõe CPUE representativa da abundância e área de pesca constante</w:t>
            </w:r>
          </w:p>
        </w:tc>
      </w:tr>
      <w:tr w:rsidR="0022272D" w:rsidRPr="00650737" w14:paraId="06CEE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3AE526" w14:textId="77777777" w:rsidR="0022272D" w:rsidRDefault="00000000">
            <w:r>
              <w:rPr>
                <w:sz w:val="18"/>
                <w:szCs w:val="18"/>
              </w:rPr>
              <w:t>Vieira (2019)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75B04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 reconstruídas (Sea Around Us) e CPUE, 1950–2015; comprimentos 1989–2018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F88CF3" w14:textId="77777777" w:rsidR="0022272D" w:rsidRDefault="00000000">
            <w:r>
              <w:rPr>
                <w:sz w:val="18"/>
                <w:szCs w:val="18"/>
              </w:rPr>
              <w:t xml:space="preserve">Schaefer; </w:t>
            </w:r>
            <w:proofErr w:type="spellStart"/>
            <w:r>
              <w:rPr>
                <w:sz w:val="18"/>
                <w:szCs w:val="18"/>
              </w:rPr>
              <w:t>FiSAT</w:t>
            </w:r>
            <w:proofErr w:type="spellEnd"/>
            <w:r>
              <w:rPr>
                <w:sz w:val="18"/>
                <w:szCs w:val="18"/>
              </w:rPr>
              <w:t xml:space="preserve"> II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443B7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MSY ≈ 5.600 t; sinais de declínio não conclusivos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A215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Série de capturas reconstruída de outra fonte; relação fraca com o ambiente</w:t>
            </w:r>
          </w:p>
        </w:tc>
      </w:tr>
      <w:tr w:rsidR="0022272D" w:rsidRPr="00650737" w14:paraId="5DDDE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21A632" w14:textId="77777777" w:rsidR="0022272D" w:rsidRDefault="00000000">
            <w:r>
              <w:rPr>
                <w:sz w:val="18"/>
                <w:szCs w:val="18"/>
              </w:rPr>
              <w:t>da Luz &amp; Vieira (2020)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1AAE1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Capturas 1989–2015; comprimentos do mercado de São Vicente, 2004–2018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351DA1" w14:textId="77777777" w:rsidR="0022272D" w:rsidRDefault="00000000">
            <w:r>
              <w:rPr>
                <w:sz w:val="18"/>
                <w:szCs w:val="18"/>
              </w:rPr>
              <w:t>CMSY, BSM e LBB</w:t>
            </w:r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E838D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MSY de 2.130–2.400 t; em 2015, B/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Bmsy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= 0,80 e F/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Fmsy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= 0,61: estoque em risco de ficar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sobrepescado</w:t>
            </w:r>
            <w:proofErr w:type="spellEnd"/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C99ECC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Priori de depleção final vinda do LBB; comprimentos de um único mercado</w:t>
            </w:r>
          </w:p>
        </w:tc>
      </w:tr>
      <w:tr w:rsidR="0022272D" w:rsidRPr="00650737" w14:paraId="3AF4E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A05CDA" w14:textId="77777777" w:rsidR="0022272D" w:rsidRDefault="00000000">
            <w:r>
              <w:rPr>
                <w:sz w:val="18"/>
                <w:szCs w:val="18"/>
              </w:rPr>
              <w:t>Thiao (2026)</w:t>
            </w:r>
          </w:p>
        </w:tc>
        <w:tc>
          <w:tcPr>
            <w:tcW w:w="163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16D863" w14:textId="77777777" w:rsidR="0022272D" w:rsidRDefault="00000000">
            <w:proofErr w:type="spellStart"/>
            <w:r>
              <w:rPr>
                <w:sz w:val="18"/>
                <w:szCs w:val="18"/>
              </w:rPr>
              <w:t>Capturas</w:t>
            </w:r>
            <w:proofErr w:type="spellEnd"/>
            <w:r>
              <w:rPr>
                <w:sz w:val="18"/>
                <w:szCs w:val="18"/>
              </w:rPr>
              <w:t xml:space="preserve"> e CPUE industrial, 2004–2023</w:t>
            </w:r>
          </w:p>
        </w:tc>
        <w:tc>
          <w:tcPr>
            <w:tcW w:w="1735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8027D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JABBA (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Pella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-Tomlinson) e modelo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bioeconómico</w:t>
            </w:r>
            <w:proofErr w:type="spellEnd"/>
          </w:p>
        </w:tc>
        <w:tc>
          <w:tcPr>
            <w:tcW w:w="2891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045BE9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MSY = 2.641 t; biomassa recente de 20–30% de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Bmsy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>; estoque provavelmente em recuperação em 2023 (P = 72%)</w:t>
            </w:r>
          </w:p>
        </w:tc>
        <w:tc>
          <w:tcPr>
            <w:tcW w:w="1928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46E612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CPUE industrial nominal, sem correção do direcionamento</w:t>
            </w:r>
          </w:p>
        </w:tc>
      </w:tr>
    </w:tbl>
    <w:p w14:paraId="614DBA1E" w14:textId="77777777" w:rsidR="0022272D" w:rsidRPr="00650737" w:rsidRDefault="0022272D">
      <w:pPr>
        <w:spacing w:after="120"/>
        <w:rPr>
          <w:lang w:val="pt-BR"/>
        </w:rPr>
      </w:pPr>
    </w:p>
    <w:p w14:paraId="7DE9FDB1" w14:textId="53F2FFBF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Essa divergência tem causas recorrentes, que as próprias avaliações anteriores já reconheciam. A primeira é o baixo conteúdo de informação da CPUE: 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 xml:space="preserve"> (2006) verificaram que a distribuição posterior da taxa intrínseca de crescimento (</w:t>
      </w:r>
      <w:r w:rsidRPr="00650737">
        <w:rPr>
          <w:i/>
          <w:iCs/>
          <w:lang w:val="pt-BR"/>
        </w:rPr>
        <w:t>r</w:t>
      </w:r>
      <w:r w:rsidRPr="00650737">
        <w:rPr>
          <w:lang w:val="pt-BR"/>
        </w:rPr>
        <w:t xml:space="preserve">) era quase idêntica à priori, isto é, a série de abundância não </w:t>
      </w:r>
      <w:r w:rsidR="002A0A5A">
        <w:rPr>
          <w:lang w:val="pt-BR"/>
        </w:rPr>
        <w:t>informava</w:t>
      </w:r>
      <w:r w:rsidRPr="00650737">
        <w:rPr>
          <w:lang w:val="pt-BR"/>
        </w:rPr>
        <w:t xml:space="preserve"> quase nada ao modelo. A segunda é que o esforço medido em dias de mar ou viagens não capta os ganhos de eficiência da frota, o que tende a produzir resultados otimistas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2006). A terceira é o direcionamento: numa pescaria multiespecífica, a CPUE só representa a abundância da cavala se o esforço considerado for de fato dirigido a ela</w:t>
      </w:r>
      <w:r w:rsidR="002A0A5A">
        <w:rPr>
          <w:lang w:val="pt-BR"/>
        </w:rPr>
        <w:t>,</w:t>
      </w:r>
      <w:r w:rsidRPr="00650737">
        <w:rPr>
          <w:lang w:val="pt-BR"/>
        </w:rPr>
        <w:t xml:space="preserve"> premissa assumida, mas não verificada, em avaliações como </w:t>
      </w:r>
      <w:proofErr w:type="spellStart"/>
      <w:r w:rsidRPr="00650737">
        <w:rPr>
          <w:lang w:val="pt-BR"/>
        </w:rPr>
        <w:t>DeAlteris</w:t>
      </w:r>
      <w:proofErr w:type="spellEnd"/>
      <w:r w:rsidRPr="00650737">
        <w:rPr>
          <w:lang w:val="pt-BR"/>
        </w:rPr>
        <w:t xml:space="preserve"> (2012) e </w:t>
      </w:r>
      <w:proofErr w:type="spellStart"/>
      <w:r w:rsidRPr="00650737">
        <w:rPr>
          <w:lang w:val="pt-BR"/>
        </w:rPr>
        <w:t>Thiao</w:t>
      </w:r>
      <w:proofErr w:type="spellEnd"/>
      <w:r w:rsidRPr="00650737">
        <w:rPr>
          <w:lang w:val="pt-BR"/>
        </w:rPr>
        <w:t xml:space="preserve"> (2026). Por fim, os modelos baseados apenas em capturas (da Luz &amp; Vieira, 2020) dependem fortemente das premissas sobre a depleção inicial e final do estoque, que </w:t>
      </w:r>
      <w:r w:rsidR="002A0A5A">
        <w:rPr>
          <w:lang w:val="pt-BR"/>
        </w:rPr>
        <w:t xml:space="preserve">tem limitações quando estimadas a partir das </w:t>
      </w:r>
      <w:r w:rsidRPr="00650737">
        <w:rPr>
          <w:lang w:val="pt-BR"/>
        </w:rPr>
        <w:t>capturas.</w:t>
      </w:r>
    </w:p>
    <w:p w14:paraId="14B6659E" w14:textId="77777777" w:rsidR="0022272D" w:rsidRPr="00650737" w:rsidRDefault="00000000">
      <w:pPr>
        <w:pStyle w:val="Ttulo2"/>
        <w:rPr>
          <w:lang w:val="pt-BR"/>
        </w:rPr>
      </w:pPr>
      <w:bookmarkStart w:id="6" w:name="sec7"/>
      <w:r w:rsidRPr="00650737">
        <w:rPr>
          <w:lang w:val="pt-BR"/>
        </w:rPr>
        <w:t>1.5 O que este estudo acrescenta</w:t>
      </w:r>
      <w:bookmarkEnd w:id="6"/>
    </w:p>
    <w:p w14:paraId="34650AAF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Este estudo parte das mesmas limitações, mas procura enfrentá-las de forma explícita. Primeiro, usa a série de dados mais longa e atual disponível: desembarques de 1989 a 2023 (com registros de cerco até 2025), esforço agregado da frota industrial de 1989 a 2014, registros por viagem de 2015 a 2025 e composições de comprimento de 1988 a 2024. Segundo, trata a mudança de direcionamento como parte do problema: os registros por viagem permitem identificar, pela composição das capturas, as táticas de pesca da frota e padronizar a CPUE levando-as em conta, em vez de supor que todo o esforço de cerco é dirigido à cavala (</w:t>
      </w:r>
      <w:proofErr w:type="spellStart"/>
      <w:r w:rsidRPr="00650737">
        <w:rPr>
          <w:lang w:val="pt-BR"/>
        </w:rPr>
        <w:t>Maunder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Punt</w:t>
      </w:r>
      <w:proofErr w:type="spellEnd"/>
      <w:r w:rsidRPr="00650737">
        <w:rPr>
          <w:lang w:val="pt-BR"/>
        </w:rPr>
        <w:t>, 2004).</w:t>
      </w:r>
    </w:p>
    <w:p w14:paraId="23579C77" w14:textId="00CD0344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Terceiro, ataca o problema por várias frentes. Foram aplicados seis modelos, que usam combinações diferentes de dados: dois modelos só de captura — DB-SRA (Dick &amp; </w:t>
      </w:r>
      <w:proofErr w:type="spellStart"/>
      <w:r w:rsidRPr="00650737">
        <w:rPr>
          <w:lang w:val="pt-BR"/>
        </w:rPr>
        <w:t>MacCall</w:t>
      </w:r>
      <w:proofErr w:type="spellEnd"/>
      <w:r w:rsidRPr="00650737">
        <w:rPr>
          <w:lang w:val="pt-BR"/>
        </w:rPr>
        <w:t>, 2011) e CMSY++ (</w:t>
      </w:r>
      <w:proofErr w:type="spellStart"/>
      <w:r w:rsidRPr="00650737">
        <w:rPr>
          <w:lang w:val="pt-BR"/>
        </w:rPr>
        <w:t>Froese</w:t>
      </w:r>
      <w:proofErr w:type="spellEnd"/>
      <w:r w:rsidRPr="00650737">
        <w:rPr>
          <w:lang w:val="pt-BR"/>
        </w:rPr>
        <w:t xml:space="preserve"> et al., 2023); um modelo de captura e índice de abundância — JABBA (</w:t>
      </w:r>
      <w:proofErr w:type="spellStart"/>
      <w:r w:rsidRPr="00650737">
        <w:rPr>
          <w:lang w:val="pt-BR"/>
        </w:rPr>
        <w:t>Winker</w:t>
      </w:r>
      <w:proofErr w:type="spellEnd"/>
      <w:r w:rsidRPr="00650737">
        <w:rPr>
          <w:lang w:val="pt-BR"/>
        </w:rPr>
        <w:t xml:space="preserve"> et al., 2018); um modelo só de comprimento — LBSPR (</w:t>
      </w:r>
      <w:proofErr w:type="spellStart"/>
      <w:r w:rsidRPr="00650737">
        <w:rPr>
          <w:lang w:val="pt-BR"/>
        </w:rPr>
        <w:t>Hordyk</w:t>
      </w:r>
      <w:proofErr w:type="spellEnd"/>
      <w:r w:rsidRPr="00650737">
        <w:rPr>
          <w:lang w:val="pt-BR"/>
        </w:rPr>
        <w:t xml:space="preserve"> et al., 2015); e duas configurações do Stock </w:t>
      </w:r>
      <w:proofErr w:type="spellStart"/>
      <w:r w:rsidRPr="00650737">
        <w:rPr>
          <w:lang w:val="pt-BR"/>
        </w:rPr>
        <w:t>Synthesis</w:t>
      </w:r>
      <w:proofErr w:type="spellEnd"/>
      <w:r w:rsidRPr="00650737">
        <w:rPr>
          <w:lang w:val="pt-BR"/>
        </w:rPr>
        <w:t xml:space="preserve"> (</w:t>
      </w:r>
      <w:proofErr w:type="spellStart"/>
      <w:r w:rsidRPr="00650737">
        <w:rPr>
          <w:lang w:val="pt-BR"/>
        </w:rPr>
        <w:t>Methot</w:t>
      </w:r>
      <w:proofErr w:type="spellEnd"/>
      <w:r w:rsidRPr="00650737">
        <w:rPr>
          <w:lang w:val="pt-BR"/>
        </w:rPr>
        <w:t xml:space="preserve"> &amp; Wetzel, 2013), uma apenas com comprimentos e outra com capturas e comprimentos. Cada modelo responde a perguntas diferentes (produtividade, biomassa relativa, mortalidade por pesca, potencial reprodutivo) e erra de formas diferentes; o que se repete entre eles é o que </w:t>
      </w:r>
      <w:r w:rsidR="00487CEE">
        <w:rPr>
          <w:lang w:val="pt-BR"/>
        </w:rPr>
        <w:t>tende a ser mais robusto e confiável</w:t>
      </w:r>
      <w:r w:rsidRPr="00650737">
        <w:rPr>
          <w:lang w:val="pt-BR"/>
        </w:rPr>
        <w:t>.</w:t>
      </w:r>
    </w:p>
    <w:p w14:paraId="731A403E" w14:textId="2CA60AA5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lastRenderedPageBreak/>
        <w:t>Quarto, cada modelo foi rodado sobre uma grade ampla de cenários</w:t>
      </w:r>
      <w:r w:rsidR="00487CEE">
        <w:rPr>
          <w:lang w:val="pt-BR"/>
        </w:rPr>
        <w:t>,</w:t>
      </w:r>
      <w:r w:rsidRPr="00650737">
        <w:rPr>
          <w:lang w:val="pt-BR"/>
        </w:rPr>
        <w:t xml:space="preserve"> hipóteses de depleção, produtividade, mortalidade natural, índices e janelas de tempo</w:t>
      </w:r>
      <w:r w:rsidR="00487CEE">
        <w:rPr>
          <w:lang w:val="pt-BR"/>
        </w:rPr>
        <w:t>,</w:t>
      </w:r>
      <w:r w:rsidRPr="00650737">
        <w:rPr>
          <w:lang w:val="pt-BR"/>
        </w:rPr>
        <w:t xml:space="preserve"> para separar o que vem dos dados do que vem das premissas. Quando um resultado muda pouco entre cenários, ele é informado pelos dados; quando acompanha a premissa, é a premissa que está falando. O objetivo final é chegar a estimativas de biomassa, mortalidade por pesca, estado atual e pontos de referência úteis para a gestão, acompanhadas de uma leitura honesta de quão confiáveis elas são.</w:t>
      </w:r>
    </w:p>
    <w:p w14:paraId="511F8182" w14:textId="77777777" w:rsidR="0022272D" w:rsidRPr="00650737" w:rsidRDefault="00000000">
      <w:pPr>
        <w:pStyle w:val="Ttulo1"/>
        <w:rPr>
          <w:lang w:val="pt-BR"/>
        </w:rPr>
      </w:pPr>
      <w:bookmarkStart w:id="7" w:name="sec8"/>
      <w:r w:rsidRPr="00650737">
        <w:rPr>
          <w:lang w:val="pt-BR"/>
        </w:rPr>
        <w:t>2. Metodologia geral</w:t>
      </w:r>
      <w:bookmarkEnd w:id="7"/>
    </w:p>
    <w:p w14:paraId="40B84326" w14:textId="77777777" w:rsidR="0022272D" w:rsidRPr="00650737" w:rsidRDefault="00000000">
      <w:pPr>
        <w:pStyle w:val="Ttulo2"/>
        <w:rPr>
          <w:lang w:val="pt-BR"/>
        </w:rPr>
      </w:pPr>
      <w:bookmarkStart w:id="8" w:name="sec9"/>
      <w:r w:rsidRPr="00650737">
        <w:rPr>
          <w:lang w:val="pt-BR"/>
        </w:rPr>
        <w:t>2.1 Área de estudo e unidade de estoque</w:t>
      </w:r>
      <w:bookmarkEnd w:id="8"/>
    </w:p>
    <w:p w14:paraId="77F4EA5C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Cabo Verde é um arquipélago vulcânico de dez ilhas, a cerca de 600 km da costa ocidental africana, com uma zona económica exclusiva de aproximadamente 734 mil km² e uma plataforma continental estreita, de cerca de 10 mil km² (Ramos, s.d.). As ilhas dividem-se em Barlavento (norte) e </w:t>
      </w:r>
      <w:proofErr w:type="spellStart"/>
      <w:r w:rsidRPr="00650737">
        <w:rPr>
          <w:lang w:val="pt-BR"/>
        </w:rPr>
        <w:t>Sotavento</w:t>
      </w:r>
      <w:proofErr w:type="spellEnd"/>
      <w:r w:rsidRPr="00650737">
        <w:rPr>
          <w:lang w:val="pt-BR"/>
        </w:rPr>
        <w:t xml:space="preserve"> (sul), e a pesca de cavala preta concentra-se na plataforma e nos bancos próximos às ilhas.</w:t>
      </w:r>
    </w:p>
    <w:p w14:paraId="09CFB84C" w14:textId="428418E8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C42635">
        <w:rPr>
          <w:lang w:val="pt-BR"/>
        </w:rPr>
        <w:t>Neste estudo, a cavala preta de Cabo Verde foi tratada como um estoque único para todo o arquipélago.</w:t>
      </w:r>
      <w:r w:rsidRPr="00650737">
        <w:rPr>
          <w:lang w:val="pt-BR"/>
        </w:rPr>
        <w:t xml:space="preserve"> As evidências de estrutura populacional são escassas. O único estudo específico, baseado em morfometria de 895 exemplares coletados entre maio e julho de 2002, sugeriu diferenças entre as ilhas do norte e do sul (Ramos &amp; Fujiwara, s.d.), mas trata-se de uma única amostragem, e diferenças morfométricas podem refletir o ambiente e não populações isoladas. Por outro lado, a análise da composição das capturas não encontrou efeitos de ilha ou região relevantes (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>, 2006), e não existem para a espécie no arquipélago estudos genéticos de estrutura populacional, de marcação e recaptura ou de conectividade larval</w:t>
      </w:r>
      <w:r w:rsidR="00C42635">
        <w:rPr>
          <w:lang w:val="pt-BR"/>
        </w:rPr>
        <w:t>,</w:t>
      </w:r>
      <w:r w:rsidRPr="00650737">
        <w:rPr>
          <w:lang w:val="pt-BR"/>
        </w:rPr>
        <w:t xml:space="preserve"> os trabalhos genéticos disponíveis tratam da identificação das espécies de 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lang w:val="pt-BR"/>
        </w:rPr>
        <w:t xml:space="preserve"> nas capturas e nas conservas (Brás, 2014; Lopes et al., 2021). Diante disso, e como todas as avaliações anteriores (com exceção de Ramos &amp; Fujiwara, s.d.) e a gestão em vigor tratam o recurso em escala de arquipélago, a hipótese de estoque único é a mais defensável, a mais simples e a mais útil para a gestão.</w:t>
      </w:r>
    </w:p>
    <w:p w14:paraId="00DDEC3E" w14:textId="77777777" w:rsidR="0022272D" w:rsidRPr="00650737" w:rsidRDefault="00000000">
      <w:pPr>
        <w:pStyle w:val="Ttulo2"/>
        <w:rPr>
          <w:lang w:val="pt-BR"/>
        </w:rPr>
      </w:pPr>
      <w:bookmarkStart w:id="9" w:name="sec10"/>
      <w:r w:rsidRPr="00650737">
        <w:rPr>
          <w:lang w:val="pt-BR"/>
        </w:rPr>
        <w:t>2.2 Parâmetros de história de vida</w:t>
      </w:r>
      <w:bookmarkEnd w:id="9"/>
    </w:p>
    <w:p w14:paraId="5CBCB594" w14:textId="779034D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Os parâmetros biológicos usados nos modelos (crescimento, mortalidade natural, maturação, relação peso-comprimento e longevidade) vieram de uma compilaçã</w:t>
      </w:r>
      <w:r w:rsidRPr="00C42635">
        <w:rPr>
          <w:lang w:val="pt-BR"/>
        </w:rPr>
        <w:t xml:space="preserve">o de todos os estudos disponíveis para a espécie em Cabo Verde. A busca incluiu bases bibliográficas: Google Scholar, Scopus, Web </w:t>
      </w:r>
      <w:proofErr w:type="spellStart"/>
      <w:r w:rsidRPr="00C42635">
        <w:rPr>
          <w:lang w:val="pt-BR"/>
        </w:rPr>
        <w:t>of</w:t>
      </w:r>
      <w:proofErr w:type="spellEnd"/>
      <w:r w:rsidRPr="00C42635">
        <w:rPr>
          <w:lang w:val="pt-BR"/>
        </w:rPr>
        <w:t xml:space="preserve"> Science e </w:t>
      </w:r>
      <w:proofErr w:type="spellStart"/>
      <w:r w:rsidRPr="00C42635">
        <w:rPr>
          <w:lang w:val="pt-BR"/>
        </w:rPr>
        <w:t>FishBase</w:t>
      </w:r>
      <w:proofErr w:type="spellEnd"/>
      <w:r w:rsidRPr="00C42635">
        <w:rPr>
          <w:lang w:val="pt-BR"/>
        </w:rPr>
        <w:t xml:space="preserve"> e a literatura cinza institucional (relatórios do INDP/</w:t>
      </w:r>
      <w:proofErr w:type="spellStart"/>
      <w:r w:rsidRPr="00C42635">
        <w:rPr>
          <w:lang w:val="pt-BR"/>
        </w:rPr>
        <w:t>IMar</w:t>
      </w:r>
      <w:proofErr w:type="spellEnd"/>
      <w:r w:rsidRPr="00C42635">
        <w:rPr>
          <w:lang w:val="pt-BR"/>
        </w:rPr>
        <w:t xml:space="preserve"> e da FAO, projetos finais da UNU-FTP e trabalhos de conclusão de curso da </w:t>
      </w:r>
      <w:proofErr w:type="spellStart"/>
      <w:r w:rsidRPr="00C42635">
        <w:rPr>
          <w:lang w:val="pt-BR"/>
        </w:rPr>
        <w:t>Uni-CV</w:t>
      </w:r>
      <w:proofErr w:type="spellEnd"/>
      <w:r w:rsidRPr="00C42635">
        <w:rPr>
          <w:lang w:val="pt-BR"/>
        </w:rPr>
        <w:t>).</w:t>
      </w:r>
      <w:r w:rsidRPr="00650737">
        <w:rPr>
          <w:lang w:val="pt-BR"/>
        </w:rPr>
        <w:t xml:space="preserve"> De cada estudo foram extraídos o período e o local de amostragem, o tamanho amostral, os parâmetros de von </w:t>
      </w:r>
      <w:proofErr w:type="spellStart"/>
      <w:r w:rsidRPr="00650737">
        <w:rPr>
          <w:lang w:val="pt-BR"/>
        </w:rPr>
        <w:t>Bertalanffy</w:t>
      </w:r>
      <w:proofErr w:type="spellEnd"/>
      <w:r w:rsidRPr="00650737">
        <w:rPr>
          <w:lang w:val="pt-BR"/>
        </w:rPr>
        <w:t xml:space="preserve"> (L∞, K, t0), a relação peso-comprimento (a, b), o L50, a longevidade, as </w:t>
      </w:r>
      <w:proofErr w:type="gramStart"/>
      <w:r w:rsidRPr="00650737">
        <w:rPr>
          <w:lang w:val="pt-BR"/>
        </w:rPr>
        <w:t>mortalidades natural</w:t>
      </w:r>
      <w:proofErr w:type="gramEnd"/>
      <w:r w:rsidRPr="00650737">
        <w:rPr>
          <w:lang w:val="pt-BR"/>
        </w:rPr>
        <w:t xml:space="preserve"> (M), por pesca (F) e total (Z), as épocas de reprodução e recrutamento e os métodos usados. Só foram incluídos valores reportados explicitamente em comprimento </w:t>
      </w:r>
      <w:proofErr w:type="spellStart"/>
      <w:r w:rsidRPr="00650737">
        <w:rPr>
          <w:lang w:val="pt-BR"/>
        </w:rPr>
        <w:t>furcal</w:t>
      </w:r>
      <w:proofErr w:type="spellEnd"/>
      <w:r w:rsidRPr="00650737">
        <w:rPr>
          <w:lang w:val="pt-BR"/>
        </w:rPr>
        <w:t>; medidas em comprimento total não foram convertidas, para não introduzir erro adicional.</w:t>
      </w:r>
    </w:p>
    <w:p w14:paraId="4E8ECB4D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Como os estudos diferem muito em qualidade, cada fonte recebeu uma nota de confiabilidade. Foram atribuídas notas de 1 (mais fraco) a 5 (mais forte) a seis critérios: tipo de publicação e revisão por pares; tamanho amostral; cobertura espacial; cobertura e continuidade temporal; robustez metodológica; e consistência interna do documento. A média das seis notas define o nível de confiabilidade: alta (≥ 4,0), média (2,5 a 3,9) ou baixa (&lt; 2,5). Fontes citadas apenas de forma indireta, cujo documento original não foi obtido, foram marcadas como não avaliáveis.</w:t>
      </w:r>
    </w:p>
    <w:p w14:paraId="571A3ACA" w14:textId="1D0360FC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Ao todo foram reunidos 43 registros de parâmetros, provenientes de 12 fontes. Três fontes tiveram confiabilidade alta</w:t>
      </w:r>
      <w:r w:rsidR="001C3555">
        <w:rPr>
          <w:lang w:val="pt-BR"/>
        </w:rPr>
        <w:t>,</w:t>
      </w:r>
      <w:r w:rsidRPr="00650737">
        <w:rPr>
          <w:lang w:val="pt-BR"/>
        </w:rPr>
        <w:t xml:space="preserve"> Costa et al. (2020), Jardim (1999) e da Cruz Delgado et al. (2024); cinco </w:t>
      </w:r>
      <w:r w:rsidRPr="00650737">
        <w:rPr>
          <w:lang w:val="pt-BR"/>
        </w:rPr>
        <w:lastRenderedPageBreak/>
        <w:t>tiveram confiabilidade média</w:t>
      </w:r>
      <w:r w:rsidR="001C3555">
        <w:rPr>
          <w:lang w:val="pt-BR"/>
        </w:rPr>
        <w:t>,</w:t>
      </w:r>
      <w:r w:rsidRPr="00650737">
        <w:rPr>
          <w:lang w:val="pt-BR"/>
        </w:rPr>
        <w:t xml:space="preserve"> Carvalho &amp; Caramelo (1999), Santos (2018), Almada (1997), da Luz &amp; Vieira (2020) e Vieira (2019); e duas, baixa</w:t>
      </w:r>
      <w:r w:rsidR="001C3555">
        <w:rPr>
          <w:lang w:val="pt-BR"/>
        </w:rPr>
        <w:t>,</w:t>
      </w:r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Stobberup</w:t>
      </w:r>
      <w:proofErr w:type="spellEnd"/>
      <w:r w:rsidRPr="00650737">
        <w:rPr>
          <w:lang w:val="pt-BR"/>
        </w:rPr>
        <w:t xml:space="preserve"> &amp; </w:t>
      </w:r>
      <w:proofErr w:type="spellStart"/>
      <w:r w:rsidRPr="00650737">
        <w:rPr>
          <w:lang w:val="pt-BR"/>
        </w:rPr>
        <w:t>Erzini</w:t>
      </w:r>
      <w:proofErr w:type="spellEnd"/>
      <w:r w:rsidRPr="00650737">
        <w:rPr>
          <w:lang w:val="pt-BR"/>
        </w:rPr>
        <w:t xml:space="preserve"> (2006), como fonte de crescimento, e </w:t>
      </w:r>
      <w:proofErr w:type="spellStart"/>
      <w:r w:rsidRPr="00650737">
        <w:rPr>
          <w:lang w:val="pt-BR"/>
        </w:rPr>
        <w:t>Tariche</w:t>
      </w:r>
      <w:proofErr w:type="spellEnd"/>
      <w:r w:rsidRPr="00650737">
        <w:rPr>
          <w:lang w:val="pt-BR"/>
        </w:rPr>
        <w:t xml:space="preserve"> &amp; Martins (2009). Essas notas orientaram a escolha dos valores centrais e das faixas das </w:t>
      </w:r>
      <w:proofErr w:type="spellStart"/>
      <w:r w:rsidRPr="00650737">
        <w:rPr>
          <w:lang w:val="pt-BR"/>
        </w:rPr>
        <w:t>prioris</w:t>
      </w:r>
      <w:proofErr w:type="spellEnd"/>
      <w:r w:rsidRPr="00650737">
        <w:rPr>
          <w:lang w:val="pt-BR"/>
        </w:rPr>
        <w:t>: fontes de alta confiabilidade definiram os valores de referência, e as demais foram usadas nos cenários de sensibilidade. A compilação completa, com as notas e as justificativas de cada fonte, está disponível publicamente no repositório do projeto (https://github.com/lucazsilva/Cabo-Verde---Stock-Assessment).</w:t>
      </w:r>
    </w:p>
    <w:p w14:paraId="244E2DDA" w14:textId="77777777" w:rsidR="0022272D" w:rsidRPr="00650737" w:rsidRDefault="00000000">
      <w:pPr>
        <w:pStyle w:val="Ttulo2"/>
        <w:rPr>
          <w:lang w:val="pt-BR"/>
        </w:rPr>
      </w:pPr>
      <w:bookmarkStart w:id="10" w:name="sec11"/>
      <w:r w:rsidRPr="00650737">
        <w:rPr>
          <w:lang w:val="pt-BR"/>
        </w:rPr>
        <w:t>2.3 Dados de captura, esforço e comprimento</w:t>
      </w:r>
      <w:bookmarkEnd w:id="10"/>
    </w:p>
    <w:p w14:paraId="6641CF32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Todos os dados pesqueiros foram cedidos pelo Instituto do Mar (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>, antigo INDP), responsável pela recolha e guarda das estatísticas de desembarque de Cabo Verde. A Tabela 2 resume cada conjunto de dados, o período coberto e o uso que teve neste estudo.</w:t>
      </w:r>
    </w:p>
    <w:p w14:paraId="05B6AA8D" w14:textId="77777777" w:rsidR="0022272D" w:rsidRPr="00650737" w:rsidRDefault="00000000">
      <w:pPr>
        <w:keepNext/>
        <w:spacing w:before="120" w:after="60"/>
        <w:rPr>
          <w:lang w:val="pt-BR"/>
        </w:rPr>
      </w:pPr>
      <w:r w:rsidRPr="00650737">
        <w:rPr>
          <w:b/>
          <w:bCs/>
          <w:sz w:val="20"/>
          <w:szCs w:val="20"/>
          <w:lang w:val="pt-BR"/>
        </w:rPr>
        <w:t>Tabela 2.</w:t>
      </w:r>
      <w:r w:rsidRPr="00650737">
        <w:rPr>
          <w:sz w:val="20"/>
          <w:szCs w:val="20"/>
          <w:lang w:val="pt-BR"/>
        </w:rPr>
        <w:t xml:space="preserve"> Conjuntos de dados usados neste estudo.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253"/>
        <w:gridCol w:w="3662"/>
        <w:gridCol w:w="2603"/>
      </w:tblGrid>
      <w:tr w:rsidR="0022272D" w14:paraId="014968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B9A097" w14:textId="77777777" w:rsidR="0022272D" w:rsidRDefault="00000000">
            <w:r>
              <w:rPr>
                <w:b/>
                <w:bCs/>
                <w:color w:val="FFFFFF"/>
                <w:sz w:val="18"/>
                <w:szCs w:val="18"/>
              </w:rPr>
              <w:t>Conjunto de dados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5291A1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Período</w:t>
            </w:r>
            <w:proofErr w:type="spellEnd"/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99FFD" w14:textId="77777777" w:rsidR="0022272D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Conteúdo</w:t>
            </w:r>
            <w:proofErr w:type="spellEnd"/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1F4E7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B5FDD" w14:textId="77777777" w:rsidR="0022272D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Uso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neste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estudo</w:t>
            </w:r>
            <w:proofErr w:type="spellEnd"/>
          </w:p>
        </w:tc>
      </w:tr>
      <w:tr w:rsidR="0022272D" w:rsidRPr="00650737" w14:paraId="761FB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3C6C5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Desembarques totais (todas as artes)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6441E" w14:textId="77777777" w:rsidR="0022272D" w:rsidRDefault="00000000">
            <w:r>
              <w:rPr>
                <w:sz w:val="18"/>
                <w:szCs w:val="18"/>
              </w:rPr>
              <w:t>1989–2023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3FFC8E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 anual de cavala preta de todas as frotas e artes (t)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C89C4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Série de capturas dos modelos DB-SRA, CMSY++, JABBA e Stock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Synthesis</w:t>
            </w:r>
            <w:proofErr w:type="spellEnd"/>
          </w:p>
        </w:tc>
      </w:tr>
      <w:tr w:rsidR="0022272D" w:rsidRPr="00650737" w14:paraId="1765A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4777F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Frota industrial – série histórica agregada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29084C" w14:textId="77777777" w:rsidR="0022272D" w:rsidRDefault="00000000">
            <w:r>
              <w:rPr>
                <w:sz w:val="18"/>
                <w:szCs w:val="18"/>
              </w:rPr>
              <w:t>1989–2014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301830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 anual de cavala preta e esforço total (dias de mar no cerco; viagens na linha de mão)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CB556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CPUE nominal do período histórico (JABBA)</w:t>
            </w:r>
          </w:p>
        </w:tc>
      </w:tr>
      <w:tr w:rsidR="0022272D" w:rsidRPr="00650737" w14:paraId="2B1B2D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55AF5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Frota industrial – registros por viagem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5F3E46" w14:textId="77777777" w:rsidR="0022272D" w:rsidRDefault="00000000">
            <w:r>
              <w:rPr>
                <w:sz w:val="18"/>
                <w:szCs w:val="18"/>
              </w:rPr>
              <w:t>2015–2025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E4D208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Desembarque por espécie e viagem, com data, duração, ilha, porto, embarcação, arte, tripulação e banco de pesca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5A4524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Identificação de táticas, padronização da CPUE e capturas de cerco de 2024–2025</w:t>
            </w:r>
          </w:p>
        </w:tc>
      </w:tr>
      <w:tr w:rsidR="0022272D" w14:paraId="405D7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3D5F04" w14:textId="77777777" w:rsidR="0022272D" w:rsidRDefault="00000000">
            <w:proofErr w:type="spellStart"/>
            <w:r>
              <w:rPr>
                <w:sz w:val="18"/>
                <w:szCs w:val="18"/>
              </w:rPr>
              <w:t>Composições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comprimento</w:t>
            </w:r>
            <w:proofErr w:type="spellEnd"/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72F1F1" w14:textId="77777777" w:rsidR="0022272D" w:rsidRDefault="00000000">
            <w:r>
              <w:rPr>
                <w:sz w:val="18"/>
                <w:szCs w:val="18"/>
              </w:rPr>
              <w:t>1988–2024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8B46C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 xml:space="preserve">17.167 exemplares medidos (comprimento </w:t>
            </w:r>
            <w:proofErr w:type="spellStart"/>
            <w:r w:rsidRPr="00650737">
              <w:rPr>
                <w:sz w:val="18"/>
                <w:szCs w:val="18"/>
                <w:lang w:val="pt-BR"/>
              </w:rPr>
              <w:t>furcal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>, 1 cm)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EE4F1A" w14:textId="77777777" w:rsidR="0022272D" w:rsidRDefault="00000000">
            <w:r>
              <w:rPr>
                <w:sz w:val="18"/>
                <w:szCs w:val="18"/>
              </w:rPr>
              <w:t>LBSPR e Stock Synthesis</w:t>
            </w:r>
          </w:p>
        </w:tc>
      </w:tr>
      <w:tr w:rsidR="0022272D" w:rsidRPr="00650737" w14:paraId="3D2DE1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0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6C386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Parâmetros de história de vida</w:t>
            </w:r>
          </w:p>
        </w:tc>
        <w:tc>
          <w:tcPr>
            <w:tcW w:w="125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77E3DD" w14:textId="77777777" w:rsidR="0022272D" w:rsidRDefault="00000000">
            <w:proofErr w:type="spellStart"/>
            <w:r>
              <w:rPr>
                <w:sz w:val="18"/>
                <w:szCs w:val="18"/>
              </w:rPr>
              <w:t>Estudos</w:t>
            </w:r>
            <w:proofErr w:type="spellEnd"/>
            <w:r>
              <w:rPr>
                <w:sz w:val="18"/>
                <w:szCs w:val="18"/>
              </w:rPr>
              <w:t xml:space="preserve"> de 1983 a 2021</w:t>
            </w:r>
          </w:p>
        </w:tc>
        <w:tc>
          <w:tcPr>
            <w:tcW w:w="3662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D7C9D" w14:textId="77777777" w:rsidR="0022272D" w:rsidRPr="00650737" w:rsidRDefault="00000000">
            <w:pPr>
              <w:rPr>
                <w:lang w:val="pt-BR"/>
              </w:rPr>
            </w:pPr>
            <w:r w:rsidRPr="00650737">
              <w:rPr>
                <w:sz w:val="18"/>
                <w:szCs w:val="18"/>
                <w:lang w:val="pt-BR"/>
              </w:rPr>
              <w:t>43 registros de 12 fontes, com notas de confiabilidade</w:t>
            </w:r>
          </w:p>
        </w:tc>
        <w:tc>
          <w:tcPr>
            <w:tcW w:w="2603" w:type="dxa"/>
            <w:tcBorders>
              <w:top w:val="single" w:sz="4" w:space="0" w:color="A6B4C0"/>
              <w:left w:val="single" w:sz="4" w:space="0" w:color="A6B4C0"/>
              <w:bottom w:val="single" w:sz="4" w:space="0" w:color="A6B4C0"/>
              <w:right w:val="single" w:sz="4" w:space="0" w:color="A6B4C0"/>
            </w:tcBorders>
            <w:shd w:val="clear" w:color="auto" w:fill="EEF3F7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25905" w14:textId="77777777" w:rsidR="0022272D" w:rsidRPr="00650737" w:rsidRDefault="00000000">
            <w:pPr>
              <w:rPr>
                <w:lang w:val="pt-BR"/>
              </w:rPr>
            </w:pPr>
            <w:proofErr w:type="spellStart"/>
            <w:r w:rsidRPr="00650737">
              <w:rPr>
                <w:sz w:val="18"/>
                <w:szCs w:val="18"/>
                <w:lang w:val="pt-BR"/>
              </w:rPr>
              <w:t>Prioris</w:t>
            </w:r>
            <w:proofErr w:type="spellEnd"/>
            <w:r w:rsidRPr="00650737">
              <w:rPr>
                <w:sz w:val="18"/>
                <w:szCs w:val="18"/>
                <w:lang w:val="pt-BR"/>
              </w:rPr>
              <w:t xml:space="preserve"> de M, r, crescimento e maturação em todos os modelos</w:t>
            </w:r>
          </w:p>
        </w:tc>
      </w:tr>
    </w:tbl>
    <w:p w14:paraId="2429CBBA" w14:textId="77777777" w:rsidR="0022272D" w:rsidRPr="00650737" w:rsidRDefault="0022272D">
      <w:pPr>
        <w:spacing w:after="120"/>
        <w:rPr>
          <w:lang w:val="pt-BR"/>
        </w:rPr>
      </w:pPr>
    </w:p>
    <w:p w14:paraId="7279563D" w14:textId="77777777" w:rsidR="0022272D" w:rsidRPr="00650737" w:rsidRDefault="00000000">
      <w:pPr>
        <w:pStyle w:val="Ttulo3"/>
        <w:rPr>
          <w:lang w:val="pt-BR"/>
        </w:rPr>
      </w:pPr>
      <w:bookmarkStart w:id="11" w:name="sec12"/>
      <w:r w:rsidRPr="00650737">
        <w:rPr>
          <w:lang w:val="pt-BR"/>
        </w:rPr>
        <w:t>2.3.1 Desembarques totais</w:t>
      </w:r>
      <w:bookmarkEnd w:id="11"/>
    </w:p>
    <w:p w14:paraId="33EE60CA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A série de desembarques totais de cavala preta, somando todas as artes e frotas, cobre 1989 a 2023 e é a série de capturas comum aos modelos. Dois anos foram corrigidos. Em 2014, o total registrado (151 t) era menor que a captura só da frota industrial de cerco no mesmo ano (1.273,8 t), o que é impossível; o valor foi considerado incompleto e substituído pela interpolação linear entre 2013 e 2015 (1.429 t). Em 2018, ano recolhido em formato diferente, o total (2.362 t) destoava fortemente dos anos vizinhos (150–800 t) e foi substituído pela média de 2015–2017 e 2019–2021 (554,5 t). Os mesmos valores corrigidos foram usados em todos os modelos. Para 2024 e 2025 não há total de todas as artes, apenas os registros da frota de cerco; esses dois anos entram somente nas análises que usam os dados por viagem.</w:t>
      </w:r>
    </w:p>
    <w:p w14:paraId="5B03FE52" w14:textId="77777777" w:rsidR="0022272D" w:rsidRPr="00650737" w:rsidRDefault="00000000">
      <w:pPr>
        <w:pStyle w:val="Ttulo3"/>
        <w:rPr>
          <w:lang w:val="pt-BR"/>
        </w:rPr>
      </w:pPr>
      <w:bookmarkStart w:id="12" w:name="sec13"/>
      <w:r w:rsidRPr="00650737">
        <w:rPr>
          <w:lang w:val="pt-BR"/>
        </w:rPr>
        <w:t>2.3.2 Esforço e captura da frota industrial</w:t>
      </w:r>
      <w:bookmarkEnd w:id="12"/>
    </w:p>
    <w:p w14:paraId="434080EE" w14:textId="77777777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>Para 1989–2014 existe apenas uma série anual agregada da frota industrial, com o desembarque de cavala preta e o esforço total (dias de mar para a rede de cerco e número de viagens para a linha de mão). Essa série não identifica embarcações nem registra as outras espécies desembarcadas, de modo que não permite saber quanto do esforço foi dirigido à cavala.</w:t>
      </w:r>
    </w:p>
    <w:p w14:paraId="1C9F0EF1" w14:textId="56B8644C" w:rsidR="0022272D" w:rsidRPr="00650737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A partir de 2015 os dados passam a ser registrados por viagem e por espécie. Cada registro traz a data de partida e chegada, a duração da viagem (dias e horas), a ilha, o porto, a embarcação, a arte de pesca, o número de pescadores, o banco de pesca e a quantidade desembarcada de cada espécie. Esses dados chegaram em três arquivos com estruturas diferentes: 2015–2017 (6.305 registros, ainda </w:t>
      </w:r>
      <w:r w:rsidRPr="00650737">
        <w:rPr>
          <w:lang w:val="pt-BR"/>
        </w:rPr>
        <w:lastRenderedPageBreak/>
        <w:t xml:space="preserve">sem validação pelo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), 2018 (3.537 registros, em formato diferente e com menos campos) e 2019–2025 (17.144 registros, versão atualizada em setembro de 2026). A rede de cerco e a linha de mão respondem pela grande maioria dos registros, e as ilhas de Santiago e São Vicente concentram a maior parte dos desembarques. É esse detalhamento por viagem que permite identificar as táticas de pesca pela composição das capturas e padronizar a CPUE, como descrito na secção sobre o modelo JABBA </w:t>
      </w:r>
      <w:r w:rsidRPr="00650737">
        <w:rPr>
          <w:highlight w:val="yellow"/>
          <w:lang w:val="pt-BR"/>
        </w:rPr>
        <w:t>[</w:t>
      </w:r>
      <w:r w:rsidR="00013108">
        <w:rPr>
          <w:highlight w:val="yellow"/>
          <w:lang w:val="pt-BR"/>
        </w:rPr>
        <w:t>seção ...</w:t>
      </w:r>
      <w:r w:rsidRPr="00650737">
        <w:rPr>
          <w:highlight w:val="yellow"/>
          <w:lang w:val="pt-BR"/>
        </w:rPr>
        <w:t>]</w:t>
      </w:r>
      <w:r w:rsidRPr="00650737">
        <w:rPr>
          <w:lang w:val="pt-BR"/>
        </w:rPr>
        <w:t>.</w:t>
      </w:r>
    </w:p>
    <w:p w14:paraId="1D0CFD48" w14:textId="77777777" w:rsidR="0022272D" w:rsidRPr="00650737" w:rsidRDefault="00000000">
      <w:pPr>
        <w:pStyle w:val="Ttulo3"/>
        <w:rPr>
          <w:lang w:val="pt-BR"/>
        </w:rPr>
      </w:pPr>
      <w:bookmarkStart w:id="13" w:name="sec14"/>
      <w:r w:rsidRPr="00650737">
        <w:rPr>
          <w:lang w:val="pt-BR"/>
        </w:rPr>
        <w:t>2.3.3 Composições de comprimento</w:t>
      </w:r>
      <w:bookmarkEnd w:id="13"/>
    </w:p>
    <w:p w14:paraId="165D82CF" w14:textId="071AA3BD" w:rsidR="0022272D" w:rsidRDefault="00000000">
      <w:pPr>
        <w:spacing w:after="100"/>
        <w:ind w:firstLine="425"/>
        <w:jc w:val="both"/>
        <w:rPr>
          <w:lang w:val="pt-BR"/>
        </w:rPr>
      </w:pPr>
      <w:r w:rsidRPr="00650737">
        <w:rPr>
          <w:lang w:val="pt-BR"/>
        </w:rPr>
        <w:t xml:space="preserve">Os comprimentos vêm da amostragem biológica de rotina do </w:t>
      </w:r>
      <w:proofErr w:type="spellStart"/>
      <w:r w:rsidRPr="00650737">
        <w:rPr>
          <w:lang w:val="pt-BR"/>
        </w:rPr>
        <w:t>IMar</w:t>
      </w:r>
      <w:proofErr w:type="spellEnd"/>
      <w:r w:rsidRPr="00650737">
        <w:rPr>
          <w:lang w:val="pt-BR"/>
        </w:rPr>
        <w:t xml:space="preserve"> nos locais de desembarque e de venda, incluindo o mercado de peixe </w:t>
      </w:r>
      <w:proofErr w:type="gramStart"/>
      <w:r w:rsidRPr="00650737">
        <w:rPr>
          <w:highlight w:val="yellow"/>
          <w:lang w:val="pt-BR"/>
        </w:rPr>
        <w:t>[</w:t>
      </w:r>
      <w:r w:rsidR="00013108">
        <w:rPr>
          <w:highlight w:val="yellow"/>
          <w:lang w:val="pt-BR"/>
        </w:rPr>
        <w:t>Eu</w:t>
      </w:r>
      <w:proofErr w:type="gramEnd"/>
      <w:r w:rsidR="00013108">
        <w:rPr>
          <w:highlight w:val="yellow"/>
          <w:lang w:val="pt-BR"/>
        </w:rPr>
        <w:t xml:space="preserve"> não sei qual o protocolo que o </w:t>
      </w:r>
      <w:proofErr w:type="spellStart"/>
      <w:r w:rsidR="00013108">
        <w:rPr>
          <w:highlight w:val="yellow"/>
          <w:lang w:val="pt-BR"/>
        </w:rPr>
        <w:t>IMar</w:t>
      </w:r>
      <w:proofErr w:type="spellEnd"/>
      <w:r w:rsidR="00013108">
        <w:rPr>
          <w:highlight w:val="yellow"/>
          <w:lang w:val="pt-BR"/>
        </w:rPr>
        <w:t xml:space="preserve"> usa para essas amostragens. Se </w:t>
      </w:r>
      <w:proofErr w:type="gramStart"/>
      <w:r w:rsidR="00013108">
        <w:rPr>
          <w:highlight w:val="yellow"/>
          <w:lang w:val="pt-BR"/>
        </w:rPr>
        <w:t>tu souber</w:t>
      </w:r>
      <w:proofErr w:type="gramEnd"/>
      <w:r w:rsidR="00013108">
        <w:rPr>
          <w:highlight w:val="yellow"/>
          <w:lang w:val="pt-BR"/>
        </w:rPr>
        <w:t xml:space="preserve"> coloca aqui</w:t>
      </w:r>
      <w:r w:rsidRPr="00650737">
        <w:rPr>
          <w:highlight w:val="yellow"/>
          <w:lang w:val="pt-BR"/>
        </w:rPr>
        <w:t>]</w:t>
      </w:r>
      <w:r w:rsidRPr="00650737">
        <w:rPr>
          <w:lang w:val="pt-BR"/>
        </w:rPr>
        <w:t xml:space="preserve">. Os exemplares foram medidos em comprimento </w:t>
      </w:r>
      <w:proofErr w:type="spellStart"/>
      <w:r w:rsidRPr="00650737">
        <w:rPr>
          <w:lang w:val="pt-BR"/>
        </w:rPr>
        <w:t>furcal</w:t>
      </w:r>
      <w:proofErr w:type="spellEnd"/>
      <w:r w:rsidRPr="00650737">
        <w:rPr>
          <w:lang w:val="pt-BR"/>
        </w:rPr>
        <w:t xml:space="preserve">, com precisão de 1 cm. A série disponível cobre 1988 a 2024 e soma 17.167 medições, com uma média de cerca de 480 exemplares por ano; não há dados para 1992, e alguns anos têm amostras pequenas (por exemplo, 41 exemplares em 1991 e 134 em 1999). Essas composições alimentam os modelos baseados em comprimento (LBSPR e Stock </w:t>
      </w:r>
      <w:proofErr w:type="spellStart"/>
      <w:r w:rsidRPr="00650737">
        <w:rPr>
          <w:lang w:val="pt-BR"/>
        </w:rPr>
        <w:t>Synthesis</w:t>
      </w:r>
      <w:proofErr w:type="spellEnd"/>
      <w:r w:rsidRPr="00650737">
        <w:rPr>
          <w:lang w:val="pt-BR"/>
        </w:rPr>
        <w:t>)</w:t>
      </w:r>
      <w:r w:rsidR="00013108">
        <w:rPr>
          <w:lang w:val="pt-BR"/>
        </w:rPr>
        <w:t xml:space="preserve">. </w:t>
      </w:r>
      <w:r w:rsidR="00013108" w:rsidRPr="00013108">
        <w:rPr>
          <w:highlight w:val="yellow"/>
          <w:lang w:val="pt-BR"/>
        </w:rPr>
        <w:t>(Tem comprimento pra 2025 não?)</w:t>
      </w:r>
    </w:p>
    <w:p w14:paraId="3960A033" w14:textId="77777777" w:rsidR="00013108" w:rsidRDefault="00013108">
      <w:pPr>
        <w:spacing w:after="100"/>
        <w:ind w:firstLine="425"/>
        <w:jc w:val="both"/>
        <w:rPr>
          <w:lang w:val="pt-BR"/>
        </w:rPr>
      </w:pPr>
    </w:p>
    <w:p w14:paraId="3EAE9449" w14:textId="77777777" w:rsidR="00013108" w:rsidRDefault="00013108">
      <w:pPr>
        <w:spacing w:after="100"/>
        <w:ind w:firstLine="425"/>
        <w:jc w:val="both"/>
        <w:rPr>
          <w:lang w:val="pt-BR"/>
        </w:rPr>
      </w:pPr>
    </w:p>
    <w:p w14:paraId="0FE892B4" w14:textId="77777777" w:rsidR="00013108" w:rsidRPr="00650737" w:rsidRDefault="00013108">
      <w:pPr>
        <w:spacing w:after="100"/>
        <w:ind w:firstLine="425"/>
        <w:jc w:val="both"/>
        <w:rPr>
          <w:lang w:val="pt-BR"/>
        </w:rPr>
      </w:pPr>
    </w:p>
    <w:p w14:paraId="1C6FF5E6" w14:textId="77777777" w:rsidR="0022272D" w:rsidRDefault="00000000">
      <w:pPr>
        <w:pStyle w:val="Ttulo1"/>
      </w:pPr>
      <w:bookmarkStart w:id="14" w:name="sec15"/>
      <w:proofErr w:type="spellStart"/>
      <w:r>
        <w:t>Referências</w:t>
      </w:r>
      <w:bookmarkEnd w:id="14"/>
      <w:proofErr w:type="spellEnd"/>
    </w:p>
    <w:p w14:paraId="0E3942F6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Almada, E.O. 1997. Life history of scad mackerel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 Cuvier, 1833, in the waters off the Cape Verde Islands. </w:t>
      </w:r>
      <w:r w:rsidRPr="00650737">
        <w:rPr>
          <w:lang w:val="pt-BR"/>
        </w:rPr>
        <w:t>Dissertação de mestrado. Universidade da Islândia, Reykjavík.</w:t>
      </w:r>
    </w:p>
    <w:p w14:paraId="45CA9901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Baptista, A.J.; Gominho, V.C.; Varela, A.S. 2009. Tendência e sazonalidade da ocorrência da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em Cabo Verde. In: Congresso da Sociedade Brasileira de Economia, Administração e Sociologia Rural, Porto Alegre, 26–30 jul. 2009.</w:t>
      </w:r>
    </w:p>
    <w:p w14:paraId="085C99B4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 xml:space="preserve">Brás, N.R. 2014. Caracterização e </w:t>
      </w:r>
      <w:proofErr w:type="spellStart"/>
      <w:r w:rsidRPr="00650737">
        <w:rPr>
          <w:lang w:val="pt-BR"/>
        </w:rPr>
        <w:t>traçabilidade</w:t>
      </w:r>
      <w:proofErr w:type="spellEnd"/>
      <w:r w:rsidRPr="00650737">
        <w:rPr>
          <w:lang w:val="pt-BR"/>
        </w:rPr>
        <w:t xml:space="preserve"> genética de conservas de cavalas produzidas em Cabo Verde. Relatório de estágio (Licenciatura em Biologia Marinha e Pescas). Universidade de Cabo Verde, Mindelo.</w:t>
      </w:r>
    </w:p>
    <w:p w14:paraId="638135CD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Cabo Verde. 2020. Resolução nº 185/2020, de 31 de dezembro. Aprova o Plano Executivo Anual de Gestão dos Recursos da Pesca para o ano de 2021. Boletim Oficial, I Série, nº 142, 2º suplemento.</w:t>
      </w:r>
    </w:p>
    <w:p w14:paraId="6EF9E824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Caramelo, A.M.; Carvalho, M.E.M. 1995. Avaliação do estado do stock de cavala preta em Cabo Verde. Instituto Nacional de Desenvolvimento das Pescas (INDP), Mindelo.</w:t>
      </w:r>
    </w:p>
    <w:p w14:paraId="044B91C9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Carvalho, M.E.M.; Caramelo, A.M. 1999. Avaliação do estado da pescaria de cavala preta e do chicharro em Cabo Verde. In: Carvalho, E.M.; Morais, J.; Nascimento, J. (Eds.). Investigação e Gestão Haliêuticas em Cabo Verde. INDP, Mindelo, p. 143–153.</w:t>
      </w:r>
    </w:p>
    <w:p w14:paraId="6224844A" w14:textId="77777777" w:rsidR="0022272D" w:rsidRDefault="00000000">
      <w:pPr>
        <w:spacing w:after="80"/>
        <w:ind w:left="425" w:hanging="425"/>
        <w:jc w:val="both"/>
      </w:pPr>
      <w:r w:rsidRPr="00650737">
        <w:rPr>
          <w:lang w:val="pt-BR"/>
        </w:rPr>
        <w:t xml:space="preserve">Costa, M.P.V.; Cruz, D.R.S.; Monteiro, L.S.; </w:t>
      </w:r>
      <w:proofErr w:type="spellStart"/>
      <w:r w:rsidRPr="00650737">
        <w:rPr>
          <w:lang w:val="pt-BR"/>
        </w:rPr>
        <w:t>Evora</w:t>
      </w:r>
      <w:proofErr w:type="spellEnd"/>
      <w:r w:rsidRPr="00650737">
        <w:rPr>
          <w:lang w:val="pt-BR"/>
        </w:rPr>
        <w:t xml:space="preserve">, K.S.M.; Cardoso, L.G. 2020. </w:t>
      </w:r>
      <w:r>
        <w:t xml:space="preserve">Reproductive biology of the mackerel scad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 from Cabo Verde and the implications for its fishery management. African Journal of Marine Science, 42(1): 35–42. https://doi.org/10.2989/1814232X.2020.1721328</w:t>
      </w:r>
    </w:p>
    <w:p w14:paraId="2DF3F488" w14:textId="77777777" w:rsidR="0022272D" w:rsidRDefault="00000000">
      <w:pPr>
        <w:spacing w:after="80"/>
        <w:ind w:left="425" w:hanging="425"/>
        <w:jc w:val="both"/>
      </w:pPr>
      <w:r>
        <w:t xml:space="preserve">da Cruz Delgado, K.; </w:t>
      </w:r>
      <w:proofErr w:type="spellStart"/>
      <w:r>
        <w:t>Osemwegie</w:t>
      </w:r>
      <w:proofErr w:type="spellEnd"/>
      <w:r>
        <w:t>, I.; Medina, A.D.; da Luz, A.N.; Kubik, Z.; Kouamelan, E.P. 2024. Ex-post evaluation of fishery management policies on wild fisheries production in northern Cabo Verde: an example of mackerel scad (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>, Carangidae). Journal of Fish Biology, 105: 1212–1226. https://doi.org/10.1111/jfb.15861</w:t>
      </w:r>
    </w:p>
    <w:p w14:paraId="02F8E398" w14:textId="77777777" w:rsidR="0022272D" w:rsidRDefault="00000000">
      <w:pPr>
        <w:spacing w:after="80"/>
        <w:ind w:left="425" w:hanging="425"/>
        <w:jc w:val="both"/>
      </w:pPr>
      <w:r>
        <w:lastRenderedPageBreak/>
        <w:t xml:space="preserve">da Luz, A.; Vieira, N. 2020. Stock assessment of blackspot </w:t>
      </w:r>
      <w:proofErr w:type="spellStart"/>
      <w:r>
        <w:t>picarel</w:t>
      </w:r>
      <w:proofErr w:type="spellEnd"/>
      <w:r>
        <w:t xml:space="preserve"> (</w:t>
      </w:r>
      <w:proofErr w:type="spellStart"/>
      <w:r>
        <w:rPr>
          <w:i/>
          <w:iCs/>
        </w:rPr>
        <w:t>Spicara</w:t>
      </w:r>
      <w:proofErr w:type="spellEnd"/>
      <w:r>
        <w:rPr>
          <w:i/>
          <w:iCs/>
        </w:rPr>
        <w:t xml:space="preserve"> melanurus</w:t>
      </w:r>
      <w:r>
        <w:t>) and mackerel scad (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) in Cape Verde waters, Northwest Africa. In: Palomares, M.L.D.; </w:t>
      </w:r>
      <w:proofErr w:type="spellStart"/>
      <w:r>
        <w:t>Khalfallah</w:t>
      </w:r>
      <w:proofErr w:type="spellEnd"/>
      <w:r>
        <w:t xml:space="preserve">, M.; </w:t>
      </w:r>
      <w:proofErr w:type="spellStart"/>
      <w:r>
        <w:t>Woroniak</w:t>
      </w:r>
      <w:proofErr w:type="spellEnd"/>
      <w:r>
        <w:t xml:space="preserve">, J.; Pauly, D. (Eds.). Assessments of marine fisheries resources in West Africa with emphasis on small </w:t>
      </w:r>
      <w:proofErr w:type="spellStart"/>
      <w:r>
        <w:t>pelagics</w:t>
      </w:r>
      <w:proofErr w:type="spellEnd"/>
      <w:r>
        <w:t>. Fisheries Centre Research Reports, 28(4): 5–17.</w:t>
      </w:r>
    </w:p>
    <w:p w14:paraId="213FFE0F" w14:textId="77777777" w:rsidR="0022272D" w:rsidRDefault="00000000">
      <w:pPr>
        <w:spacing w:after="80"/>
        <w:ind w:left="425" w:hanging="425"/>
        <w:jc w:val="both"/>
      </w:pPr>
      <w:proofErr w:type="spellStart"/>
      <w:r>
        <w:t>DeAlteris</w:t>
      </w:r>
      <w:proofErr w:type="spellEnd"/>
      <w:r>
        <w:t xml:space="preserve">, J. 2012. Assessment of stock status and intensity of exploitation for the </w:t>
      </w:r>
      <w:proofErr w:type="spellStart"/>
      <w:r>
        <w:t>cavala</w:t>
      </w:r>
      <w:proofErr w:type="spellEnd"/>
      <w:r>
        <w:t xml:space="preserve"> preta, </w:t>
      </w:r>
      <w:proofErr w:type="spellStart"/>
      <w:r>
        <w:t>chicharro</w:t>
      </w:r>
      <w:proofErr w:type="spellEnd"/>
      <w:r>
        <w:t xml:space="preserve"> and </w:t>
      </w:r>
      <w:proofErr w:type="spellStart"/>
      <w:r>
        <w:t>dobrada</w:t>
      </w:r>
      <w:proofErr w:type="spellEnd"/>
      <w:r>
        <w:t>, small pelagic fishery resources in the waters surrounding Cape Verde. Intermediate report. West Africa Regional Fisheries Project – Cape Verde (WARFP-CV), Praia.</w:t>
      </w:r>
    </w:p>
    <w:p w14:paraId="2F025600" w14:textId="77777777" w:rsidR="0022272D" w:rsidRDefault="00000000">
      <w:pPr>
        <w:spacing w:after="80"/>
        <w:ind w:left="425" w:hanging="425"/>
        <w:jc w:val="both"/>
      </w:pPr>
      <w:r w:rsidRPr="00650737">
        <w:rPr>
          <w:lang w:val="pt-BR"/>
        </w:rPr>
        <w:t xml:space="preserve">DGRM – </w:t>
      </w:r>
      <w:proofErr w:type="spellStart"/>
      <w:r w:rsidRPr="00650737">
        <w:rPr>
          <w:lang w:val="pt-BR"/>
        </w:rPr>
        <w:t>Direcção</w:t>
      </w:r>
      <w:proofErr w:type="spellEnd"/>
      <w:r w:rsidRPr="00650737">
        <w:rPr>
          <w:lang w:val="pt-BR"/>
        </w:rPr>
        <w:t xml:space="preserve"> Geral dos Recursos Marinhos. 2019. Plano de Gestão dos Recursos da Pesca 2019–2023. </w:t>
      </w:r>
      <w:r>
        <w:t>DGRM, Mindelo.</w:t>
      </w:r>
    </w:p>
    <w:p w14:paraId="07AA1299" w14:textId="77777777" w:rsidR="0022272D" w:rsidRDefault="00000000">
      <w:pPr>
        <w:spacing w:after="80"/>
        <w:ind w:left="425" w:hanging="425"/>
        <w:jc w:val="both"/>
      </w:pPr>
      <w:r>
        <w:t>Dick, E.J.; MacCall, A.D. 2011. Depletion-Based Stock Reduction Analysis: a catch-based method for determining sustainable yields for data-poor fish stocks. Fisheries Research, 110: 331–341.</w:t>
      </w:r>
    </w:p>
    <w:p w14:paraId="22982DD5" w14:textId="77777777" w:rsidR="0022272D" w:rsidRDefault="00000000">
      <w:pPr>
        <w:spacing w:after="80"/>
        <w:ind w:left="425" w:hanging="425"/>
        <w:jc w:val="both"/>
      </w:pPr>
      <w:r>
        <w:t xml:space="preserve">Froese, R.; Winker, H.; Coro, G.; Palomares, M.L.D.; </w:t>
      </w:r>
      <w:proofErr w:type="spellStart"/>
      <w:r>
        <w:t>Tsikliras</w:t>
      </w:r>
      <w:proofErr w:type="spellEnd"/>
      <w:r>
        <w:t xml:space="preserve">, A.C.; </w:t>
      </w:r>
      <w:proofErr w:type="spellStart"/>
      <w:r>
        <w:t>Dimarchopoulou</w:t>
      </w:r>
      <w:proofErr w:type="spellEnd"/>
      <w:r>
        <w:t xml:space="preserve">, D.; </w:t>
      </w:r>
      <w:proofErr w:type="spellStart"/>
      <w:r>
        <w:t>Touloumis</w:t>
      </w:r>
      <w:proofErr w:type="spellEnd"/>
      <w:r>
        <w:t xml:space="preserve">, K.; Demirel, N.; Vianna, G.M.S.; Scarcella, G.; </w:t>
      </w:r>
      <w:proofErr w:type="spellStart"/>
      <w:r>
        <w:t>Schijns</w:t>
      </w:r>
      <w:proofErr w:type="spellEnd"/>
      <w:r>
        <w:t xml:space="preserve">, R.; Liang, C.; Pauly, D. 2023. New developments in the analysis of catch time series as the basis for fish stock assessments: the CMSY++ method. Acta </w:t>
      </w:r>
      <w:proofErr w:type="spellStart"/>
      <w:r>
        <w:t>Ichthyologica</w:t>
      </w:r>
      <w:proofErr w:type="spellEnd"/>
      <w:r>
        <w:t xml:space="preserve"> et </w:t>
      </w:r>
      <w:proofErr w:type="spellStart"/>
      <w:r>
        <w:t>Piscatoria</w:t>
      </w:r>
      <w:proofErr w:type="spellEnd"/>
      <w:r>
        <w:t>, 53: 173–189.</w:t>
      </w:r>
    </w:p>
    <w:p w14:paraId="43230B56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Fujiwara, S.; Ramos, V. </w:t>
      </w:r>
      <w:proofErr w:type="spellStart"/>
      <w:r>
        <w:t>s.d.</w:t>
      </w:r>
      <w:proofErr w:type="spellEnd"/>
      <w:r>
        <w:t xml:space="preserve"> Biology and resource management of </w:t>
      </w:r>
      <w:proofErr w:type="spellStart"/>
      <w:r>
        <w:t>cavala</w:t>
      </w:r>
      <w:proofErr w:type="spellEnd"/>
      <w:r>
        <w:t xml:space="preserve"> preta,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, in Cabo Verde waters. </w:t>
      </w:r>
      <w:r w:rsidRPr="00650737">
        <w:rPr>
          <w:lang w:val="pt-BR"/>
        </w:rPr>
        <w:t>Projeto de Cooperação Técnica INDP/OFCF (dados de 2002–2003), Mindelo.</w:t>
      </w:r>
    </w:p>
    <w:p w14:paraId="3276BC9B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proofErr w:type="spellStart"/>
      <w:r w:rsidRPr="00650737">
        <w:rPr>
          <w:lang w:val="pt-BR"/>
        </w:rPr>
        <w:t>Hordyk</w:t>
      </w:r>
      <w:proofErr w:type="spellEnd"/>
      <w:r w:rsidRPr="00650737">
        <w:rPr>
          <w:lang w:val="pt-BR"/>
        </w:rPr>
        <w:t xml:space="preserve">, A.; Ono, K.; Valencia, S.; </w:t>
      </w:r>
      <w:proofErr w:type="spellStart"/>
      <w:r w:rsidRPr="00650737">
        <w:rPr>
          <w:lang w:val="pt-BR"/>
        </w:rPr>
        <w:t>Loneragan</w:t>
      </w:r>
      <w:proofErr w:type="spellEnd"/>
      <w:r w:rsidRPr="00650737">
        <w:rPr>
          <w:lang w:val="pt-BR"/>
        </w:rPr>
        <w:t xml:space="preserve">, N.; Prince, J. 2015. </w:t>
      </w:r>
      <w:r>
        <w:t xml:space="preserve">A novel length-based empirical estimation method of spawning potential ratio (SPR), and tests of its performance, for small-scale, data-poor fisheries. </w:t>
      </w:r>
      <w:r w:rsidRPr="00650737">
        <w:rPr>
          <w:lang w:val="pt-BR"/>
        </w:rPr>
        <w:t xml:space="preserve">ICES </w:t>
      </w:r>
      <w:proofErr w:type="spellStart"/>
      <w:r w:rsidRPr="00650737">
        <w:rPr>
          <w:lang w:val="pt-BR"/>
        </w:rPr>
        <w:t>Journal</w:t>
      </w:r>
      <w:proofErr w:type="spellEnd"/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of</w:t>
      </w:r>
      <w:proofErr w:type="spellEnd"/>
      <w:r w:rsidRPr="00650737">
        <w:rPr>
          <w:lang w:val="pt-BR"/>
        </w:rPr>
        <w:t xml:space="preserve"> Marine Science, 72(1): 217–231.</w:t>
      </w:r>
    </w:p>
    <w:p w14:paraId="102E6266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Jardim, J.E. 1999. Contribuição para o estudo da pescaria de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no Arquipélago de Cabo Verde no período de 1981 a 1992. In: Carvalho, E.M.; Morais, J.; Nascimento, J. (Eds.). Investigação e Gestão Haliêuticas em Cabo Verde. INDP, Mindelo, p. 215–233.</w:t>
      </w:r>
    </w:p>
    <w:p w14:paraId="5E819F98" w14:textId="77777777" w:rsidR="0022272D" w:rsidRDefault="00000000">
      <w:pPr>
        <w:spacing w:after="80"/>
        <w:ind w:left="425" w:hanging="425"/>
        <w:jc w:val="both"/>
      </w:pPr>
      <w:r w:rsidRPr="00650737">
        <w:rPr>
          <w:lang w:val="pt-BR"/>
        </w:rPr>
        <w:t xml:space="preserve">Lopes, E.P.; Monteiro, V.; Martins, A.; Coelho, R.; Freitas, R.; </w:t>
      </w:r>
      <w:proofErr w:type="spellStart"/>
      <w:r w:rsidRPr="00650737">
        <w:rPr>
          <w:lang w:val="pt-BR"/>
        </w:rPr>
        <w:t>Blancke</w:t>
      </w:r>
      <w:proofErr w:type="spellEnd"/>
      <w:r w:rsidRPr="00650737">
        <w:rPr>
          <w:lang w:val="pt-BR"/>
        </w:rPr>
        <w:t xml:space="preserve">, T.; Hanel, R. 2021. </w:t>
      </w:r>
      <w:r>
        <w:t xml:space="preserve">Confirmed record of the </w:t>
      </w:r>
      <w:proofErr w:type="spellStart"/>
      <w:r>
        <w:t>roughear</w:t>
      </w:r>
      <w:proofErr w:type="spellEnd"/>
      <w:r>
        <w:t xml:space="preserve"> scad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tabl</w:t>
      </w:r>
      <w:proofErr w:type="spellEnd"/>
      <w:r>
        <w:t xml:space="preserve"> in the Cabo Verde Archipelago based on morphological and genetic data. </w:t>
      </w:r>
      <w:proofErr w:type="spellStart"/>
      <w:r>
        <w:t>Zoologia</w:t>
      </w:r>
      <w:proofErr w:type="spellEnd"/>
      <w:r>
        <w:t xml:space="preserve"> </w:t>
      </w:r>
      <w:proofErr w:type="spellStart"/>
      <w:r>
        <w:t>Caboverdiana</w:t>
      </w:r>
      <w:proofErr w:type="spellEnd"/>
      <w:r>
        <w:t>, 9(1): 3–13.</w:t>
      </w:r>
    </w:p>
    <w:p w14:paraId="2DD4816E" w14:textId="77777777" w:rsidR="0022272D" w:rsidRDefault="00000000">
      <w:pPr>
        <w:spacing w:after="80"/>
        <w:ind w:left="425" w:hanging="425"/>
        <w:jc w:val="both"/>
      </w:pPr>
      <w:r>
        <w:t>Maunder, M.N.; Punt, A.E. 2004. Standardizing catch and effort data: a review of recent approaches. Fisheries Research, 70: 141–159.</w:t>
      </w:r>
    </w:p>
    <w:p w14:paraId="4C76326D" w14:textId="77777777" w:rsidR="0022272D" w:rsidRDefault="00000000">
      <w:pPr>
        <w:spacing w:after="80"/>
        <w:ind w:left="425" w:hanging="425"/>
        <w:jc w:val="both"/>
      </w:pPr>
      <w:r>
        <w:t>Methot, R.D.; Wetzel, C.R. 2013. Stock synthesis: a biological and statistical framework for fish stock assessment and fishery management. Fisheries Research, 142: 86–99.</w:t>
      </w:r>
    </w:p>
    <w:p w14:paraId="6D7954CA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Ramos, V. </w:t>
      </w:r>
      <w:proofErr w:type="spellStart"/>
      <w:r>
        <w:t>s.d.</w:t>
      </w:r>
      <w:proofErr w:type="spellEnd"/>
      <w:r>
        <w:t xml:space="preserve"> Early life history of </w:t>
      </w:r>
      <w:proofErr w:type="spellStart"/>
      <w:r>
        <w:t>cavala</w:t>
      </w:r>
      <w:proofErr w:type="spellEnd"/>
      <w:r>
        <w:t xml:space="preserve"> preta,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, by the larval net sampling. </w:t>
      </w:r>
      <w:r w:rsidRPr="00650737">
        <w:rPr>
          <w:lang w:val="pt-BR"/>
        </w:rPr>
        <w:t>In: Relatório Final, Projeto de Cooperação Técnica na Área de Investigação Científica sobre Recursos Haliêuticos na ZEE de Cabo Verde (INDP/OFCF), Mindelo.</w:t>
      </w:r>
    </w:p>
    <w:p w14:paraId="62B6B760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Ramos, V.; Fujiwara, S. </w:t>
      </w:r>
      <w:proofErr w:type="spellStart"/>
      <w:r>
        <w:t>s.d.</w:t>
      </w:r>
      <w:proofErr w:type="spellEnd"/>
      <w:r>
        <w:t xml:space="preserve"> Preliminary analysis concerning morphometric data and application for fishery management on </w:t>
      </w:r>
      <w:proofErr w:type="spellStart"/>
      <w:r>
        <w:t>cavala</w:t>
      </w:r>
      <w:proofErr w:type="spellEnd"/>
      <w:r>
        <w:t xml:space="preserve"> preta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 in Cabo Verde waters. </w:t>
      </w:r>
      <w:r w:rsidRPr="00650737">
        <w:rPr>
          <w:lang w:val="pt-BR"/>
        </w:rPr>
        <w:t>Projeto de Cooperação Técnica INDP/OFCF (dados de 2002), Mindelo.</w:t>
      </w:r>
    </w:p>
    <w:p w14:paraId="16A5D098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 w:rsidRPr="00650737">
        <w:rPr>
          <w:lang w:val="pt-BR"/>
        </w:rPr>
        <w:t>Santos, M.G. 2018. Dinâmica populacional da cavala preta (</w:t>
      </w:r>
      <w:proofErr w:type="spellStart"/>
      <w:r w:rsidRPr="00650737">
        <w:rPr>
          <w:i/>
          <w:iCs/>
          <w:lang w:val="pt-BR"/>
        </w:rPr>
        <w:t>Decapterus</w:t>
      </w:r>
      <w:proofErr w:type="spellEnd"/>
      <w:r w:rsidRPr="00650737">
        <w:rPr>
          <w:i/>
          <w:iCs/>
          <w:lang w:val="pt-BR"/>
        </w:rPr>
        <w:t xml:space="preserve"> </w:t>
      </w:r>
      <w:proofErr w:type="spellStart"/>
      <w:r w:rsidRPr="00650737">
        <w:rPr>
          <w:i/>
          <w:iCs/>
          <w:lang w:val="pt-BR"/>
        </w:rPr>
        <w:t>macarellus</w:t>
      </w:r>
      <w:proofErr w:type="spellEnd"/>
      <w:r w:rsidRPr="00650737">
        <w:rPr>
          <w:lang w:val="pt-BR"/>
        </w:rPr>
        <w:t>) na região norte de Cabo Verde: diagnóstico do período de 2005–2018. Relatório de estágio (Licenciatura em Ciências Biológicas). Universidade de Cabo Verde / INDP, Mindelo.</w:t>
      </w:r>
    </w:p>
    <w:p w14:paraId="72400E37" w14:textId="77777777" w:rsidR="0022272D" w:rsidRDefault="00000000">
      <w:pPr>
        <w:spacing w:after="80"/>
        <w:ind w:left="425" w:hanging="425"/>
        <w:jc w:val="both"/>
      </w:pPr>
      <w:r>
        <w:t xml:space="preserve">Stobberup, K.A.; </w:t>
      </w:r>
      <w:proofErr w:type="spellStart"/>
      <w:r>
        <w:t>Erzini</w:t>
      </w:r>
      <w:proofErr w:type="spellEnd"/>
      <w:r>
        <w:t xml:space="preserve">, K. 2006. Assessing mackerel scad, 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>, in Cape Verde: using a Bayesian approach to biomass dynamic modelling in a data-limited situation. Fisheries Research, 82: 194–203. https://doi.org/10.1016/j.fishres.2006.06.005</w:t>
      </w:r>
    </w:p>
    <w:p w14:paraId="1E6E3A43" w14:textId="77777777" w:rsidR="0022272D" w:rsidRDefault="00000000">
      <w:pPr>
        <w:spacing w:after="80"/>
        <w:ind w:left="425" w:hanging="425"/>
        <w:jc w:val="both"/>
      </w:pPr>
      <w:proofErr w:type="spellStart"/>
      <w:r>
        <w:lastRenderedPageBreak/>
        <w:t>Tariche</w:t>
      </w:r>
      <w:proofErr w:type="spellEnd"/>
      <w:r>
        <w:t xml:space="preserve">, O.; Martins, A. 2009. </w:t>
      </w:r>
      <w:r w:rsidRPr="00650737">
        <w:rPr>
          <w:lang w:val="pt-BR"/>
        </w:rPr>
        <w:t xml:space="preserve">Dinâmica populacional e avaliação do estado de exploração dos principais recursos haliêuticos de Cabo Verde. </w:t>
      </w:r>
      <w:r>
        <w:t>INDP, Mindelo.</w:t>
      </w:r>
    </w:p>
    <w:p w14:paraId="05BDCD92" w14:textId="77777777" w:rsidR="0022272D" w:rsidRPr="00650737" w:rsidRDefault="00000000">
      <w:pPr>
        <w:spacing w:after="80"/>
        <w:ind w:left="425" w:hanging="425"/>
        <w:jc w:val="both"/>
        <w:rPr>
          <w:lang w:val="pt-BR"/>
        </w:rPr>
      </w:pPr>
      <w:r>
        <w:t xml:space="preserve">Thiao, D. 2026. Preliminary bioeconomic assessment of mackerel scad and three tuna-like species in Cabo Verde. </w:t>
      </w:r>
      <w:r w:rsidRPr="00650737">
        <w:rPr>
          <w:lang w:val="pt-BR"/>
        </w:rPr>
        <w:t xml:space="preserve">FAO </w:t>
      </w:r>
      <w:proofErr w:type="spellStart"/>
      <w:r w:rsidRPr="00650737">
        <w:rPr>
          <w:lang w:val="pt-BR"/>
        </w:rPr>
        <w:t>Fisheries</w:t>
      </w:r>
      <w:proofErr w:type="spellEnd"/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and</w:t>
      </w:r>
      <w:proofErr w:type="spellEnd"/>
      <w:r w:rsidRPr="00650737">
        <w:rPr>
          <w:lang w:val="pt-BR"/>
        </w:rPr>
        <w:t xml:space="preserve"> </w:t>
      </w:r>
      <w:proofErr w:type="spellStart"/>
      <w:r w:rsidRPr="00650737">
        <w:rPr>
          <w:lang w:val="pt-BR"/>
        </w:rPr>
        <w:t>Aquaculture</w:t>
      </w:r>
      <w:proofErr w:type="spellEnd"/>
      <w:r w:rsidRPr="00650737">
        <w:rPr>
          <w:lang w:val="pt-BR"/>
        </w:rPr>
        <w:t xml:space="preserve"> Circular No. 1297. FAO, Roma. https://doi.org/10.4060/cd8722en</w:t>
      </w:r>
    </w:p>
    <w:p w14:paraId="5D841A7A" w14:textId="77777777" w:rsidR="0022272D" w:rsidRDefault="00000000">
      <w:pPr>
        <w:spacing w:after="80"/>
        <w:ind w:left="425" w:hanging="425"/>
        <w:jc w:val="both"/>
      </w:pPr>
      <w:r>
        <w:t>Vieira, N. 2019. Stock assessment and the influence of environmental parameters on the distribution of mackerel scad (</w:t>
      </w:r>
      <w:proofErr w:type="spellStart"/>
      <w:r>
        <w:rPr>
          <w:i/>
          <w:iCs/>
        </w:rPr>
        <w:t>Decapterus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macarellus</w:t>
      </w:r>
      <w:proofErr w:type="spellEnd"/>
      <w:r>
        <w:t xml:space="preserve">) in Cabo Verde waters. Final project. United Nations University Fisheries Training </w:t>
      </w:r>
      <w:proofErr w:type="spellStart"/>
      <w:r>
        <w:t>Programme</w:t>
      </w:r>
      <w:proofErr w:type="spellEnd"/>
      <w:r>
        <w:t>, Reykjavík.</w:t>
      </w:r>
    </w:p>
    <w:p w14:paraId="2FF89C41" w14:textId="77777777" w:rsidR="0022272D" w:rsidRDefault="00000000">
      <w:pPr>
        <w:spacing w:after="80"/>
        <w:ind w:left="425" w:hanging="425"/>
        <w:jc w:val="both"/>
      </w:pPr>
      <w:r>
        <w:t>Winker, H.; Carvalho, F.; Kapur, M. 2018. JABBA: Just Another Bayesian Biomass Assessment. Fisheries Research, 204: 275–288.</w:t>
      </w:r>
    </w:p>
    <w:sectPr w:rsidR="0022272D">
      <w:headerReference w:type="default" r:id="rId9"/>
      <w:footerReference w:type="default" r:id="rId10"/>
      <w:headerReference w:type="first" r:id="rId11"/>
      <w:pgSz w:w="11906" w:h="16838"/>
      <w:pgMar w:top="1134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8873F" w14:textId="77777777" w:rsidR="00541864" w:rsidRDefault="00541864">
      <w:pPr>
        <w:spacing w:line="240" w:lineRule="auto"/>
      </w:pPr>
      <w:r>
        <w:separator/>
      </w:r>
    </w:p>
  </w:endnote>
  <w:endnote w:type="continuationSeparator" w:id="0">
    <w:p w14:paraId="478FB03F" w14:textId="77777777" w:rsidR="00541864" w:rsidRDefault="005418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E7B8" w14:textId="77777777" w:rsidR="0022272D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650737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BC361" w14:textId="77777777" w:rsidR="00541864" w:rsidRDefault="00541864">
      <w:pPr>
        <w:spacing w:line="240" w:lineRule="auto"/>
      </w:pPr>
      <w:r>
        <w:separator/>
      </w:r>
    </w:p>
  </w:footnote>
  <w:footnote w:type="continuationSeparator" w:id="0">
    <w:p w14:paraId="66A55E56" w14:textId="77777777" w:rsidR="00541864" w:rsidRDefault="005418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C343E" w14:textId="77777777" w:rsidR="0022272D" w:rsidRDefault="00000000">
    <w:r>
      <w:rPr>
        <w:noProof/>
      </w:rPr>
      <w:drawing>
        <wp:anchor distT="0" distB="0" distL="0" distR="0" simplePos="0" relativeHeight="251657216" behindDoc="1" locked="0" layoutInCell="1" allowOverlap="1" wp14:anchorId="24E8BF3A" wp14:editId="0FFCEB7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62850" cy="10696575"/>
          <wp:effectExtent l="0" t="0" r="0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87CEC7C" w14:textId="77777777" w:rsidR="0022272D" w:rsidRPr="00650737" w:rsidRDefault="00000000">
    <w:pPr>
      <w:jc w:val="right"/>
      <w:rPr>
        <w:lang w:val="pt-BR"/>
      </w:rPr>
    </w:pPr>
    <w:r w:rsidRPr="00650737">
      <w:rPr>
        <w:i/>
        <w:iCs/>
        <w:color w:val="7F8C95"/>
        <w:sz w:val="16"/>
        <w:szCs w:val="16"/>
        <w:lang w:val="pt-BR"/>
      </w:rPr>
      <w:t>Avaliação da cavala preta em Cabo Verde · Relatório final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C4C02" w14:textId="77777777" w:rsidR="0022272D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4E0F995" wp14:editId="75D3B76C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62850" cy="10696575"/>
          <wp:effectExtent l="0" t="0" r="0" b="0"/>
          <wp:wrapNone/>
          <wp:docPr id="563053512" name="Imagem 5630535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9673A"/>
    <w:multiLevelType w:val="hybridMultilevel"/>
    <w:tmpl w:val="27DA2D78"/>
    <w:lvl w:ilvl="0" w:tplc="E1842AF4">
      <w:start w:val="1"/>
      <w:numFmt w:val="bullet"/>
      <w:lvlText w:val="●"/>
      <w:lvlJc w:val="left"/>
      <w:pPr>
        <w:ind w:left="720" w:hanging="360"/>
      </w:pPr>
    </w:lvl>
    <w:lvl w:ilvl="1" w:tplc="37840CA4">
      <w:start w:val="1"/>
      <w:numFmt w:val="bullet"/>
      <w:lvlText w:val="○"/>
      <w:lvlJc w:val="left"/>
      <w:pPr>
        <w:ind w:left="1440" w:hanging="360"/>
      </w:pPr>
    </w:lvl>
    <w:lvl w:ilvl="2" w:tplc="56A45978">
      <w:start w:val="1"/>
      <w:numFmt w:val="bullet"/>
      <w:lvlText w:val="■"/>
      <w:lvlJc w:val="left"/>
      <w:pPr>
        <w:ind w:left="2160" w:hanging="360"/>
      </w:pPr>
    </w:lvl>
    <w:lvl w:ilvl="3" w:tplc="BD2E28DC">
      <w:start w:val="1"/>
      <w:numFmt w:val="bullet"/>
      <w:lvlText w:val="●"/>
      <w:lvlJc w:val="left"/>
      <w:pPr>
        <w:ind w:left="2880" w:hanging="360"/>
      </w:pPr>
    </w:lvl>
    <w:lvl w:ilvl="4" w:tplc="EF6EF238">
      <w:start w:val="1"/>
      <w:numFmt w:val="bullet"/>
      <w:lvlText w:val="○"/>
      <w:lvlJc w:val="left"/>
      <w:pPr>
        <w:ind w:left="3600" w:hanging="360"/>
      </w:pPr>
    </w:lvl>
    <w:lvl w:ilvl="5" w:tplc="0E0C54BE">
      <w:start w:val="1"/>
      <w:numFmt w:val="bullet"/>
      <w:lvlText w:val="■"/>
      <w:lvlJc w:val="left"/>
      <w:pPr>
        <w:ind w:left="4320" w:hanging="360"/>
      </w:pPr>
    </w:lvl>
    <w:lvl w:ilvl="6" w:tplc="96F83194">
      <w:start w:val="1"/>
      <w:numFmt w:val="bullet"/>
      <w:lvlText w:val="●"/>
      <w:lvlJc w:val="left"/>
      <w:pPr>
        <w:ind w:left="5040" w:hanging="360"/>
      </w:pPr>
    </w:lvl>
    <w:lvl w:ilvl="7" w:tplc="621C5EE0">
      <w:start w:val="1"/>
      <w:numFmt w:val="bullet"/>
      <w:lvlText w:val="●"/>
      <w:lvlJc w:val="left"/>
      <w:pPr>
        <w:ind w:left="5760" w:hanging="360"/>
      </w:pPr>
    </w:lvl>
    <w:lvl w:ilvl="8" w:tplc="107A7CAE">
      <w:start w:val="1"/>
      <w:numFmt w:val="bullet"/>
      <w:lvlText w:val="●"/>
      <w:lvlJc w:val="left"/>
      <w:pPr>
        <w:ind w:left="6480" w:hanging="360"/>
      </w:pPr>
    </w:lvl>
  </w:abstractNum>
  <w:num w:numId="1" w16cid:durableId="20251314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72D"/>
    <w:rsid w:val="00013108"/>
    <w:rsid w:val="00055ED2"/>
    <w:rsid w:val="001C3555"/>
    <w:rsid w:val="0022272D"/>
    <w:rsid w:val="002A0A5A"/>
    <w:rsid w:val="00380B46"/>
    <w:rsid w:val="00487CEE"/>
    <w:rsid w:val="00520141"/>
    <w:rsid w:val="00541864"/>
    <w:rsid w:val="00590EA9"/>
    <w:rsid w:val="00650737"/>
    <w:rsid w:val="006A050E"/>
    <w:rsid w:val="00C42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7A38CC"/>
  <w15:docId w15:val="{379D9008-8B33-4129-889D-D617E5C89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240" w:after="12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00" w:after="8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unhideWhenUsed/>
    <w:qFormat/>
    <w:pPr>
      <w:keepNext/>
      <w:spacing w:before="160" w:after="60"/>
      <w:outlineLvl w:val="2"/>
    </w:pPr>
    <w:rPr>
      <w:b/>
      <w:bCs/>
      <w:i/>
      <w:iCs/>
      <w:color w:val="33404A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650737"/>
    <w:pPr>
      <w:tabs>
        <w:tab w:val="center" w:pos="4419"/>
        <w:tab w:val="right" w:pos="8838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0737"/>
  </w:style>
  <w:style w:type="paragraph" w:styleId="Rodap">
    <w:name w:val="footer"/>
    <w:basedOn w:val="Normal"/>
    <w:link w:val="RodapChar"/>
    <w:uiPriority w:val="99"/>
    <w:unhideWhenUsed/>
    <w:rsid w:val="00650737"/>
    <w:pPr>
      <w:tabs>
        <w:tab w:val="center" w:pos="4419"/>
        <w:tab w:val="right" w:pos="8838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0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11</Pages>
  <Words>4182</Words>
  <Characters>23839</Characters>
  <Application>Microsoft Office Word</Application>
  <DocSecurity>0</DocSecurity>
  <Lines>198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Avaliação do estoque da cavala preta em Cabo Verde</vt:lpstr>
    </vt:vector>
  </TitlesOfParts>
  <Company/>
  <LinksUpToDate>false</LinksUpToDate>
  <CharactersWithSpaces>27966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Avaliação do estoque da cavala preta em Cabo Verde</dc:title>
  <dc:creator>Relatório cavala preta</dc:creator>
  <cp:lastModifiedBy>matheus Lourenço</cp:lastModifiedBy>
  <cp:revision>4</cp:revision>
  <dcterms:created xsi:type="dcterms:W3CDTF">2026-09-30T16:08:00Z</dcterms:created>
  <dcterms:modified xsi:type="dcterms:W3CDTF">2026-09-30T17:59:00Z</dcterms:modified>
</cp:coreProperties>
</file>