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4C1A5" w14:textId="484AA8EC" w:rsidR="0092470A" w:rsidRDefault="0020059C" w:rsidP="0020059C">
      <w:pPr>
        <w:jc w:val="center"/>
      </w:pPr>
      <w:r>
        <w:t>GT - ALFABETIZAÇÃO FINANCEIRA</w:t>
      </w:r>
    </w:p>
    <w:p w14:paraId="1C9AA69E" w14:textId="333D85BB" w:rsidR="0092470A" w:rsidRPr="00B57463" w:rsidRDefault="00000000" w:rsidP="00B57463">
      <w:pPr>
        <w:pStyle w:val="Ttulo1"/>
      </w:pPr>
      <w:r w:rsidRPr="00B57463">
        <w:t xml:space="preserve">ANÁLISE DA INFLUÊNCIA DOS FATORES SOCIODEMOGRÁFICOS NA ALFABETIZAÇÃO FINANCEIRA: </w:t>
      </w:r>
      <w:r w:rsidR="0092249A" w:rsidRPr="00B57463">
        <w:t>estudo em um órgão público</w:t>
      </w:r>
    </w:p>
    <w:p w14:paraId="7FFA2DFF" w14:textId="29CE7194" w:rsidR="0092470A" w:rsidRDefault="00000000" w:rsidP="001C2FB4">
      <w:pPr>
        <w:pStyle w:val="Subttulo"/>
      </w:pPr>
      <w:r>
        <w:t xml:space="preserve">Paula Severo </w:t>
      </w:r>
      <w:proofErr w:type="spellStart"/>
      <w:r>
        <w:t>Seguins</w:t>
      </w:r>
      <w:proofErr w:type="spellEnd"/>
      <w:r w:rsidR="0020059C">
        <w:t xml:space="preserve">, </w:t>
      </w:r>
      <w:r>
        <w:t>Max Leandro de Araújo Brito</w:t>
      </w:r>
    </w:p>
    <w:p w14:paraId="3BC389EC" w14:textId="77777777" w:rsidR="0092470A" w:rsidRDefault="0092470A" w:rsidP="0020059C">
      <w:pPr>
        <w:rPr>
          <w:b/>
        </w:rPr>
      </w:pPr>
    </w:p>
    <w:p w14:paraId="578EE6FE" w14:textId="77777777" w:rsidR="0092470A" w:rsidRDefault="00000000" w:rsidP="0020059C">
      <w:pPr>
        <w:rPr>
          <w:b/>
          <w:caps/>
        </w:rPr>
      </w:pPr>
      <w:r>
        <w:rPr>
          <w:b/>
          <w:caps/>
        </w:rPr>
        <w:t>Resumo</w:t>
      </w:r>
    </w:p>
    <w:p w14:paraId="20408A53" w14:textId="77777777" w:rsidR="0092470A" w:rsidRDefault="0092470A" w:rsidP="0020059C"/>
    <w:p w14:paraId="670742C7" w14:textId="77777777" w:rsidR="0092470A" w:rsidRPr="0020059C" w:rsidRDefault="00000000" w:rsidP="0020059C">
      <w:pPr>
        <w:spacing w:line="240" w:lineRule="auto"/>
        <w:rPr>
          <w:sz w:val="22"/>
        </w:rPr>
      </w:pPr>
      <w:r w:rsidRPr="0020059C">
        <w:rPr>
          <w:color w:val="000000"/>
          <w:sz w:val="22"/>
        </w:rPr>
        <w:t xml:space="preserve">A presente pesquisa teve como objetivo relacionar os fatores sociodemográficos à alfabetização financeira dos militares da Base Aérea de Natal. Para tanto, aplicou-se questionário, respondido de maneira voluntária e anônima. O instrumento foi dividido em dois blocos, sendo o primeiro, constituído de perguntas relacionadas a perfis sociodemográficos dos respondentes e o segundo, fragmentado em três partes, teve como objetivo avaliar a alfabetização financeira por meio de três fatores: </w:t>
      </w:r>
      <w:r w:rsidRPr="0020059C">
        <w:rPr>
          <w:rFonts w:eastAsia="Times New Roman"/>
          <w:color w:val="000000"/>
          <w:sz w:val="22"/>
        </w:rPr>
        <w:t xml:space="preserve">conhecimento financeiro, comportamento financeiro e atitude financeira. </w:t>
      </w:r>
      <w:r w:rsidRPr="0020059C">
        <w:rPr>
          <w:color w:val="000000"/>
          <w:sz w:val="22"/>
        </w:rPr>
        <w:t xml:space="preserve">Os dados, coletados por uma pesquisa </w:t>
      </w:r>
      <w:proofErr w:type="spellStart"/>
      <w:r w:rsidRPr="0020059C">
        <w:rPr>
          <w:i/>
          <w:iCs/>
          <w:color w:val="000000"/>
          <w:sz w:val="22"/>
        </w:rPr>
        <w:t>survey</w:t>
      </w:r>
      <w:proofErr w:type="spellEnd"/>
      <w:r w:rsidRPr="0020059C">
        <w:rPr>
          <w:color w:val="000000"/>
          <w:sz w:val="22"/>
        </w:rPr>
        <w:t>, foram investigados quantitativamente em uma análise estatística multivariada, com regressão múltipla e testes de hipótese. Como resultados, o estudo revelou que o público analisado possui mais conhecimento em juros compostos seguido de compreensão de inflação e entendimento sobre diversificação de risco; a instituição apresenta um programa de educação financeira bem estruturado; existe consciência da importância em controlar as despesas mensais e em estabelecer metas financeiras para o futuro. O estudo conclui que existe uma relação significativa entre escolaridade e renda, ao contrário dos demais constructos. Essa contradição em relação a investigações já publicadas pode ser atribuída às particularidades da instituição.</w:t>
      </w:r>
    </w:p>
    <w:p w14:paraId="1C99C814" w14:textId="77777777" w:rsidR="0092470A" w:rsidRPr="0020059C" w:rsidRDefault="0092470A" w:rsidP="0020059C">
      <w:pPr>
        <w:rPr>
          <w:sz w:val="22"/>
        </w:rPr>
      </w:pPr>
    </w:p>
    <w:p w14:paraId="529D5D70" w14:textId="77777777" w:rsidR="0092470A" w:rsidRPr="0020059C" w:rsidRDefault="00000000" w:rsidP="00EB0118">
      <w:pPr>
        <w:spacing w:line="240" w:lineRule="auto"/>
        <w:jc w:val="left"/>
        <w:rPr>
          <w:sz w:val="22"/>
        </w:rPr>
      </w:pPr>
      <w:r w:rsidRPr="0020059C">
        <w:rPr>
          <w:b/>
          <w:sz w:val="22"/>
        </w:rPr>
        <w:t xml:space="preserve">Palavras-chave: </w:t>
      </w:r>
      <w:r w:rsidRPr="0020059C">
        <w:rPr>
          <w:color w:val="000000"/>
          <w:sz w:val="22"/>
        </w:rPr>
        <w:t>Alfabetização financeira. Conhecimento financeiro. Atitude financeira. Comportamento financeiro.</w:t>
      </w:r>
    </w:p>
    <w:p w14:paraId="4B07F61E" w14:textId="77777777" w:rsidR="0092470A" w:rsidRDefault="00000000" w:rsidP="001C2FB4">
      <w:pPr>
        <w:pStyle w:val="Ttulo2"/>
      </w:pPr>
      <w:r>
        <w:t xml:space="preserve">1 </w:t>
      </w:r>
      <w:r w:rsidRPr="0020059C">
        <w:rPr>
          <w:rStyle w:val="Ttulo1Char"/>
        </w:rPr>
        <w:t>INTRODUÇÃO</w:t>
      </w:r>
      <w:r>
        <w:t xml:space="preserve"> </w:t>
      </w:r>
    </w:p>
    <w:p w14:paraId="57AEFEF8" w14:textId="77777777" w:rsidR="0092470A" w:rsidRDefault="00000000" w:rsidP="0020059C">
      <w:r>
        <w:rPr>
          <w:spacing w:val="-2"/>
        </w:rPr>
        <w:tab/>
      </w:r>
      <w:r>
        <w:t>A alfabetização financeira, também intitulada por diversos autores de literacia financeira, pode ser definida como a capacidade de leitura, análise, gestão e comunicação de problemas financeiros que se colocam ao nível do bem-estar material (VITT; ANDERSON; KENT; LYTER; SIEGENTHALER; WARD, 2000).</w:t>
      </w:r>
    </w:p>
    <w:p w14:paraId="6F78516C" w14:textId="77777777" w:rsidR="0092470A" w:rsidRDefault="00000000" w:rsidP="0020059C">
      <w:r>
        <w:tab/>
        <w:t xml:space="preserve">Araújo e Calife (2014) afirmam que até o fim da década de 1990, a alfabetização financeira no Brasil se resumia a recomendações de investimento de conhecedores sobre o tema, nas quais eram passadas informações sobre como aumentar o capital aplicado. Somada à pouca oferta de conhecimento sobre a temática, a realidade do país era de níveis altos de inflação, crédito exíguo, pouco acesso à informação e baixa adesão de pessoas ao sistema bancário. </w:t>
      </w:r>
    </w:p>
    <w:p w14:paraId="75D89A8F" w14:textId="77777777" w:rsidR="0092470A" w:rsidRDefault="00000000" w:rsidP="0020059C">
      <w:r>
        <w:lastRenderedPageBreak/>
        <w:tab/>
        <w:t>Ou seja, um emaranhado de “ingredientes” que dificultou um aprofundamento no estudo sobre educação financeira ao mesmo tempo que afetou a capacidade de planejamento do brasileiro e uma conceituação compreensível sobre planejamento e gestão de orçamento familiar ou doméstico.</w:t>
      </w:r>
    </w:p>
    <w:p w14:paraId="11AE69BF" w14:textId="77777777" w:rsidR="0092470A" w:rsidRDefault="00000000" w:rsidP="0020059C">
      <w:r>
        <w:tab/>
        <w:t>Savoia, Saito e Santana (2007) confirmam que o período prolongado de hiperinflação e instabilidade monetária tornou o curto-</w:t>
      </w:r>
      <w:proofErr w:type="spellStart"/>
      <w:r>
        <w:t>prazismo</w:t>
      </w:r>
      <w:proofErr w:type="spellEnd"/>
      <w:r>
        <w:t xml:space="preserve"> uma característica predominante nas decisões financeiras, impulsionando atitudes defensivas em prol de um maior poder aquisitivo e do patrimônio familiar. Os autores dizem que adicionando ainda o inesperado e assustador confisco das cadernetas de poupança pelo governo Collor, em 1990, a população tornou-se mais insegura em relação ao hábito de poupar. Assim, a escolha de ativos reais e a procura por liquidez tenderam a tornar as decisões imediatistas e a encurtar o horizonte de planejamento, fazendo com que o consumo se tornasse prioridade e a cultura de poupança ficasse comprometida (GONÇALVES, 2017).</w:t>
      </w:r>
    </w:p>
    <w:p w14:paraId="6B1B795C" w14:textId="77777777" w:rsidR="0092470A" w:rsidRDefault="00000000" w:rsidP="0020059C">
      <w:r>
        <w:tab/>
        <w:t xml:space="preserve">Gonçalves (2017) declara também que a situação começou a se modificar ainda na década de 1990, a partir da abertura econômica e do processo de estabilização do Plano Real,  fato este que proporcionou uma valorização progressiva dos ativos financeiros em relação aos imóveis, terras e outros bens tangíveis e promoveu uma fase de aprendizado contínuo por parte dos indivíduos e das famílias sobre a nova situação econômica, aliada a uma necessidade de mudança da ótica de gestão financeira de seu orçamento e patrimônio (SAVOIA </w:t>
      </w:r>
      <w:r>
        <w:rPr>
          <w:i/>
          <w:iCs/>
        </w:rPr>
        <w:t>et al</w:t>
      </w:r>
      <w:r>
        <w:t>., 2007).</w:t>
      </w:r>
    </w:p>
    <w:p w14:paraId="180BA860" w14:textId="77777777" w:rsidR="0092470A" w:rsidRDefault="00000000" w:rsidP="0020059C">
      <w:r>
        <w:tab/>
        <w:t>Outro fator que afeta a saúde financeira dos consumidores é a falta de controle no orçamento, muitas vezes, proveniente da ausência de instrução sobre planejamento financeiro, adicionalmente ao consumismo, que tem afetado adultos, jovens e crianças. A carência de saúde financeira impacta a qualidade de vida, por gerar estresse, insônia, depressão, problemas familiares e outros desequilíbrios sociais (</w:t>
      </w:r>
      <w:r>
        <w:rPr>
          <w:shd w:val="clear" w:color="auto" w:fill="FFFFFF"/>
        </w:rPr>
        <w:t>WISNIEWSKI, 2011</w:t>
      </w:r>
      <w:r>
        <w:t xml:space="preserve">). </w:t>
      </w:r>
    </w:p>
    <w:p w14:paraId="1247185C" w14:textId="77777777" w:rsidR="0092470A" w:rsidRDefault="00000000" w:rsidP="0020059C">
      <w:r>
        <w:tab/>
        <w:t xml:space="preserve">Para </w:t>
      </w:r>
      <w:proofErr w:type="spellStart"/>
      <w:r>
        <w:t>Bruggen</w:t>
      </w:r>
      <w:proofErr w:type="spellEnd"/>
      <w:r>
        <w:t xml:space="preserve"> </w:t>
      </w:r>
      <w:r>
        <w:rPr>
          <w:i/>
          <w:iCs/>
        </w:rPr>
        <w:t>et al</w:t>
      </w:r>
      <w:r>
        <w:t>. (2017), o bem-estar financeiro é a capacidade dos indivíduos de tomar decisões sobre suas vidas, sem que haja preocupação com as suas restrições financeiras. O não pagamento de dívidas, ocasionado por precária ou inexistente gestão financeira, é um dos fatores de impacto no bem-estar financeiro (FRAGA, 2017).</w:t>
      </w:r>
    </w:p>
    <w:p w14:paraId="4C7E3EB6" w14:textId="77777777" w:rsidR="0092470A" w:rsidRDefault="00000000" w:rsidP="0020059C">
      <w:r>
        <w:lastRenderedPageBreak/>
        <w:tab/>
        <w:t>Assim, percebe-se que o tema é complexo e por estar relacionado a um número abundante de variáveis, faz-se necessário um retorno à sua exploração, para verificar questões ainda não abordadas ou pouco reviradas, compreendendo sua relevância para a saúde financeira do indivíduo, que transcende uma perspectiva emocional e tem a capacidade de alterar seu modo de vida.</w:t>
      </w:r>
    </w:p>
    <w:p w14:paraId="2238BC49" w14:textId="77777777" w:rsidR="0092470A" w:rsidRDefault="00000000" w:rsidP="0020059C">
      <w:r>
        <w:tab/>
        <w:t>No campo militar, a temática começou a ser explorada há pouco tempo. Especificamente na Base Aérea de Natal, há projetos embrionários sobre o assunto, como o Programa de Educação Financeira (PEF), mas não foram realizados ainda estudos mais aprofundados.</w:t>
      </w:r>
    </w:p>
    <w:p w14:paraId="759C1322" w14:textId="77777777" w:rsidR="0092470A" w:rsidRDefault="00000000" w:rsidP="0020059C">
      <w:r>
        <w:tab/>
        <w:t>Dentro deste contexto, este trabalho se propôs a responder o seguinte problema: “</w:t>
      </w:r>
      <w:r>
        <w:rPr>
          <w:b/>
        </w:rPr>
        <w:t>Qual é a relação de fatores sociodemográficos com o nível de alfabetização financeira dos trabalhadores de uma instituição pública federal militar?</w:t>
      </w:r>
      <w:r>
        <w:t>”.</w:t>
      </w:r>
    </w:p>
    <w:p w14:paraId="7F96FEA7" w14:textId="77777777" w:rsidR="0092470A" w:rsidRDefault="00000000" w:rsidP="0020059C">
      <w:r>
        <w:rPr>
          <w:rFonts w:eastAsiaTheme="minorHAnsi"/>
        </w:rPr>
        <w:tab/>
        <w:t>As respostas para este questionamento colaboram fortemente para a pesquisa, e por conseguinte, incentivam a instituição para formação de políticas de fomento à alfabetização financeira.</w:t>
      </w:r>
    </w:p>
    <w:p w14:paraId="5EB43DE2" w14:textId="77777777" w:rsidR="0092470A" w:rsidRDefault="00000000" w:rsidP="0020059C">
      <w:r>
        <w:tab/>
        <w:t>Ressalta-se que o presente estudo não pretendeu esgotar o assunto em questão, levando em consideração sua extensão e desdobramentos. A intenção foi ater-se na esfera do público-alvo analisado e propor futuras análises no âmbito da Força Aérea.</w:t>
      </w:r>
    </w:p>
    <w:p w14:paraId="43B6F2A0" w14:textId="34AEA787" w:rsidR="0092470A" w:rsidRDefault="003A4AC2" w:rsidP="0020059C">
      <w:r>
        <w:tab/>
      </w:r>
      <w:r w:rsidR="00000000">
        <w:t>O estudo teve por objetivo geral relacionar fatores sociodemográficos a alfabetização financeira dos militares da Base Aérea de Natal.</w:t>
      </w:r>
    </w:p>
    <w:p w14:paraId="5C86B0B3" w14:textId="77777777" w:rsidR="0092470A" w:rsidRDefault="00000000" w:rsidP="0020059C">
      <w:r>
        <w:t>Para atingir o objetivo geral, foram propostos os seguintes objetivos específicos:</w:t>
      </w:r>
    </w:p>
    <w:p w14:paraId="3635B54B" w14:textId="77777777" w:rsidR="0092470A" w:rsidRDefault="00000000" w:rsidP="0020059C">
      <w:r>
        <w:rPr>
          <w:rFonts w:eastAsiaTheme="minorHAnsi"/>
        </w:rPr>
        <w:t>1) Discutir o comportamento financeiro dos respondentes;</w:t>
      </w:r>
    </w:p>
    <w:p w14:paraId="4578D829" w14:textId="77777777" w:rsidR="0092470A" w:rsidRDefault="00000000" w:rsidP="0020059C">
      <w:r>
        <w:rPr>
          <w:rFonts w:eastAsiaTheme="minorHAnsi"/>
        </w:rPr>
        <w:t>2) Refletir sobre o nível de conhecimento financeiro e os materiais instrucionais disponibilizados pela instituição;</w:t>
      </w:r>
    </w:p>
    <w:p w14:paraId="48097589" w14:textId="77777777" w:rsidR="0092470A" w:rsidRDefault="00000000" w:rsidP="0020059C">
      <w:r>
        <w:rPr>
          <w:rFonts w:eastAsiaTheme="minorHAnsi"/>
          <w:spacing w:val="-2"/>
        </w:rPr>
        <w:t>3) Discutir a atitude financeira dos respondentes.</w:t>
      </w:r>
    </w:p>
    <w:p w14:paraId="2DEEDE0A" w14:textId="77777777" w:rsidR="0092470A" w:rsidRDefault="0092470A" w:rsidP="0020059C">
      <w:pPr>
        <w:rPr>
          <w:rFonts w:eastAsiaTheme="minorHAnsi"/>
          <w:spacing w:val="-2"/>
        </w:rPr>
      </w:pPr>
    </w:p>
    <w:p w14:paraId="3FC8F43C" w14:textId="77777777" w:rsidR="0092470A" w:rsidRDefault="00000000" w:rsidP="001C2FB4">
      <w:pPr>
        <w:pStyle w:val="Ttulo2"/>
      </w:pPr>
      <w:r>
        <w:lastRenderedPageBreak/>
        <w:t>2 ALFABETIZAÇÃO FINANCEIRA</w:t>
      </w:r>
    </w:p>
    <w:p w14:paraId="2A466C48" w14:textId="77777777" w:rsidR="0092470A" w:rsidRDefault="00000000" w:rsidP="0020059C">
      <w:r>
        <w:tab/>
        <w:t xml:space="preserve">A alfabetização financeira pode ser definida, de acordo com </w:t>
      </w:r>
      <w:proofErr w:type="spellStart"/>
      <w:r>
        <w:t>Lusardi</w:t>
      </w:r>
      <w:proofErr w:type="spellEnd"/>
      <w:r>
        <w:t xml:space="preserve"> e Tufano (2015), como a utilização de conhecimentos básicos acerca de juros compostos na rotina das escolhas financeiras. Os autores afirmam ainda que a competência financeira se tornou mais essencial à medida que os mercados financeiros oferecem escolhas mais complexas e a responsabilidade de poupar e investir para o futuro passou do governo e empregadores para indivíduos. </w:t>
      </w:r>
    </w:p>
    <w:p w14:paraId="6AB4C28C" w14:textId="77777777" w:rsidR="0092470A" w:rsidRDefault="00000000" w:rsidP="0020059C">
      <w:r>
        <w:tab/>
        <w:t>Para o Banco de Portugal (2011), a literacia financeira auxilia os cidadãos a tomarem decisões sobre “gestão do orçamento familiar, controle da conta bancária e escolha de produtos e serviços bancários adequados” a seus perfis.</w:t>
      </w:r>
    </w:p>
    <w:p w14:paraId="33985E22" w14:textId="77777777" w:rsidR="0092470A" w:rsidRDefault="00000000" w:rsidP="0020059C">
      <w:r>
        <w:tab/>
        <w:t xml:space="preserve">Anderson, Baker e </w:t>
      </w:r>
      <w:proofErr w:type="spellStart"/>
      <w:r>
        <w:t>Robinsonc</w:t>
      </w:r>
      <w:proofErr w:type="spellEnd"/>
      <w:r>
        <w:t xml:space="preserve"> (2017), indicam que a alfabetização financeira está positivamente correlacionada a comportamentos financeiros domésticos, como planejamento de aposentadoria e poupança preventiva e que pessoas com baixa alfabetização financeira não possuem a real noção do seu nível de conhecimento sobre o assunto. Por isso, tomam decisões financeiras abaixo do ideal, e estão menos propensas a aceitar conselhos de planejamento financeiro.</w:t>
      </w:r>
    </w:p>
    <w:p w14:paraId="7760200E" w14:textId="77777777" w:rsidR="0092470A" w:rsidRDefault="00000000" w:rsidP="0020059C">
      <w:r>
        <w:t xml:space="preserve">Martins e Fonseca (2017) dizem que a família e a escola são peças-chave no processo de alfabetização financeira, pois é nela que os primeiros conhecimentos são alicerçados por meio dos pais, que servem de influência para formar crenças e práticas, enquanto a escola tem o papel de auxiliar a formar cidadãos autônomos e esclarecidos, também em assuntos econômicos. </w:t>
      </w:r>
    </w:p>
    <w:p w14:paraId="3DBAB3E5" w14:textId="77777777" w:rsidR="0092470A" w:rsidRDefault="00000000" w:rsidP="0020059C">
      <w:r>
        <w:tab/>
        <w:t xml:space="preserve">Para justificar os diferentes comportamentos financeiros, </w:t>
      </w:r>
      <w:proofErr w:type="spellStart"/>
      <w:r>
        <w:t>Strömbäck</w:t>
      </w:r>
      <w:proofErr w:type="spellEnd"/>
      <w:r>
        <w:t xml:space="preserve"> </w:t>
      </w:r>
      <w:r>
        <w:rPr>
          <w:i/>
          <w:iCs/>
        </w:rPr>
        <w:t>et al</w:t>
      </w:r>
      <w:r>
        <w:t xml:space="preserve">. (2017) listam o autocontrole, o otimismo e a tendência a pensar deliberadamente como fatores de variação, sendo o segundo item uma característica que torna os indivíduos mais propensos a economizar. Nessa linha comportamental, </w:t>
      </w:r>
      <w:proofErr w:type="spellStart"/>
      <w:r>
        <w:t>Skagerlund</w:t>
      </w:r>
      <w:proofErr w:type="spellEnd"/>
      <w:r>
        <w:t xml:space="preserve"> </w:t>
      </w:r>
      <w:r>
        <w:rPr>
          <w:i/>
          <w:iCs/>
        </w:rPr>
        <w:t>et al</w:t>
      </w:r>
      <w:r>
        <w:t>. (2018) defendem que os aspectos emocionais, a ansiedade financeira e a ansiedade matemática interferem de forma independente a capacidade dos indivíduos de atingirem a alfabetização financeira.</w:t>
      </w:r>
    </w:p>
    <w:p w14:paraId="3E9426F1" w14:textId="77777777" w:rsidR="0092470A" w:rsidRDefault="00000000" w:rsidP="0020059C">
      <w:r>
        <w:tab/>
        <w:t xml:space="preserve">Pesquisadores, como </w:t>
      </w:r>
      <w:r>
        <w:rPr>
          <w:rFonts w:eastAsia="Times New Roman"/>
        </w:rPr>
        <w:t xml:space="preserve">Amadeu (2009) e </w:t>
      </w:r>
      <w:proofErr w:type="spellStart"/>
      <w:r>
        <w:rPr>
          <w:rFonts w:eastAsia="Times New Roman"/>
        </w:rPr>
        <w:t>Lusardi</w:t>
      </w:r>
      <w:proofErr w:type="spellEnd"/>
      <w:r>
        <w:rPr>
          <w:rFonts w:eastAsia="Times New Roman"/>
        </w:rPr>
        <w:t xml:space="preserve"> e Mitchell (2011),</w:t>
      </w:r>
      <w:r>
        <w:t xml:space="preserve"> também apontam o nível de escolaridade como um fator de alfabetização financeira. </w:t>
      </w:r>
    </w:p>
    <w:p w14:paraId="54A6C1B8" w14:textId="77777777" w:rsidR="0092470A" w:rsidRDefault="00000000" w:rsidP="0020059C">
      <w:r>
        <w:lastRenderedPageBreak/>
        <w:tab/>
        <w:t>Limitando o tema ao Brasil, Savoia, Saito e Santana (2007), acreditam que as autoridades no país não exercem a função de capacitar a população adequadamente para as tomadas de decisões no âmbito financeiro e apesar de a Bovespa e algumas organizações privadas além dos bancos desenvolverem práticas para atenuar essa lacuna, suas ações são ainda insuficientes.</w:t>
      </w:r>
    </w:p>
    <w:p w14:paraId="1C628557" w14:textId="77777777" w:rsidR="0092470A" w:rsidRDefault="00000000" w:rsidP="0020059C">
      <w:r>
        <w:tab/>
        <w:t>Os autores citam o Programa de Educação Financeira, realizado pelo Banco Central do Brasil, responsável pela orientação da sociedade no tocante a assuntos econômicos, a promoção de palestras e cartilhas gratuitas de educação ao investidor, pela Comissão de Valores Imobiliários e os projetos Educar e Bovespa vai até você, da Bolsa de Valores de São Paulo, mas apontam que o Ministério da Educação e Cultura não define a educação financeira como obrigatória no sistema de ensino.</w:t>
      </w:r>
    </w:p>
    <w:p w14:paraId="0AA217C0" w14:textId="77777777" w:rsidR="0092470A" w:rsidRDefault="00000000" w:rsidP="0020059C">
      <w:r>
        <w:tab/>
        <w:t>X</w:t>
      </w:r>
      <w:r>
        <w:rPr>
          <w:color w:val="000000"/>
        </w:rPr>
        <w:t xml:space="preserve">iao e </w:t>
      </w:r>
      <w:hyperlink r:id="rId8">
        <w:r>
          <w:rPr>
            <w:rStyle w:val="LinkdaInternet"/>
            <w:color w:val="000000"/>
            <w:u w:val="none"/>
          </w:rPr>
          <w:t>O'Neill</w:t>
        </w:r>
      </w:hyperlink>
      <w:r>
        <w:rPr>
          <w:color w:val="000000"/>
        </w:rPr>
        <w:t xml:space="preserve"> (2016)</w:t>
      </w:r>
      <w:r>
        <w:t xml:space="preserve"> afirmam que o conhecimento financeiro ou a educação financeira não garantem uma gestão eficaz do dinheiro. Em contrapartida, estudos da OCDE (2017), afirmam que usualmente os indivíduos apresentam dificuldades para compreender noções básicas sobre finanças e que conhecimentos econômico-financeiros ampliam a possibilidade de uma boa gestão de renda visando qualidade de vida.</w:t>
      </w:r>
    </w:p>
    <w:p w14:paraId="0775DC9F" w14:textId="77777777" w:rsidR="0092470A" w:rsidRDefault="00000000" w:rsidP="0020059C">
      <w:r>
        <w:tab/>
      </w:r>
      <w:proofErr w:type="spellStart"/>
      <w:r>
        <w:t>Hilgert</w:t>
      </w:r>
      <w:proofErr w:type="spellEnd"/>
      <w:r>
        <w:t xml:space="preserve"> </w:t>
      </w:r>
      <w:r>
        <w:rPr>
          <w:i/>
          <w:iCs/>
        </w:rPr>
        <w:t>et al</w:t>
      </w:r>
      <w:r>
        <w:t>. (2003) corroboraram a afirmação quando documentaram uma forte relação entre o conhecimento financeiro e a probabilidade de um indivíduo se envolver em práticas financeiras recomendadas, como a manutenção de um fundo de emergência.</w:t>
      </w:r>
    </w:p>
    <w:p w14:paraId="4F9D7842" w14:textId="77777777" w:rsidR="0092470A" w:rsidRDefault="00000000" w:rsidP="0020059C">
      <w:r>
        <w:tab/>
        <w:t xml:space="preserve">Para avaliar o nível de alfabetização financeira </w:t>
      </w:r>
      <w:proofErr w:type="spellStart"/>
      <w:r>
        <w:t>Lusardi</w:t>
      </w:r>
      <w:proofErr w:type="spellEnd"/>
      <w:r>
        <w:t xml:space="preserve"> e Mitchell (2011a) criaram três perguntas, utilizadas posteriormente em diversos trabalhos (POTRICH; VIEIRA; CERETTA, 2013), que abrangem os conceitos econômicos fundamentalmente relacionados com a poupança, conhecimento de risco e diversificação. As questões foram construídas com base em quatro princípios fundamentais: simplicidade (mensuração de conceitos financeiros básicos), relevância (preocupação em </w:t>
      </w:r>
      <w:r>
        <w:rPr>
          <w:rFonts w:eastAsia="Times New Roman"/>
        </w:rPr>
        <w:t>relacionar as questões a conceitos pertinentes ao dia a dia financeiro dos entrevistados</w:t>
      </w:r>
      <w:r>
        <w:t xml:space="preserve">), brevidade (utilização do menor número possível de perguntas) e capacidade de diferenciação (perguntas que possibilitem a mensuração de níveis de conhecimento, </w:t>
      </w:r>
      <w:r>
        <w:rPr>
          <w:rFonts w:eastAsia="Times New Roman"/>
        </w:rPr>
        <w:lastRenderedPageBreak/>
        <w:t>de modo a comparar as pessoas em termos de suas pontuações</w:t>
      </w:r>
      <w:r>
        <w:t>) (LUSARDI; MITCHEL, 2011b).</w:t>
      </w:r>
    </w:p>
    <w:p w14:paraId="671B542A" w14:textId="77777777" w:rsidR="0092470A" w:rsidRDefault="00000000" w:rsidP="0020059C">
      <w:r>
        <w:tab/>
        <w:t xml:space="preserve">São elas: (1) </w:t>
      </w:r>
      <w:r>
        <w:rPr>
          <w:rFonts w:eastAsia="Times New Roman"/>
        </w:rPr>
        <w:t>Suponha que você tenha R$ 100,00 em uma conta poupança e a taxa de juros seja de 2% ao ano. Depois de 5 anos, quanto você acha que teria na conta se deixasse o dinheiro render? (2) Imagine que a taxa de juros da sua poupança seja de 1% ao ano e a inflação seja de 2% ao ano. Após 1 ano, quanto você será capaz de comprar com o dinheiro dessa conta? (3) Assinale a informação a seguir. “Comprar ações de uma única empresa geralmente oferece um retorno mais seguro do que um fundo mútuo de ações.”</w:t>
      </w:r>
    </w:p>
    <w:p w14:paraId="1E78C772" w14:textId="77777777" w:rsidR="0092470A" w:rsidRDefault="00000000" w:rsidP="0020059C">
      <w:r>
        <w:tab/>
        <w:t xml:space="preserve">Os estudos de </w:t>
      </w:r>
      <w:proofErr w:type="spellStart"/>
      <w:r>
        <w:t>Potrich</w:t>
      </w:r>
      <w:proofErr w:type="spellEnd"/>
      <w:r>
        <w:t xml:space="preserve">, Vieira e </w:t>
      </w:r>
      <w:proofErr w:type="spellStart"/>
      <w:r>
        <w:t>Ceretta</w:t>
      </w:r>
      <w:proofErr w:type="spellEnd"/>
      <w:r>
        <w:t xml:space="preserve"> (2013), que serviram como base metodológica desta pesquisa, utilizaram as perguntas de </w:t>
      </w:r>
      <w:proofErr w:type="spellStart"/>
      <w:r>
        <w:t>Lusardi</w:t>
      </w:r>
      <w:proofErr w:type="spellEnd"/>
      <w:r>
        <w:t xml:space="preserve"> e Mitchell (2011a) para mensurar o conhecimento financeiro e acrescentaram outros dois blocos de </w:t>
      </w:r>
      <w:r>
        <w:rPr>
          <w:rFonts w:eastAsia="Times New Roman"/>
        </w:rPr>
        <w:t>questões, denominados de fatores, que foram utilizados para aferir o comportamento financeiro e a atitude financeira. Os autores defenderam que os três blocos juntos determinam de uma maneira mais completa a alfabetização financeira.</w:t>
      </w:r>
    </w:p>
    <w:p w14:paraId="73754C38" w14:textId="77777777" w:rsidR="0092470A" w:rsidRDefault="00000000" w:rsidP="001C2FB4">
      <w:pPr>
        <w:pStyle w:val="Ttulo2"/>
      </w:pPr>
      <w:r>
        <w:t xml:space="preserve">3 </w:t>
      </w:r>
      <w:bookmarkStart w:id="0" w:name="_Toc130754939"/>
      <w:r>
        <w:t>CONHECIMENTO FINANCEIRO, COMPORTAMENTO FINANCEIRO</w:t>
      </w:r>
      <w:bookmarkEnd w:id="0"/>
      <w:r>
        <w:t xml:space="preserve"> E ATITUDE FINANCEIRA</w:t>
      </w:r>
    </w:p>
    <w:p w14:paraId="10F423A1" w14:textId="77777777" w:rsidR="0092470A" w:rsidRDefault="00000000" w:rsidP="0020059C">
      <w:r>
        <w:tab/>
      </w:r>
      <w:bookmarkStart w:id="1" w:name="_Hlk124261907"/>
      <w:r>
        <w:t xml:space="preserve">A aprendizagem se relaciona à totalidade de experiências episódicas percorridas ao longo da existência do ser humano, evidenciadas de diversas maneiras, que podem ocasionar a aquisição de novos conhecimentos (JARVIS, 2006; 2009a). Ela desenvolve-se em conjunto ao aumento da complexidade de adversidades (TEIXEIRA </w:t>
      </w:r>
      <w:r>
        <w:rPr>
          <w:i/>
          <w:iCs/>
        </w:rPr>
        <w:t>et al</w:t>
      </w:r>
      <w:r>
        <w:t>., 2019), isto porque t</w:t>
      </w:r>
      <w:r>
        <w:rPr>
          <w:rFonts w:eastAsia="Times New Roman"/>
        </w:rPr>
        <w:t>rabalhar com problemas genuínos da vida real dá significado aos conteúdos abstratos envolvidos (HUNG, 2016).</w:t>
      </w:r>
    </w:p>
    <w:p w14:paraId="01079635" w14:textId="77777777" w:rsidR="0092470A" w:rsidRDefault="00000000" w:rsidP="0020059C">
      <w:r>
        <w:tab/>
        <w:t>Há diversos tipos de aprendizado, dentre eles, o aprendizado ao longo da vida, cuja conceituação está fundamentada na ideia de que as pessoas aprendem continuamente e ao longo de todas as fases da se sua existência (SOU</w:t>
      </w:r>
      <w:r>
        <w:softHyphen/>
        <w:t xml:space="preserve">TO-OTERO </w:t>
      </w:r>
      <w:r>
        <w:rPr>
          <w:i/>
          <w:iCs/>
        </w:rPr>
        <w:t>et al</w:t>
      </w:r>
      <w:r>
        <w:t>., 2005); o aprendizado por meio da experiência, que se resume a um processo de compreensão ou percepção de uma conjuntura, proveniente da participação em um evento cons</w:t>
      </w:r>
      <w:r>
        <w:softHyphen/>
        <w:t xml:space="preserve">ciente ou inconsciente (JARVIS, 2009b); o aprendizado formal, que envolve sequência, estruturação de tarefas coordenadas e organizadas previamente (ERAUT, </w:t>
      </w:r>
      <w:r>
        <w:lastRenderedPageBreak/>
        <w:t xml:space="preserve">2004) e o aprendizado informal, que se define como um processo experiencial (MERRIAM, 2009; 2017; STRIMEL </w:t>
      </w:r>
      <w:r>
        <w:rPr>
          <w:i/>
          <w:iCs/>
        </w:rPr>
        <w:t>et al</w:t>
      </w:r>
      <w:r>
        <w:t xml:space="preserve">., 2014) ou aquisição de novos conhecimentos, habilidades e entendimentos (STRIMEL </w:t>
      </w:r>
      <w:r>
        <w:rPr>
          <w:i/>
          <w:iCs/>
        </w:rPr>
        <w:t>et al</w:t>
      </w:r>
      <w:bookmarkEnd w:id="1"/>
      <w:r>
        <w:t>., 2014).</w:t>
      </w:r>
    </w:p>
    <w:p w14:paraId="1B1A2402" w14:textId="77777777" w:rsidR="0092470A" w:rsidRDefault="00000000" w:rsidP="0020059C">
      <w:r>
        <w:tab/>
        <w:t>O contato com a educação financeira tem início na infância, quando as crianças acompanham os pais em lojas e mercados e assistem as permutas entre dinheiro e bens e serviços (BOWEN, 2002; DENEGRI; PALAVECINOS; RIPOLL; YÁÑEZ, 1999; SHIM; BARBER; CARD; XIAO; SERIDO, 2010; BESSA; FERMIANO; CORIA, 2014). Por isso, os valores financeiros dos adolescentes e seus pais costumam ser análogos (PRITCHARD; MYERS, 1992).</w:t>
      </w:r>
    </w:p>
    <w:p w14:paraId="54E40F68" w14:textId="77777777" w:rsidR="0092470A" w:rsidRDefault="00000000" w:rsidP="0020059C">
      <w:r>
        <w:tab/>
        <w:t xml:space="preserve">Embora normalmente alfabetizar as crianças seja uma função dos pais, muitos não possuem tal capacidade, por insuficiência dos conhecimentos necessários (JORGENSEN; SAVLA, 2010). Cardozo (2011) declara que um nível débil de economia é proveniente da falta de conhecimento a respeito de finanças pessoais, das restrições de recursos ocasionadas por dívidas existentes e pelo incômodo com o conceito de investir em detrimento da satisfação dos desejos imediatos. </w:t>
      </w:r>
    </w:p>
    <w:p w14:paraId="4C2FF457" w14:textId="77777777" w:rsidR="0092470A" w:rsidRDefault="00000000" w:rsidP="0020059C">
      <w:r>
        <w:rPr>
          <w:rStyle w:val="A0"/>
          <w:rFonts w:cs="Times New Roman"/>
          <w:color w:val="00000A"/>
          <w:sz w:val="24"/>
          <w:szCs w:val="24"/>
        </w:rPr>
        <w:tab/>
        <w:t xml:space="preserve">Moura </w:t>
      </w:r>
      <w:r>
        <w:rPr>
          <w:rStyle w:val="A0"/>
          <w:rFonts w:cs="Times New Roman"/>
          <w:i/>
          <w:iCs/>
          <w:color w:val="00000A"/>
          <w:sz w:val="24"/>
          <w:szCs w:val="24"/>
        </w:rPr>
        <w:t>et al</w:t>
      </w:r>
      <w:r>
        <w:rPr>
          <w:rStyle w:val="A0"/>
          <w:rFonts w:cs="Times New Roman"/>
          <w:color w:val="00000A"/>
          <w:sz w:val="24"/>
          <w:szCs w:val="24"/>
        </w:rPr>
        <w:t xml:space="preserve">. (2006) alega que variáveis psicológicas podem conduzir indivíduos a contraírem dívidas. Assim, entra o campo das finanças comportamentais, que procura identificar e entender a abrangência entre a irracionalidade e o poder das decisões, entendendo que para gerir suas finanças, as pessoas têm interferências ambientais, políticas, sociais e emocionais </w:t>
      </w:r>
      <w:r>
        <w:t>(GARCIA; OLAK, 2007).</w:t>
      </w:r>
    </w:p>
    <w:p w14:paraId="66BD90CF" w14:textId="77777777" w:rsidR="0092470A" w:rsidRDefault="00000000" w:rsidP="0020059C">
      <w:r>
        <w:tab/>
        <w:t>Lima Filho et al. (2020) defendem que as decisões sobre produtos financeiros não são interferidas apenas pelo conhecimento, mas também pelo comportamento perante o dinheiro, investimentos, finanças pessoais e propensão a riscos e endividamentos.</w:t>
      </w:r>
    </w:p>
    <w:p w14:paraId="116941EC" w14:textId="77777777" w:rsidR="0092470A" w:rsidRDefault="00000000" w:rsidP="0020059C">
      <w:r>
        <w:tab/>
        <w:t>Para Santos e Barros (2011) o processamento de informações por meio de atalhos e filtros emocionais possibilitam a tomada de decisão de forma acelerada. O funcionamento do cérebro é complexo e as tomadas de decisão envolvem dois tipos de raciocínio: o raciocínio intuitivo e automático, que é rápido, não controlado, associativo e inconsciente, e o raciocínio reflexivo e racional, que é lento, controlado, exige esforço, dedutivo, consciente e sujeito a regras (THALER; SUNSTEIN, 2008).</w:t>
      </w:r>
    </w:p>
    <w:p w14:paraId="0E12C3B8" w14:textId="77777777" w:rsidR="0092470A" w:rsidRDefault="00000000" w:rsidP="0020059C">
      <w:r>
        <w:lastRenderedPageBreak/>
        <w:tab/>
        <w:t xml:space="preserve">Por essa razão, para algumas pessoas, é muito comum que no fim do mês haja mais dívidas que valores a receber, visto que elas passam a desenvolver uma estrutura de custos maior que sua própria renda (VIANA FILHO, 2003). A falta de autocontrole que elas possuem gera uma maior probabilidade de realização de compras de maneira compulsiva (ACHTZIGER </w:t>
      </w:r>
      <w:r>
        <w:rPr>
          <w:i/>
          <w:iCs/>
        </w:rPr>
        <w:t>et al</w:t>
      </w:r>
      <w:r>
        <w:t>., 2015).</w:t>
      </w:r>
    </w:p>
    <w:p w14:paraId="00EB1A2D" w14:textId="77777777" w:rsidR="0092470A" w:rsidRDefault="00000000" w:rsidP="0020059C">
      <w:r>
        <w:tab/>
        <w:t xml:space="preserve">Analisando o comportamento e o autocontrole, Kahneman e </w:t>
      </w:r>
      <w:proofErr w:type="spellStart"/>
      <w:r>
        <w:t>Tversky</w:t>
      </w:r>
      <w:proofErr w:type="spellEnd"/>
      <w:r>
        <w:t xml:space="preserve"> (1979), publicaram o artigo </w:t>
      </w:r>
      <w:r>
        <w:rPr>
          <w:i/>
          <w:iCs/>
        </w:rPr>
        <w:t xml:space="preserve">Prospect </w:t>
      </w:r>
      <w:proofErr w:type="spellStart"/>
      <w:r>
        <w:rPr>
          <w:i/>
          <w:iCs/>
        </w:rPr>
        <w:t>Theory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analysis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decision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under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risk</w:t>
      </w:r>
      <w:proofErr w:type="spellEnd"/>
      <w:r>
        <w:rPr>
          <w:i/>
          <w:iCs/>
        </w:rPr>
        <w:t xml:space="preserve">, </w:t>
      </w:r>
      <w:r>
        <w:t>no qual investigaram a tríade comportamento, atitude e tomada de decisão do investidor em circunstâncias rodeadas por riscos, relacionadas a investimentos. Como resultado, os autores fundamentaram a Teoria do Prospecto, que enfatiza a aversão à perda. Ou seja, os indivíduos sofrem mais com a dor da perda do que comemoram os benefícios de um ganho correspondente (KOBBERLING; WAKKER, 2005).</w:t>
      </w:r>
    </w:p>
    <w:p w14:paraId="5657E9E4" w14:textId="77777777" w:rsidR="0092470A" w:rsidRDefault="00000000" w:rsidP="0020059C">
      <w:r>
        <w:tab/>
        <w:t>Leone e Guimarães (2013) explicam que a partir da Teoria do Prospecto, observa-se que investidores tendem a repulsar um ganho maior quando necessitam assumir a possibilidade de uma perda expressiva, o que os leva a se contentarem com opções menos favorecidas, que possuam maiores chances de ganho.</w:t>
      </w:r>
    </w:p>
    <w:p w14:paraId="05B4BCDB" w14:textId="77777777" w:rsidR="0092470A" w:rsidRDefault="00000000" w:rsidP="0020059C">
      <w:r>
        <w:tab/>
        <w:t>A partir desses fatores influenciadores do comportamento humano, Mello (2011) ressalta que uma vida financeiramente planejada não é o anseio principal da vida de muitas pessoas, seja pela desorientação sobre como iniciar uma vida organizada, ou pela dificuldade que enfrentam com investimentos. Isto porque indivíduos com orientação mais materialista e menor inquietação sobre o futuro possuem maior probabilidade a se tornarem endividados, sob influência do otimismo, tendência a pensar deliberadamente e baixo autocontrole (CAMPARA; VIEIRA; CERETTA, 2016; PERRY; MORRIS, 2005).</w:t>
      </w:r>
    </w:p>
    <w:p w14:paraId="01BDC127" w14:textId="77777777" w:rsidR="0092470A" w:rsidRDefault="00000000" w:rsidP="0020059C">
      <w:r>
        <w:tab/>
        <w:t>A facilidade de acesso ao crédito a partir de uma variedade de opções ajuda a vida das pessoas, porém incentiva o consumo inconsciente (CAMPARA; VIEIRA; CERETTA, 2016). Denegri, Martínez, Toro e López (2007, p. 97) alegam que as pessoas adquiriram mais tolerância e conformismo em relação ao endividamento devido à maior facilidade de crédito e que essa aceitação é um mecanismo habitual e faz parte do processo para o acesso a bens e serviços desejados.</w:t>
      </w:r>
    </w:p>
    <w:p w14:paraId="67A7B35B" w14:textId="77777777" w:rsidR="0092470A" w:rsidRDefault="00000000" w:rsidP="0020059C">
      <w:r>
        <w:lastRenderedPageBreak/>
        <w:tab/>
        <w:t>A atitude é a avaliação global de um objeto com certo grau de preferência ou desvantagem (CAVAZZA, 2008). A atitude financeira por sua vez, simboliza o estado de espírito, opinião e julgamento a respeito das finanças (PANKOW, 2012), enquanto a atitude ao endividamento é determinada pela predisposição aprendida para responder de modo substancial, favorável ou desfavorável a determinadas situações sobre endividamento (SILVA, 2008), a atitude em relação ao dinheiro é a predisposição para se preparar financeiramente para o futuro, com economia e administração de despesas (PANDEY, 2020).</w:t>
      </w:r>
    </w:p>
    <w:p w14:paraId="2798A120" w14:textId="77777777" w:rsidR="0092470A" w:rsidRDefault="00000000" w:rsidP="0020059C">
      <w:r>
        <w:tab/>
        <w:t xml:space="preserve">Nesse sentido, Piccini e </w:t>
      </w:r>
      <w:proofErr w:type="spellStart"/>
      <w:r>
        <w:t>Pinzetta</w:t>
      </w:r>
      <w:proofErr w:type="spellEnd"/>
      <w:r>
        <w:t xml:space="preserve"> (2014) definem que atitudes financeiras que favoreçam o desvio de juros abusivos e incentivam a manutenção de recursos financeiros, sem custos excessivos geram economia e segurança e proporcionam tranquilidade financeira, enquanto Chien e </w:t>
      </w:r>
      <w:proofErr w:type="spellStart"/>
      <w:r>
        <w:t>Devaney</w:t>
      </w:r>
      <w:proofErr w:type="spellEnd"/>
      <w:r>
        <w:t xml:space="preserve"> (2001) e Kim e </w:t>
      </w:r>
      <w:proofErr w:type="spellStart"/>
      <w:r>
        <w:t>Devaney</w:t>
      </w:r>
      <w:proofErr w:type="spellEnd"/>
      <w:r>
        <w:t xml:space="preserve"> (2001) defendem que a atitude ao endividamento leva o indivíduo a tender mais favoravelmente ao uso do crédito e consequentemente, a se endividar com mais frequência.</w:t>
      </w:r>
    </w:p>
    <w:p w14:paraId="256A04CB" w14:textId="77777777" w:rsidR="0092470A" w:rsidRDefault="00000000" w:rsidP="0020059C">
      <w:r>
        <w:tab/>
        <w:t>Em resumo, a atitude financeira é entendida como um determinante da dívida, na medida em que está relacionada a práticas saudáveis sobre gestão financeira, como pagamento de contas em dia, elaboração de orçamentos, o ato de poupar e a gestão de uso de cartões de crédito (CAMPARA; VIEIRA; CERETTA, 2016).</w:t>
      </w:r>
    </w:p>
    <w:p w14:paraId="6F46B41D" w14:textId="77777777" w:rsidR="0092470A" w:rsidRDefault="00000000" w:rsidP="0020059C">
      <w:r>
        <w:tab/>
        <w:t>Como a atitude financeira se relaciona ao julgamento sobre finanças, sobre o estado de espírito e sobre a opinião (HERDJIONO; DAMANIK, 2016), acaba se tornando um preditor do comportamento (AJZEN, 2020), devido a sua influência.</w:t>
      </w:r>
    </w:p>
    <w:p w14:paraId="0678AA9C" w14:textId="77777777" w:rsidR="0092470A" w:rsidRDefault="00000000" w:rsidP="0020059C">
      <w:r>
        <w:tab/>
        <w:t>A atitude também pode variar de acordo com cada indivíduo, levando-se em consideração as diferentes condições e objetivos financeiros (PERMANA, 2022). Pesquisas anteriores comprovaram que, sem uma boa atitude financeira, é difícil para alguém fazer uma poupança ou ter um capital de investimento futuro (PERMANA, 2022).</w:t>
      </w:r>
    </w:p>
    <w:p w14:paraId="5E35CFB4" w14:textId="77777777" w:rsidR="0092470A" w:rsidRDefault="00000000" w:rsidP="0020059C">
      <w:proofErr w:type="spellStart"/>
      <w:r>
        <w:rPr>
          <w:shd w:val="clear" w:color="auto" w:fill="FFFFFF"/>
        </w:rPr>
        <w:t>Norvilitis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Merwin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Osberg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Roehling</w:t>
      </w:r>
      <w:proofErr w:type="spellEnd"/>
      <w:r>
        <w:rPr>
          <w:shd w:val="clear" w:color="auto" w:fill="FFFFFF"/>
        </w:rPr>
        <w:t xml:space="preserve">, Young e </w:t>
      </w:r>
      <w:proofErr w:type="spellStart"/>
      <w:r>
        <w:rPr>
          <w:shd w:val="clear" w:color="auto" w:fill="FFFFFF"/>
        </w:rPr>
        <w:t>Kamas</w:t>
      </w:r>
      <w:proofErr w:type="spellEnd"/>
      <w:r>
        <w:rPr>
          <w:shd w:val="clear" w:color="auto" w:fill="FFFFFF"/>
        </w:rPr>
        <w:t xml:space="preserve"> (2006) e </w:t>
      </w:r>
      <w:proofErr w:type="spellStart"/>
      <w:r>
        <w:rPr>
          <w:shd w:val="clear" w:color="auto" w:fill="FFFFFF"/>
        </w:rPr>
        <w:t>Keese</w:t>
      </w:r>
      <w:proofErr w:type="spellEnd"/>
      <w:r>
        <w:rPr>
          <w:shd w:val="clear" w:color="auto" w:fill="FFFFFF"/>
        </w:rPr>
        <w:t xml:space="preserve"> e Schmitz, (2010) defendem que o endividamento gera problemas financeiros, que derivam emoções negativas, como estresse, angústia e ansiedade (HARRISON </w:t>
      </w:r>
      <w:r>
        <w:rPr>
          <w:i/>
          <w:iCs/>
          <w:shd w:val="clear" w:color="auto" w:fill="FFFFFF"/>
        </w:rPr>
        <w:t>et al.</w:t>
      </w:r>
      <w:r>
        <w:rPr>
          <w:shd w:val="clear" w:color="auto" w:fill="FFFFFF"/>
        </w:rPr>
        <w:t xml:space="preserve">, 2015), observações que levaram Campara, Vieira e </w:t>
      </w:r>
      <w:proofErr w:type="spellStart"/>
      <w:r>
        <w:rPr>
          <w:shd w:val="clear" w:color="auto" w:fill="FFFFFF"/>
        </w:rPr>
        <w:t>Ceretta</w:t>
      </w:r>
      <w:proofErr w:type="spellEnd"/>
      <w:r>
        <w:rPr>
          <w:shd w:val="clear" w:color="auto" w:fill="FFFFFF"/>
        </w:rPr>
        <w:t xml:space="preserve"> (2016) a entender que a atitude ao </w:t>
      </w:r>
      <w:r>
        <w:rPr>
          <w:shd w:val="clear" w:color="auto" w:fill="FFFFFF"/>
        </w:rPr>
        <w:lastRenderedPageBreak/>
        <w:t>endividamento é influenciada por fatores comportamentais, explicados pela atitude financeira, como exemplo, a compulsão por compras.</w:t>
      </w:r>
    </w:p>
    <w:p w14:paraId="516E0C99" w14:textId="77777777" w:rsidR="0092470A" w:rsidRDefault="0092470A" w:rsidP="0020059C">
      <w:pPr>
        <w:rPr>
          <w:highlight w:val="white"/>
        </w:rPr>
      </w:pPr>
    </w:p>
    <w:p w14:paraId="05E62C1E" w14:textId="77777777" w:rsidR="0092470A" w:rsidRDefault="00000000" w:rsidP="001C2FB4">
      <w:pPr>
        <w:pStyle w:val="Ttulo2"/>
      </w:pPr>
      <w:r>
        <w:t xml:space="preserve">4 PROCEDIMENTOS METODOLÓGICOS </w:t>
      </w:r>
    </w:p>
    <w:p w14:paraId="612913FC" w14:textId="77777777" w:rsidR="0092470A" w:rsidRPr="0020059C" w:rsidRDefault="00000000" w:rsidP="0020059C">
      <w:pPr>
        <w:pStyle w:val="Ttulo3"/>
      </w:pPr>
      <w:bookmarkStart w:id="2" w:name="_Toc130754943"/>
      <w:bookmarkEnd w:id="2"/>
      <w:r w:rsidRPr="0020059C">
        <w:t>4.1 População e amostra</w:t>
      </w:r>
    </w:p>
    <w:p w14:paraId="4DD944AC" w14:textId="77777777" w:rsidR="0092470A" w:rsidRDefault="00000000" w:rsidP="0020059C">
      <w:r>
        <w:rPr>
          <w:shd w:val="clear" w:color="auto" w:fill="FFFFFF"/>
        </w:rPr>
        <w:tab/>
        <w:t>Com sede em Parnamirim, no estado do Rio Grande do Norte, a Base Aérea de Natal (BANT) tem por finalidade prover o apoio necessário às unidades aéreas e unidades de Aeronáutica que nela operam, permanente ou temporariamente, ou que nela estejam sediadas (</w:t>
      </w:r>
      <w:r>
        <w:t>Segundo Comando Aéreo Regional, 2022</w:t>
      </w:r>
      <w:r>
        <w:rPr>
          <w:shd w:val="clear" w:color="auto" w:fill="FFFFFF"/>
        </w:rPr>
        <w:t xml:space="preserve">). </w:t>
      </w:r>
    </w:p>
    <w:p w14:paraId="232C6137" w14:textId="77777777" w:rsidR="0092470A" w:rsidRDefault="00000000" w:rsidP="0020059C">
      <w:r>
        <w:rPr>
          <w:shd w:val="clear" w:color="auto" w:fill="FFFFFF"/>
        </w:rPr>
        <w:tab/>
        <w:t>Os servidores públicos militares da BANT serão objeto de estudo desta pesquisa e a</w:t>
      </w:r>
      <w:r>
        <w:t xml:space="preserve"> eleição dos participantes foi realizada por conveniência. </w:t>
      </w:r>
    </w:p>
    <w:p w14:paraId="789A2F94" w14:textId="77777777" w:rsidR="0092470A" w:rsidRDefault="00000000" w:rsidP="0020059C">
      <w:r>
        <w:tab/>
        <w:t>O interesse em suceder este estudo deveu-se à relevância operacional que a BANT possui para a Força Aérea, visto que abriga cinco esquadrões aéreos, dentre eles três voltados para a formação e desenvolvimento operacional dos pilotos.</w:t>
      </w:r>
    </w:p>
    <w:p w14:paraId="439A9C2C" w14:textId="77777777" w:rsidR="0092470A" w:rsidRDefault="00000000" w:rsidP="0020059C">
      <w:pPr>
        <w:pStyle w:val="Ttulo3"/>
      </w:pPr>
      <w:bookmarkStart w:id="3" w:name="_Toc130754944"/>
      <w:bookmarkEnd w:id="3"/>
      <w:r>
        <w:t>4.2 Técnicas de Coleta de Dados</w:t>
      </w:r>
    </w:p>
    <w:p w14:paraId="71B857A4" w14:textId="1BB8AB9B" w:rsidR="0092470A" w:rsidRDefault="0020059C" w:rsidP="0020059C">
      <w:r>
        <w:tab/>
      </w:r>
      <w:r w:rsidR="00000000">
        <w:t>A quantidade de entrevistados foi estabelecida por meio de amostragem. Para o cálculo, utilizou-se o método de Martins (2011):</w:t>
      </w:r>
    </w:p>
    <w:p w14:paraId="5441BB82" w14:textId="77777777" w:rsidR="0092470A" w:rsidRDefault="00000000" w:rsidP="0020059C">
      <w:r>
        <w:rPr>
          <w:noProof/>
        </w:rPr>
        <w:drawing>
          <wp:inline distT="0" distB="0" distL="0" distR="0" wp14:anchorId="734933CC" wp14:editId="5A5504C8">
            <wp:extent cx="1451610" cy="530860"/>
            <wp:effectExtent l="0" t="0" r="0" b="0"/>
            <wp:docPr id="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6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>[1]</w:t>
      </w:r>
    </w:p>
    <w:p w14:paraId="74F4BEE8" w14:textId="77777777" w:rsidR="0092470A" w:rsidRDefault="00000000" w:rsidP="0020059C">
      <w:r>
        <w:t>No qual:</w:t>
      </w:r>
    </w:p>
    <w:p w14:paraId="6C4CC456" w14:textId="77777777" w:rsidR="0092470A" w:rsidRDefault="00000000" w:rsidP="0020059C">
      <w:r>
        <w:t>n</w:t>
      </w:r>
      <w:r>
        <w:rPr>
          <w:spacing w:val="59"/>
        </w:rPr>
        <w:t xml:space="preserve"> </w:t>
      </w:r>
      <w:r>
        <w:t>=</w:t>
      </w:r>
      <w:r>
        <w:rPr>
          <w:spacing w:val="58"/>
        </w:rPr>
        <w:t xml:space="preserve"> </w:t>
      </w:r>
      <w:r>
        <w:t>tamanho da</w:t>
      </w:r>
      <w:r>
        <w:rPr>
          <w:spacing w:val="1"/>
        </w:rPr>
        <w:t xml:space="preserve"> </w:t>
      </w:r>
      <w:r>
        <w:t>amostra;</w:t>
      </w:r>
    </w:p>
    <w:p w14:paraId="58151366" w14:textId="77777777" w:rsidR="0092470A" w:rsidRDefault="00000000" w:rsidP="0020059C">
      <w:proofErr w:type="spellStart"/>
      <w:r>
        <w:t>z</w:t>
      </w:r>
      <w:r>
        <w:rPr>
          <w:vertAlign w:val="subscript"/>
        </w:rPr>
        <w:t>g</w:t>
      </w:r>
      <w:proofErr w:type="spellEnd"/>
      <w:r>
        <w:rPr>
          <w:spacing w:val="20"/>
        </w:rPr>
        <w:t xml:space="preserve"> </w:t>
      </w:r>
      <w:r>
        <w:t>=</w:t>
      </w:r>
      <w:r>
        <w:rPr>
          <w:spacing w:val="58"/>
        </w:rPr>
        <w:t xml:space="preserve"> </w:t>
      </w:r>
      <w:r>
        <w:t>abscissa</w:t>
      </w:r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distribuição normal padrão,</w:t>
      </w:r>
      <w:r>
        <w:rPr>
          <w:spacing w:val="1"/>
        </w:rPr>
        <w:t xml:space="preserve"> </w:t>
      </w:r>
      <w:r>
        <w:t>fixado um</w:t>
      </w:r>
      <w:r>
        <w:rPr>
          <w:spacing w:val="-1"/>
        </w:rPr>
        <w:t xml:space="preserve"> </w:t>
      </w:r>
      <w:r>
        <w:t>nível</w:t>
      </w:r>
      <w:r>
        <w:rPr>
          <w:spacing w:val="-1"/>
        </w:rPr>
        <w:t xml:space="preserve"> </w:t>
      </w:r>
      <w:r>
        <w:t>de confiança g;</w:t>
      </w:r>
    </w:p>
    <w:p w14:paraId="3B960925" w14:textId="77777777" w:rsidR="0092470A" w:rsidRDefault="00000000" w:rsidP="0020059C">
      <w:r>
        <w:rPr>
          <w:spacing w:val="-115"/>
        </w:rPr>
        <w:t>p</w:t>
      </w:r>
      <w:r>
        <w:rPr>
          <w:w w:val="73"/>
        </w:rPr>
        <w:t>^</w:t>
      </w:r>
      <w:r>
        <w:t xml:space="preserve">  </w:t>
      </w:r>
      <w:r>
        <w:rPr>
          <w:spacing w:val="-21"/>
        </w:rPr>
        <w:t xml:space="preserve"> </w:t>
      </w:r>
      <w:proofErr w:type="gramStart"/>
      <w:r>
        <w:t xml:space="preserve">= </w:t>
      </w:r>
      <w:r>
        <w:rPr>
          <w:spacing w:val="-1"/>
        </w:rPr>
        <w:t xml:space="preserve"> e</w:t>
      </w:r>
      <w:r>
        <w:rPr>
          <w:w w:val="99"/>
        </w:rPr>
        <w:t>sti</w:t>
      </w:r>
      <w:r>
        <w:t>mativa</w:t>
      </w:r>
      <w:proofErr w:type="gramEnd"/>
      <w:r>
        <w:t xml:space="preserve"> da</w:t>
      </w:r>
      <w:r>
        <w:rPr>
          <w:spacing w:val="-2"/>
        </w:rPr>
        <w:t xml:space="preserve"> </w:t>
      </w:r>
      <w:r>
        <w:t>pro</w:t>
      </w:r>
      <w:r>
        <w:rPr>
          <w:spacing w:val="-1"/>
        </w:rPr>
        <w:t>p</w:t>
      </w:r>
      <w:r>
        <w:t>o</w:t>
      </w:r>
      <w:r>
        <w:rPr>
          <w:spacing w:val="1"/>
        </w:rPr>
        <w:t>rç</w:t>
      </w:r>
      <w:r>
        <w:rPr>
          <w:spacing w:val="-1"/>
        </w:rPr>
        <w:t>ã</w:t>
      </w:r>
      <w:r>
        <w:t>o p;</w:t>
      </w:r>
    </w:p>
    <w:p w14:paraId="05E9A929" w14:textId="77777777" w:rsidR="0092470A" w:rsidRDefault="00000000" w:rsidP="0020059C">
      <w:r>
        <w:rPr>
          <w:spacing w:val="-115"/>
        </w:rPr>
        <w:t>q</w:t>
      </w:r>
      <w:proofErr w:type="gramStart"/>
      <w:r>
        <w:rPr>
          <w:w w:val="73"/>
        </w:rPr>
        <w:t>^</w:t>
      </w:r>
      <w:r>
        <w:t xml:space="preserve"> </w:t>
      </w:r>
      <w:r>
        <w:rPr>
          <w:spacing w:val="18"/>
        </w:rPr>
        <w:t xml:space="preserve"> </w:t>
      </w:r>
      <w:r>
        <w:t>=</w:t>
      </w:r>
      <w:proofErr w:type="gramEnd"/>
      <w:r>
        <w:t xml:space="preserve"> </w:t>
      </w:r>
      <w:r>
        <w:rPr>
          <w:spacing w:val="-1"/>
        </w:rPr>
        <w:t xml:space="preserve"> </w:t>
      </w:r>
      <w:r>
        <w:t>1 -</w:t>
      </w:r>
      <w:r>
        <w:rPr>
          <w:spacing w:val="1"/>
        </w:rPr>
        <w:t xml:space="preserve"> </w:t>
      </w:r>
      <w:r>
        <w:rPr>
          <w:spacing w:val="-115"/>
        </w:rPr>
        <w:t>p</w:t>
      </w:r>
      <w:r>
        <w:rPr>
          <w:spacing w:val="17"/>
          <w:w w:val="73"/>
        </w:rPr>
        <w:t>^</w:t>
      </w:r>
      <w:r>
        <w:t>;</w:t>
      </w:r>
    </w:p>
    <w:p w14:paraId="700B3FC4" w14:textId="77777777" w:rsidR="0092470A" w:rsidRDefault="00000000" w:rsidP="0020059C">
      <w:r>
        <w:t>N =</w:t>
      </w:r>
      <w:r>
        <w:rPr>
          <w:spacing w:val="-3"/>
        </w:rPr>
        <w:t xml:space="preserve"> </w:t>
      </w:r>
      <w:r>
        <w:t>tamanho da</w:t>
      </w:r>
      <w:r>
        <w:rPr>
          <w:spacing w:val="-1"/>
        </w:rPr>
        <w:t xml:space="preserve"> </w:t>
      </w:r>
      <w:r>
        <w:t>população e</w:t>
      </w:r>
    </w:p>
    <w:p w14:paraId="7A9A330B" w14:textId="77777777" w:rsidR="0092470A" w:rsidRDefault="00000000" w:rsidP="0020059C">
      <w:proofErr w:type="gramStart"/>
      <w:r>
        <w:t>e  =</w:t>
      </w:r>
      <w:proofErr w:type="gramEnd"/>
      <w:r>
        <w:t xml:space="preserve"> </w:t>
      </w:r>
      <w:r>
        <w:rPr>
          <w:spacing w:val="-1"/>
        </w:rPr>
        <w:t xml:space="preserve"> e</w:t>
      </w:r>
      <w:r>
        <w:t>r</w:t>
      </w:r>
      <w:r>
        <w:rPr>
          <w:spacing w:val="-2"/>
        </w:rPr>
        <w:t>r</w:t>
      </w:r>
      <w:r>
        <w:t>o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mostr</w:t>
      </w:r>
      <w:r>
        <w:rPr>
          <w:spacing w:val="-2"/>
        </w:rPr>
        <w:t>a</w:t>
      </w:r>
      <w:r>
        <w:t>l (m</w:t>
      </w:r>
      <w:r>
        <w:rPr>
          <w:spacing w:val="-1"/>
        </w:rPr>
        <w:t>á</w:t>
      </w:r>
      <w:r>
        <w:rPr>
          <w:spacing w:val="2"/>
        </w:rPr>
        <w:t>x</w:t>
      </w:r>
      <w:r>
        <w:t>ima</w:t>
      </w:r>
      <w:r>
        <w:rPr>
          <w:spacing w:val="-1"/>
        </w:rPr>
        <w:t xml:space="preserve"> </w:t>
      </w:r>
      <w:r>
        <w:t>dif</w:t>
      </w:r>
      <w:r>
        <w:rPr>
          <w:spacing w:val="-2"/>
        </w:rPr>
        <w:t>e</w:t>
      </w:r>
      <w:r>
        <w:t>r</w:t>
      </w:r>
      <w:r>
        <w:rPr>
          <w:spacing w:val="-2"/>
        </w:rPr>
        <w:t>e</w:t>
      </w:r>
      <w:r>
        <w:rPr>
          <w:spacing w:val="2"/>
        </w:rPr>
        <w:t>n</w:t>
      </w:r>
      <w:r>
        <w:rPr>
          <w:spacing w:val="-1"/>
        </w:rPr>
        <w:t>ç</w:t>
      </w:r>
      <w:r>
        <w:t>a</w:t>
      </w:r>
      <w:r>
        <w:rPr>
          <w:spacing w:val="-1"/>
        </w:rPr>
        <w:t xml:space="preserve"> </w:t>
      </w:r>
      <w:r>
        <w:t>p</w:t>
      </w:r>
      <w:r>
        <w:rPr>
          <w:spacing w:val="1"/>
        </w:rPr>
        <w:t>e</w:t>
      </w:r>
      <w:r>
        <w:t>rmitida</w:t>
      </w:r>
      <w:r>
        <w:rPr>
          <w:spacing w:val="-1"/>
        </w:rPr>
        <w:t xml:space="preserve"> e</w:t>
      </w:r>
      <w:r>
        <w:t>nt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</w:t>
      </w:r>
      <w:r>
        <w:t>p e</w:t>
      </w:r>
      <w:r>
        <w:rPr>
          <w:spacing w:val="5"/>
        </w:rPr>
        <w:t xml:space="preserve"> </w:t>
      </w:r>
      <w:r>
        <w:rPr>
          <w:spacing w:val="-115"/>
        </w:rPr>
        <w:t>p</w:t>
      </w:r>
      <w:r>
        <w:rPr>
          <w:spacing w:val="17"/>
          <w:w w:val="73"/>
        </w:rPr>
        <w:t>^</w:t>
      </w:r>
      <w:r>
        <w:rPr>
          <w:spacing w:val="-1"/>
          <w:w w:val="99"/>
        </w:rPr>
        <w:t>).</w:t>
      </w:r>
    </w:p>
    <w:p w14:paraId="08A51C1E" w14:textId="77777777" w:rsidR="0092470A" w:rsidRDefault="0092470A" w:rsidP="0020059C">
      <w:pPr>
        <w:rPr>
          <w:spacing w:val="-1"/>
          <w:w w:val="99"/>
        </w:rPr>
      </w:pPr>
    </w:p>
    <w:p w14:paraId="41346CC3" w14:textId="77777777" w:rsidR="0092470A" w:rsidRDefault="00000000" w:rsidP="0020059C">
      <w:r>
        <w:tab/>
        <w:t xml:space="preserve">Utilizando-se nível de confiança de 90% e margem de erro de 5%, na população de 1228 militares da BANT (PORTAL DO MILITAR, 2023), concluiu-se que o número </w:t>
      </w:r>
      <w:r>
        <w:lastRenderedPageBreak/>
        <w:t>mínimo da amostra necessária seria de 222 respondentes voluntários. Ao total, a pesquisa obteve 226 respostas, todas validadas. Anteriormente à aplicação definitiva, foi utilizada uma população teste de 21 pessoas, para verificação de possíveis inexatidões nas perguntas.</w:t>
      </w:r>
    </w:p>
    <w:p w14:paraId="133D41B8" w14:textId="77777777" w:rsidR="0092470A" w:rsidRDefault="00000000" w:rsidP="0020059C">
      <w:r>
        <w:tab/>
        <w:t xml:space="preserve">Quanto à coleta de arquivos, sobre os materiais instrucionais relacionados a finanças, utilizou-se a base de dados </w:t>
      </w:r>
      <w:r>
        <w:rPr>
          <w:i/>
          <w:iCs/>
        </w:rPr>
        <w:t>Scopus</w:t>
      </w:r>
      <w:r>
        <w:t>, com artigos preferencialmente revisados por pares. Optou-se também pela escolha de trabalhos mais recentes e/ou com apresentação de teorias mais robustas.</w:t>
      </w:r>
    </w:p>
    <w:p w14:paraId="484A3A68" w14:textId="77777777" w:rsidR="0092470A" w:rsidRDefault="00000000" w:rsidP="0020059C">
      <w:pPr>
        <w:pStyle w:val="Ttulo3"/>
      </w:pPr>
      <w:bookmarkStart w:id="4" w:name="_Toc130754945"/>
      <w:bookmarkEnd w:id="4"/>
      <w:r>
        <w:t>4.3 Modelo geral das relações e hipóteses</w:t>
      </w:r>
    </w:p>
    <w:p w14:paraId="021801EC" w14:textId="77777777" w:rsidR="0092470A" w:rsidRDefault="00000000" w:rsidP="0020059C">
      <w:r>
        <w:tab/>
        <w:t>Diante do exposto, esta pesquisa utilizou o conhecimento financeiro, o comportamento financeiro e a atitude financeira para dimensionar a alfabetização financeira do público estudado. A partir da mensuração, foram relacionados empiricamente, por meio de testes estatísticos, os constructos gênero, idade, estado civil, quantidade de filhos, grau de escolaridade e renda para verificar as seguintes hipóteses:</w:t>
      </w:r>
    </w:p>
    <w:p w14:paraId="381D3C85" w14:textId="77777777" w:rsidR="0092470A" w:rsidRDefault="00000000" w:rsidP="0020059C">
      <w:r>
        <w:rPr>
          <w:i/>
          <w:iCs/>
        </w:rPr>
        <w:t>Hipótese 1 (H1): O gênero influencia significativamente a alfabetização financeira.</w:t>
      </w:r>
    </w:p>
    <w:p w14:paraId="54A78F0F" w14:textId="77777777" w:rsidR="0092470A" w:rsidRDefault="00000000" w:rsidP="0020059C">
      <w:r>
        <w:rPr>
          <w:i/>
          <w:iCs/>
        </w:rPr>
        <w:t>Hipótese 2 (H2): A idade influencia significativamente a alfabetização financeira.</w:t>
      </w:r>
    </w:p>
    <w:p w14:paraId="3B281CFF" w14:textId="77777777" w:rsidR="0092470A" w:rsidRDefault="00000000" w:rsidP="0020059C">
      <w:r>
        <w:rPr>
          <w:i/>
          <w:iCs/>
        </w:rPr>
        <w:t>Hipótese 3 (H3): O estado civil influencia significativamente a alfabetização financeira.</w:t>
      </w:r>
    </w:p>
    <w:p w14:paraId="0CED47B8" w14:textId="77777777" w:rsidR="0092470A" w:rsidRDefault="00000000" w:rsidP="0020059C">
      <w:r>
        <w:rPr>
          <w:i/>
          <w:iCs/>
        </w:rPr>
        <w:t>Hipótese 4 (H4): A quantidade de filhos influencia significativamente a alfabetização financeira.</w:t>
      </w:r>
    </w:p>
    <w:p w14:paraId="05E51299" w14:textId="77777777" w:rsidR="0092470A" w:rsidRDefault="00000000" w:rsidP="0020059C">
      <w:r>
        <w:rPr>
          <w:i/>
          <w:iCs/>
        </w:rPr>
        <w:t>Hipótese 5 (H5): O grau de escolaridade influencia significativamente a alfabetização financeira.</w:t>
      </w:r>
    </w:p>
    <w:p w14:paraId="40072643" w14:textId="77777777" w:rsidR="0092470A" w:rsidRDefault="00000000" w:rsidP="0020059C">
      <w:r>
        <w:rPr>
          <w:i/>
          <w:iCs/>
        </w:rPr>
        <w:t>Hipótese 6 (H6): A renda influencia significativamente a alfabetização financeira.</w:t>
      </w:r>
    </w:p>
    <w:p w14:paraId="3FD5F5A6" w14:textId="77777777" w:rsidR="0092470A" w:rsidRDefault="00000000" w:rsidP="0020059C">
      <w:pPr>
        <w:pStyle w:val="Ttulo3"/>
      </w:pPr>
      <w:r>
        <w:t xml:space="preserve">4.4 </w:t>
      </w:r>
      <w:bookmarkStart w:id="5" w:name="_Toc130754946"/>
      <w:r>
        <w:t>Técnicas de análise dos dados</w:t>
      </w:r>
      <w:bookmarkEnd w:id="5"/>
      <w:r>
        <w:t xml:space="preserve"> </w:t>
      </w:r>
    </w:p>
    <w:p w14:paraId="71AE8732" w14:textId="77777777" w:rsidR="0092470A" w:rsidRDefault="00000000" w:rsidP="0020059C">
      <w:r>
        <w:tab/>
        <w:t>Para o desenvolvimento da prática da pesquisa, foram elaboradas as hipóteses, testadas a partir de relações já abordadas pela literatura.</w:t>
      </w:r>
    </w:p>
    <w:p w14:paraId="4F8585C5" w14:textId="77777777" w:rsidR="0092470A" w:rsidRDefault="00000000" w:rsidP="0020059C">
      <w:r>
        <w:tab/>
        <w:t xml:space="preserve">O instrumento de pesquisa utilizou 42 perguntas, aplicadas durante os meses de fevereiro e março de 2023, divididas em 2 blocos: o primeiro, com 10 questões, está relacionado ao perfil sociodemográfico dos entrevistados e o segundo, que está </w:t>
      </w:r>
      <w:r>
        <w:lastRenderedPageBreak/>
        <w:t xml:space="preserve">subdividido em três fatores, apresenta 32 questões. Os fatores são comportamento financeiro (20 questões), conhecimento financeiro (3 questões) e atitude financeira (9 questões). Todas as questões foram apoiadas em </w:t>
      </w:r>
      <w:proofErr w:type="spellStart"/>
      <w:r>
        <w:t>Potrich</w:t>
      </w:r>
      <w:proofErr w:type="spellEnd"/>
      <w:r>
        <w:t xml:space="preserve">, Vieira e </w:t>
      </w:r>
      <w:proofErr w:type="spellStart"/>
      <w:r>
        <w:t>Ceretta</w:t>
      </w:r>
      <w:proofErr w:type="spellEnd"/>
      <w:r>
        <w:t xml:space="preserve"> (2013). As adaptações realizadas no fator “conhecimento financeiro” basearam-se em </w:t>
      </w:r>
      <w:proofErr w:type="spellStart"/>
      <w:r>
        <w:t>Lusardi</w:t>
      </w:r>
      <w:proofErr w:type="spellEnd"/>
      <w:r>
        <w:t xml:space="preserve"> e Mitchell (2011b), com a finalidade de atingir quatro princípios: simplicidade, relevância, brevidade e capacidade de diferenciação do entrevistado, visto que </w:t>
      </w:r>
      <w:proofErr w:type="spellStart"/>
      <w:r>
        <w:t>Potrich</w:t>
      </w:r>
      <w:proofErr w:type="spellEnd"/>
      <w:r>
        <w:t xml:space="preserve">, Vieira e </w:t>
      </w:r>
      <w:proofErr w:type="spellStart"/>
      <w:r>
        <w:t>Ceretta</w:t>
      </w:r>
      <w:proofErr w:type="spellEnd"/>
      <w:r>
        <w:t xml:space="preserve"> (2013) optaram por desmembrar este fator em 8 perguntas. </w:t>
      </w:r>
    </w:p>
    <w:p w14:paraId="5069B31A" w14:textId="77777777" w:rsidR="0092470A" w:rsidRDefault="00000000" w:rsidP="0020059C">
      <w:r>
        <w:tab/>
        <w:t xml:space="preserve">Para determinar o fator comportamento financeiro, as perguntas foram dispostas em uma escala tipo </w:t>
      </w:r>
      <w:proofErr w:type="spellStart"/>
      <w:r>
        <w:rPr>
          <w:i/>
          <w:iCs/>
        </w:rPr>
        <w:t>likert</w:t>
      </w:r>
      <w:proofErr w:type="spellEnd"/>
      <w:r>
        <w:t xml:space="preserve"> de 5 pontos (1 = discordo totalmente e 5 = concordo totalmente). Estas avaliaram o comportamento dos entrevistados em relação à gestão financeira, uso do crédito, planejamento do consumo, investimento e poupança, valendo até 5 pontos cada questão, totalizando 100 pontos. Dessa forma, o fator comportamento financeiro foi aferido pela média das 20 respostas atribuídas a cada questão (MATTA, 2007), resultando em um fator de 5 pontos.</w:t>
      </w:r>
    </w:p>
    <w:p w14:paraId="0208D2CD" w14:textId="77777777" w:rsidR="0092470A" w:rsidRDefault="00000000" w:rsidP="0020059C">
      <w:r>
        <w:rPr>
          <w:rFonts w:eastAsia="Times New Roman"/>
        </w:rPr>
        <w:tab/>
        <w:t>A mensuração do fator conhecimento financeiro foi realizada com questões que visaram mensurar o entendimento sobre inflação, taxa de juros composta e valor do dinheiro no tempo, dispostas na forma de múltipla escolha, com apenas uma alternativa correta. A cada questão foi atribuído o peso 1,0 e a análise sobre o conhecimento financeiro foi: baixo nível de conhecimento financeiro (pontuação até 1,0), nível médio (2,0) e alto nível de conhecimento (3,0)</w:t>
      </w:r>
      <w:r>
        <w:t xml:space="preserve"> (LUSARDI; MITCHELL, 2011b), resultando em um fator de 3 pontos no total</w:t>
      </w:r>
      <w:r>
        <w:rPr>
          <w:rFonts w:eastAsia="Times New Roman"/>
        </w:rPr>
        <w:t>.</w:t>
      </w:r>
    </w:p>
    <w:p w14:paraId="278BBA99" w14:textId="77777777" w:rsidR="0092470A" w:rsidRDefault="00000000" w:rsidP="0020059C">
      <w:r>
        <w:rPr>
          <w:rFonts w:eastAsia="Times New Roman"/>
        </w:rPr>
        <w:tab/>
        <w:t xml:space="preserve">Por fim, o fator atitude financeira, com questões que mediram a autoavaliação da gestão financeira, foi avaliado por </w:t>
      </w:r>
      <w:r>
        <w:t xml:space="preserve">uma escala tipo </w:t>
      </w:r>
      <w:proofErr w:type="spellStart"/>
      <w:r>
        <w:rPr>
          <w:i/>
          <w:iCs/>
        </w:rPr>
        <w:t>likert</w:t>
      </w:r>
      <w:proofErr w:type="spellEnd"/>
      <w:r>
        <w:t xml:space="preserve"> de 5 pontos (1 = discordo totalmente e 5 = concordo totalmente), assim como o comportamento financeiro. A atitude financeira também foi calculada pela média das questões (SHOCKEY, 2002), resultando em um fator de 5 pontos.</w:t>
      </w:r>
    </w:p>
    <w:p w14:paraId="368234EF" w14:textId="77777777" w:rsidR="0092470A" w:rsidRDefault="00000000" w:rsidP="0020059C">
      <w:r>
        <w:rPr>
          <w:rFonts w:eastAsia="Times New Roman"/>
        </w:rPr>
        <w:tab/>
        <w:t xml:space="preserve">As questões cujas respostas foram medidas na escala tipo </w:t>
      </w:r>
      <w:proofErr w:type="spellStart"/>
      <w:r>
        <w:rPr>
          <w:rFonts w:eastAsia="Times New Roman"/>
          <w:i/>
          <w:iCs/>
        </w:rPr>
        <w:t>likert</w:t>
      </w:r>
      <w:proofErr w:type="spellEnd"/>
      <w:r>
        <w:rPr>
          <w:rFonts w:eastAsia="Times New Roman"/>
        </w:rPr>
        <w:t xml:space="preserve"> apresentaram pontuação 1 para “Discordo totalmente”, 2 para “Discordo”, 3 para “Não concordo nem discordo”, 4 para “Concordo” e 5 para “Concordo totalmente”, exceto as questões 5, 9, 11, 19 e 20, que foram invertidas e apresentaram pontuação de 5 para “Discordo </w:t>
      </w:r>
      <w:r>
        <w:rPr>
          <w:rFonts w:eastAsia="Times New Roman"/>
        </w:rPr>
        <w:lastRenderedPageBreak/>
        <w:t>totalmente”, 4 para “Discordo”, 3 para “Não concordo nem discordo”, 2 para “Concordo” e 1 para “Concordo totalmente”.</w:t>
      </w:r>
    </w:p>
    <w:p w14:paraId="3C358BE4" w14:textId="77777777" w:rsidR="0092470A" w:rsidRDefault="00000000" w:rsidP="0020059C">
      <w:r>
        <w:tab/>
        <w:t>Tomando-se por base que a alfabetização financeira é junção desses três fatores (comportamento financeiro, conhecimento financeiro e atitude financeira) (OCDE, 2005), todos de mesma relevância, a variável alfabetização financeira foi determinada por meio da soma padronizada dos três aspectos (POTRICH; VIEIRA; CERETTA, 2013).</w:t>
      </w:r>
    </w:p>
    <w:p w14:paraId="78DDC465" w14:textId="77777777" w:rsidR="0092470A" w:rsidRDefault="00000000" w:rsidP="0020059C">
      <w:proofErr w:type="spellStart"/>
      <w:r>
        <w:rPr>
          <w:rFonts w:eastAsia="CambriaMath"/>
          <w:i/>
          <w:iCs/>
        </w:rPr>
        <w:t>ALFin</w:t>
      </w:r>
      <w:proofErr w:type="spellEnd"/>
      <w:r>
        <w:rPr>
          <w:rFonts w:eastAsia="CambriaMath"/>
          <w:i/>
          <w:iCs/>
        </w:rPr>
        <w:t xml:space="preserve"> = </w:t>
      </w:r>
      <w:proofErr w:type="spellStart"/>
      <w:r>
        <w:rPr>
          <w:rFonts w:eastAsia="CambriaMath"/>
          <w:i/>
          <w:iCs/>
        </w:rPr>
        <w:t>ComportamentoFin</w:t>
      </w:r>
      <w:proofErr w:type="spellEnd"/>
      <w:r>
        <w:rPr>
          <w:rFonts w:eastAsia="CambriaMath"/>
          <w:i/>
          <w:iCs/>
        </w:rPr>
        <w:t xml:space="preserve">/5 + </w:t>
      </w:r>
      <w:proofErr w:type="spellStart"/>
      <w:r>
        <w:rPr>
          <w:rFonts w:eastAsia="CambriaMath"/>
          <w:i/>
          <w:iCs/>
        </w:rPr>
        <w:t>ConhecimentoFin</w:t>
      </w:r>
      <w:proofErr w:type="spellEnd"/>
      <w:r>
        <w:rPr>
          <w:rFonts w:eastAsia="CambriaMath"/>
          <w:i/>
          <w:iCs/>
        </w:rPr>
        <w:t xml:space="preserve">/3 + </w:t>
      </w:r>
      <w:proofErr w:type="spellStart"/>
      <w:r>
        <w:rPr>
          <w:rFonts w:eastAsia="CambriaMath"/>
          <w:i/>
          <w:iCs/>
        </w:rPr>
        <w:t>AtitudeFin</w:t>
      </w:r>
      <w:proofErr w:type="spellEnd"/>
      <w:r>
        <w:rPr>
          <w:rFonts w:eastAsia="CambriaMath"/>
          <w:i/>
          <w:iCs/>
        </w:rPr>
        <w:t>/5</w:t>
      </w:r>
      <w:r>
        <w:rPr>
          <w:rFonts w:eastAsia="CambriaMath"/>
        </w:rPr>
        <w:t xml:space="preserve">     </w:t>
      </w:r>
      <w:proofErr w:type="gramStart"/>
      <w:r>
        <w:rPr>
          <w:rFonts w:eastAsia="CambriaMath"/>
        </w:rPr>
        <w:t xml:space="preserve">   </w:t>
      </w:r>
      <w:r>
        <w:rPr>
          <w:shd w:val="clear" w:color="auto" w:fill="FFFFFF"/>
        </w:rPr>
        <w:t>[</w:t>
      </w:r>
      <w:proofErr w:type="gramEnd"/>
      <w:r>
        <w:rPr>
          <w:shd w:val="clear" w:color="auto" w:fill="FFFFFF"/>
        </w:rPr>
        <w:t>2]  </w:t>
      </w:r>
    </w:p>
    <w:p w14:paraId="6EC43D6A" w14:textId="77777777" w:rsidR="0092470A" w:rsidRDefault="0092470A" w:rsidP="0020059C">
      <w:pPr>
        <w:rPr>
          <w:shd w:val="clear" w:color="auto" w:fill="FFFFFF"/>
        </w:rPr>
      </w:pPr>
    </w:p>
    <w:p w14:paraId="79750CE8" w14:textId="77777777" w:rsidR="0092470A" w:rsidRDefault="00000000" w:rsidP="0020059C">
      <w:r>
        <w:rPr>
          <w:shd w:val="clear" w:color="auto" w:fill="FFFFFF"/>
        </w:rPr>
        <w:t xml:space="preserve">Onde: </w:t>
      </w:r>
    </w:p>
    <w:p w14:paraId="1A7D14CC" w14:textId="77777777" w:rsidR="0092470A" w:rsidRDefault="00000000" w:rsidP="0020059C">
      <w:proofErr w:type="spellStart"/>
      <w:r>
        <w:rPr>
          <w:rFonts w:eastAsia="CambriaMath"/>
          <w:i/>
          <w:iCs/>
        </w:rPr>
        <w:t>ALFin</w:t>
      </w:r>
      <w:proofErr w:type="spellEnd"/>
      <w:r>
        <w:rPr>
          <w:rFonts w:eastAsia="CambriaMath"/>
          <w:i/>
          <w:iCs/>
        </w:rPr>
        <w:t xml:space="preserve"> </w:t>
      </w:r>
      <w:r>
        <w:rPr>
          <w:rFonts w:eastAsia="CambriaMath"/>
        </w:rPr>
        <w:t>= variável dependente alfabetização financeira;</w:t>
      </w:r>
    </w:p>
    <w:p w14:paraId="4B939AF8" w14:textId="77777777" w:rsidR="0092470A" w:rsidRDefault="00000000" w:rsidP="0020059C">
      <w:proofErr w:type="spellStart"/>
      <w:r>
        <w:rPr>
          <w:rFonts w:eastAsia="CambriaMath"/>
          <w:i/>
          <w:iCs/>
        </w:rPr>
        <w:t>ComportamentoFin</w:t>
      </w:r>
      <w:proofErr w:type="spellEnd"/>
      <w:r>
        <w:rPr>
          <w:rFonts w:eastAsia="CambriaMath"/>
          <w:i/>
          <w:iCs/>
        </w:rPr>
        <w:t xml:space="preserve">/5 </w:t>
      </w:r>
      <w:r>
        <w:rPr>
          <w:rFonts w:eastAsia="CambriaMath"/>
        </w:rPr>
        <w:t>= média padronizada das perguntas sobre comportamento financeiro;</w:t>
      </w:r>
    </w:p>
    <w:p w14:paraId="78ACF328" w14:textId="77777777" w:rsidR="0092470A" w:rsidRDefault="00000000" w:rsidP="0020059C">
      <w:proofErr w:type="spellStart"/>
      <w:r>
        <w:rPr>
          <w:rFonts w:eastAsia="CambriaMath"/>
          <w:i/>
          <w:iCs/>
        </w:rPr>
        <w:t>ConhecimentoFin</w:t>
      </w:r>
      <w:proofErr w:type="spellEnd"/>
      <w:r>
        <w:rPr>
          <w:rFonts w:eastAsia="CambriaMath"/>
          <w:i/>
          <w:iCs/>
        </w:rPr>
        <w:t xml:space="preserve">/3 </w:t>
      </w:r>
      <w:r>
        <w:rPr>
          <w:rFonts w:eastAsia="CambriaMath"/>
        </w:rPr>
        <w:t>= média padronizada das perguntas sobre conhecimento financeiro e</w:t>
      </w:r>
    </w:p>
    <w:p w14:paraId="1DF94849" w14:textId="77777777" w:rsidR="0092470A" w:rsidRDefault="00000000" w:rsidP="0020059C">
      <w:proofErr w:type="spellStart"/>
      <w:r>
        <w:rPr>
          <w:rFonts w:eastAsia="CambriaMath"/>
          <w:i/>
          <w:iCs/>
        </w:rPr>
        <w:t>AtitudeFin</w:t>
      </w:r>
      <w:proofErr w:type="spellEnd"/>
      <w:r>
        <w:rPr>
          <w:rFonts w:eastAsia="CambriaMath"/>
          <w:i/>
          <w:iCs/>
        </w:rPr>
        <w:t xml:space="preserve">/5 </w:t>
      </w:r>
      <w:r>
        <w:rPr>
          <w:rFonts w:eastAsia="CambriaMath"/>
        </w:rPr>
        <w:t xml:space="preserve">= média padronizada das perguntas sobre atitude financeira.     </w:t>
      </w:r>
    </w:p>
    <w:p w14:paraId="7F56CAA5" w14:textId="77777777" w:rsidR="0092470A" w:rsidRDefault="00000000" w:rsidP="0020059C">
      <w:r>
        <w:rPr>
          <w:rFonts w:eastAsia="CambriaMath"/>
        </w:rPr>
        <w:t>As médias padronizadas significam que:</w:t>
      </w:r>
    </w:p>
    <w:p w14:paraId="3FA909A3" w14:textId="77777777" w:rsidR="0092470A" w:rsidRDefault="00000000" w:rsidP="0020059C">
      <w:r>
        <w:rPr>
          <w:shd w:val="clear" w:color="auto" w:fill="FFFFFF"/>
        </w:rPr>
        <w:t>O comportamento financeiro possui 20 questões, que valem no máximo 5 pontos cada uma, totalizando uma pontuação máxima de 100 pontos no fator;</w:t>
      </w:r>
    </w:p>
    <w:p w14:paraId="52E3890E" w14:textId="77777777" w:rsidR="0092470A" w:rsidRDefault="00000000" w:rsidP="0020059C">
      <w:r>
        <w:rPr>
          <w:shd w:val="clear" w:color="auto" w:fill="FFFFFF"/>
        </w:rPr>
        <w:t>O conhecimento financeiro possui 3 questões, que valem 1 ponto cada uma, totalizando uma pontuação máxima de 3 pontos no fator e</w:t>
      </w:r>
    </w:p>
    <w:p w14:paraId="7E0DCBED" w14:textId="77777777" w:rsidR="0092470A" w:rsidRDefault="00000000" w:rsidP="0020059C">
      <w:r>
        <w:rPr>
          <w:shd w:val="clear" w:color="auto" w:fill="FFFFFF"/>
        </w:rPr>
        <w:t>A atitude financeira possui 9 questões, que valem no máximo 5 pontos, cada uma, totalizando uma pontuação máxima de 45 pontos no fator.</w:t>
      </w:r>
    </w:p>
    <w:p w14:paraId="72554E3D" w14:textId="77777777" w:rsidR="0092470A" w:rsidRDefault="00000000" w:rsidP="0020059C">
      <w:r>
        <w:rPr>
          <w:shd w:val="clear" w:color="auto" w:fill="FFFFFF"/>
        </w:rPr>
        <w:t>Visto que os três fatores possuem o mesmo peso (OCDE, 2005), para igualar a pontuação máxima de cada fator, é necessário dividir o número total de questões do fator comportamento financeiro por 20; o número total de questões do fator conhecimento financeiro por 3 e o número total de questões do fator atitude financeira por 9, para obtenção da média de pontos por questão.</w:t>
      </w:r>
    </w:p>
    <w:p w14:paraId="4DA75FD6" w14:textId="77777777" w:rsidR="0092470A" w:rsidRDefault="00000000" w:rsidP="0020059C">
      <w:r>
        <w:rPr>
          <w:shd w:val="clear" w:color="auto" w:fill="FFFFFF"/>
        </w:rPr>
        <w:t xml:space="preserve">Assim, o fator comportamento financeiro vale 5 pontos, o fator conhecimento financeiro vale 1 </w:t>
      </w:r>
      <w:proofErr w:type="spellStart"/>
      <w:r>
        <w:rPr>
          <w:shd w:val="clear" w:color="auto" w:fill="FFFFFF"/>
        </w:rPr>
        <w:t>ponto</w:t>
      </w:r>
      <w:proofErr w:type="spellEnd"/>
      <w:r>
        <w:rPr>
          <w:shd w:val="clear" w:color="auto" w:fill="FFFFFF"/>
        </w:rPr>
        <w:t xml:space="preserve"> e o fator atitude financeira vale 5 pontos.</w:t>
      </w:r>
    </w:p>
    <w:p w14:paraId="29148151" w14:textId="057F6ED4" w:rsidR="0092470A" w:rsidRDefault="0020059C" w:rsidP="0020059C">
      <w:r>
        <w:rPr>
          <w:shd w:val="clear" w:color="auto" w:fill="FFFFFF"/>
        </w:rPr>
        <w:lastRenderedPageBreak/>
        <w:tab/>
      </w:r>
      <w:r w:rsidR="00000000">
        <w:rPr>
          <w:shd w:val="clear" w:color="auto" w:fill="FFFFFF"/>
        </w:rPr>
        <w:t xml:space="preserve">Portanto, o fator alfabetização financeira deve ser </w:t>
      </w:r>
      <w:proofErr w:type="gramStart"/>
      <w:r w:rsidR="00000000">
        <w:rPr>
          <w:shd w:val="clear" w:color="auto" w:fill="FFFFFF"/>
        </w:rPr>
        <w:t>calculado</w:t>
      </w:r>
      <w:proofErr w:type="gramEnd"/>
      <w:r w:rsidR="00000000">
        <w:rPr>
          <w:shd w:val="clear" w:color="auto" w:fill="FFFFFF"/>
        </w:rPr>
        <w:t xml:space="preserve"> a partir da equação [2].</w:t>
      </w:r>
    </w:p>
    <w:p w14:paraId="4771C987" w14:textId="77777777" w:rsidR="0092470A" w:rsidRDefault="00000000" w:rsidP="0020059C">
      <w:r>
        <w:tab/>
        <w:t xml:space="preserve">Para avaliar as relações propostas nesta pesquisa, foram utilizadas estatísticas descritivas e técnicas de análise multivariada, com aplicação dos dados no software </w:t>
      </w:r>
      <w:proofErr w:type="spellStart"/>
      <w:r>
        <w:rPr>
          <w:i/>
          <w:iCs/>
        </w:rPr>
        <w:t>RStudio</w:t>
      </w:r>
      <w:proofErr w:type="spellEnd"/>
      <w:r>
        <w:t>.</w:t>
      </w:r>
    </w:p>
    <w:p w14:paraId="734D1F33" w14:textId="77777777" w:rsidR="0092470A" w:rsidRDefault="00000000" w:rsidP="0020059C">
      <w:r>
        <w:t>Primeiramente foi calculada a estatística descritiva das variáveis gênero, idade, estado civil, quantidade de filhos, grau de escolaridade e renda, utilizando a média, mediana e desvio padrão, para caracterizar a amostra.</w:t>
      </w:r>
    </w:p>
    <w:p w14:paraId="70B2DB97" w14:textId="77777777" w:rsidR="0092470A" w:rsidRDefault="00000000" w:rsidP="0020059C">
      <w:r>
        <w:tab/>
        <w:t xml:space="preserve">Assim como realizado por </w:t>
      </w:r>
      <w:proofErr w:type="spellStart"/>
      <w:r>
        <w:t>Potrich</w:t>
      </w:r>
      <w:proofErr w:type="spellEnd"/>
      <w:r>
        <w:t xml:space="preserve">, Vieira e </w:t>
      </w:r>
      <w:proofErr w:type="spellStart"/>
      <w:r>
        <w:t>Ceretta</w:t>
      </w:r>
      <w:proofErr w:type="spellEnd"/>
      <w:r>
        <w:t xml:space="preserve"> (2013), calculou-se o teste </w:t>
      </w:r>
      <w:r>
        <w:rPr>
          <w:i/>
          <w:iCs/>
        </w:rPr>
        <w:t xml:space="preserve">t </w:t>
      </w:r>
      <w:r>
        <w:t xml:space="preserve">de </w:t>
      </w:r>
      <w:proofErr w:type="spellStart"/>
      <w:r>
        <w:rPr>
          <w:i/>
          <w:iCs/>
        </w:rPr>
        <w:t>Student</w:t>
      </w:r>
      <w:proofErr w:type="spellEnd"/>
      <w:r>
        <w:rPr>
          <w:i/>
          <w:iCs/>
        </w:rPr>
        <w:t xml:space="preserve"> </w:t>
      </w:r>
      <w:r>
        <w:t xml:space="preserve">e a análise de variância ANOVA para verificar possível diferença entre os grupos em relação aos fatores comportamento financeiro, conhecimento financeiro, atitude financeira e a variável independente alfabetização financeira. </w:t>
      </w:r>
    </w:p>
    <w:p w14:paraId="189F17A2" w14:textId="77777777" w:rsidR="0092470A" w:rsidRDefault="00000000" w:rsidP="0020059C">
      <w:r>
        <w:tab/>
        <w:t xml:space="preserve">Depois, foi elaborada uma regressão múltipla, pelo método dos Mínimos Quadrados Ordinários (MQO), que analisa a relação entre apenas uma variável dependente (HAIR </w:t>
      </w:r>
      <w:r>
        <w:rPr>
          <w:i/>
          <w:iCs/>
        </w:rPr>
        <w:t>et al</w:t>
      </w:r>
      <w:r>
        <w:t>., 2009), e que escolhe as estimativas que minimizam a soma dos quadrados dos resíduos (</w:t>
      </w:r>
      <w:r>
        <w:rPr>
          <w:shd w:val="clear" w:color="auto" w:fill="FFFFFF"/>
        </w:rPr>
        <w:t>WOOLDRIDGE, 2019, p.75</w:t>
      </w:r>
      <w:r>
        <w:t>). Utilizou-se a alfabetização financeira como variável dependente e gênero, idade, estado civil, quantidade de filhos, grau de escolaridade e renda como variáveis independentes.</w:t>
      </w:r>
    </w:p>
    <w:p w14:paraId="2A5A6B5C" w14:textId="77777777" w:rsidR="0092470A" w:rsidRDefault="00000000" w:rsidP="0020059C">
      <w:r>
        <w:tab/>
        <w:t xml:space="preserve">Para o emprego do software </w:t>
      </w:r>
      <w:proofErr w:type="spellStart"/>
      <w:r>
        <w:rPr>
          <w:i/>
          <w:iCs/>
        </w:rPr>
        <w:t>RStudio</w:t>
      </w:r>
      <w:proofErr w:type="spellEnd"/>
      <w:r>
        <w:t xml:space="preserve">, foram consideradas </w:t>
      </w:r>
      <w:proofErr w:type="spellStart"/>
      <w:r>
        <w:rPr>
          <w:i/>
          <w:iCs/>
        </w:rPr>
        <w:t>dummies</w:t>
      </w:r>
      <w:proofErr w:type="spellEnd"/>
      <w:r>
        <w:t xml:space="preserve"> as variáveis gênero (masculino = 1 e feminino = 0) e estado civil (não casado = 1 e casado = 0). O nível de escolaridade foi calculado a partir da estimativa “anos de estudo”, levando em consideração o sistema educacional brasileiro. O salário foi estimado a partir do soldo correspondente ao posto/graduação dos entrevistados. Assim, obteve-se a equação [3].</w:t>
      </w:r>
    </w:p>
    <w:p w14:paraId="69D5632A" w14:textId="77777777" w:rsidR="0092470A" w:rsidRDefault="0092470A" w:rsidP="0020059C"/>
    <w:p w14:paraId="3A4A2BAF" w14:textId="77777777" w:rsidR="0092470A" w:rsidRDefault="00000000" w:rsidP="0020059C">
      <w:proofErr w:type="spellStart"/>
      <w:r>
        <w:rPr>
          <w:rFonts w:eastAsia="CambriaMath"/>
          <w:i/>
          <w:iCs/>
          <w:shd w:val="clear" w:color="auto" w:fill="FFFFFF"/>
        </w:rPr>
        <w:t>ALFi</w:t>
      </w:r>
      <w:proofErr w:type="spellEnd"/>
      <w:r>
        <w:rPr>
          <w:rFonts w:eastAsia="CambriaMath"/>
          <w:i/>
          <w:iCs/>
          <w:shd w:val="clear" w:color="auto" w:fill="FFFFFF"/>
        </w:rPr>
        <w:t xml:space="preserve"> = </w:t>
      </w:r>
      <w:r>
        <w:rPr>
          <w:i/>
          <w:iCs/>
          <w:shd w:val="clear" w:color="auto" w:fill="FFFFFF"/>
        </w:rPr>
        <w:t>β</w:t>
      </w:r>
      <w:r>
        <w:rPr>
          <w:rFonts w:eastAsia="CambriaMath"/>
          <w:i/>
          <w:iCs/>
          <w:shd w:val="clear" w:color="auto" w:fill="FFFFFF"/>
        </w:rPr>
        <w:t>₀</w:t>
      </w:r>
      <w:r>
        <w:rPr>
          <w:i/>
          <w:iCs/>
          <w:shd w:val="clear" w:color="auto" w:fill="FFFFFF"/>
        </w:rPr>
        <w:t xml:space="preserve"> + β</w:t>
      </w:r>
      <w:r>
        <w:rPr>
          <w:rFonts w:eastAsia="CambriaMath"/>
          <w:i/>
          <w:iCs/>
          <w:shd w:val="clear" w:color="auto" w:fill="FFFFFF"/>
        </w:rPr>
        <w:t>₁</w:t>
      </w:r>
      <w:r>
        <w:rPr>
          <w:i/>
          <w:iCs/>
          <w:shd w:val="clear" w:color="auto" w:fill="FFFFFF"/>
        </w:rPr>
        <w:t>δ</w:t>
      </w:r>
      <w:r>
        <w:rPr>
          <w:rFonts w:eastAsia="CambriaMath"/>
          <w:i/>
          <w:iCs/>
          <w:shd w:val="clear" w:color="auto" w:fill="FFFFFF"/>
        </w:rPr>
        <w:t>₁</w:t>
      </w:r>
      <w:r>
        <w:rPr>
          <w:i/>
          <w:iCs/>
          <w:shd w:val="clear" w:color="auto" w:fill="FFFFFF"/>
        </w:rPr>
        <w:t xml:space="preserve"> idade + β</w:t>
      </w:r>
      <w:r>
        <w:rPr>
          <w:rFonts w:eastAsia="CambriaMath"/>
          <w:i/>
          <w:iCs/>
          <w:shd w:val="clear" w:color="auto" w:fill="FFFFFF"/>
        </w:rPr>
        <w:t>₂</w:t>
      </w:r>
      <w:r>
        <w:rPr>
          <w:i/>
          <w:iCs/>
          <w:shd w:val="clear" w:color="auto" w:fill="FFFFFF"/>
        </w:rPr>
        <w:t xml:space="preserve"> δ</w:t>
      </w:r>
      <w:r>
        <w:rPr>
          <w:rFonts w:eastAsia="CambriaMath"/>
          <w:i/>
          <w:iCs/>
          <w:shd w:val="clear" w:color="auto" w:fill="FFFFFF"/>
        </w:rPr>
        <w:t>₂</w:t>
      </w:r>
      <w:r>
        <w:rPr>
          <w:i/>
          <w:iCs/>
          <w:shd w:val="clear" w:color="auto" w:fill="FFFFFF"/>
        </w:rPr>
        <w:t xml:space="preserve"> gênero + β</w:t>
      </w:r>
      <w:r>
        <w:rPr>
          <w:rFonts w:eastAsia="CambriaMath"/>
          <w:i/>
          <w:iCs/>
          <w:shd w:val="clear" w:color="auto" w:fill="FFFFFF"/>
        </w:rPr>
        <w:t>₃</w:t>
      </w:r>
      <w:r>
        <w:rPr>
          <w:i/>
          <w:iCs/>
          <w:shd w:val="clear" w:color="auto" w:fill="FFFFFF"/>
        </w:rPr>
        <w:t xml:space="preserve"> anos de estudo + β</w:t>
      </w:r>
      <w:r>
        <w:rPr>
          <w:rFonts w:eastAsia="CambriaMath"/>
          <w:i/>
          <w:iCs/>
          <w:shd w:val="clear" w:color="auto" w:fill="FFFFFF"/>
        </w:rPr>
        <w:t>₄</w:t>
      </w:r>
      <w:r>
        <w:rPr>
          <w:i/>
          <w:iCs/>
          <w:shd w:val="clear" w:color="auto" w:fill="FFFFFF"/>
        </w:rPr>
        <w:t xml:space="preserve"> salário + β</w:t>
      </w:r>
      <w:r>
        <w:rPr>
          <w:rFonts w:eastAsia="CambriaMath"/>
          <w:i/>
          <w:iCs/>
          <w:shd w:val="clear" w:color="auto" w:fill="FFFFFF"/>
        </w:rPr>
        <w:t>₅</w:t>
      </w:r>
      <w:r>
        <w:rPr>
          <w:i/>
          <w:iCs/>
          <w:shd w:val="clear" w:color="auto" w:fill="FFFFFF"/>
        </w:rPr>
        <w:t xml:space="preserve"> δ</w:t>
      </w:r>
      <w:r>
        <w:rPr>
          <w:rFonts w:eastAsia="CambriaMath"/>
          <w:i/>
          <w:iCs/>
          <w:shd w:val="clear" w:color="auto" w:fill="FFFFFF"/>
        </w:rPr>
        <w:t>₃</w:t>
      </w:r>
      <w:r>
        <w:rPr>
          <w:i/>
          <w:iCs/>
          <w:shd w:val="clear" w:color="auto" w:fill="FFFFFF"/>
        </w:rPr>
        <w:t xml:space="preserve"> estado civil + β</w:t>
      </w:r>
      <w:r>
        <w:rPr>
          <w:rFonts w:eastAsia="CambriaMath"/>
          <w:i/>
          <w:iCs/>
          <w:shd w:val="clear" w:color="auto" w:fill="FFFFFF"/>
        </w:rPr>
        <w:t>₆</w:t>
      </w:r>
      <w:r>
        <w:rPr>
          <w:i/>
          <w:iCs/>
          <w:shd w:val="clear" w:color="auto" w:fill="FFFFFF"/>
        </w:rPr>
        <w:t xml:space="preserve"> número de filhos + ε</w:t>
      </w:r>
      <w:r>
        <w:rPr>
          <w:rFonts w:eastAsia="CambriaMath"/>
          <w:i/>
          <w:iCs/>
          <w:shd w:val="clear" w:color="auto" w:fill="FFFFFF"/>
        </w:rPr>
        <w:t xml:space="preserve">₁                    </w:t>
      </w:r>
      <w:proofErr w:type="gramStart"/>
      <w:r>
        <w:rPr>
          <w:rFonts w:eastAsia="CambriaMath"/>
          <w:i/>
          <w:iCs/>
          <w:shd w:val="clear" w:color="auto" w:fill="FFFFFF"/>
        </w:rPr>
        <w:t xml:space="preserve">   </w:t>
      </w:r>
      <w:r>
        <w:rPr>
          <w:shd w:val="clear" w:color="auto" w:fill="FFFFFF"/>
        </w:rPr>
        <w:t>[</w:t>
      </w:r>
      <w:proofErr w:type="gramEnd"/>
      <w:r>
        <w:rPr>
          <w:shd w:val="clear" w:color="auto" w:fill="FFFFFF"/>
        </w:rPr>
        <w:t>3]</w:t>
      </w:r>
    </w:p>
    <w:p w14:paraId="4A7AA1DB" w14:textId="77777777" w:rsidR="0092470A" w:rsidRDefault="00000000" w:rsidP="001C2FB4">
      <w:pPr>
        <w:pStyle w:val="Ttulo2"/>
      </w:pPr>
      <w:r>
        <w:lastRenderedPageBreak/>
        <w:t>5 RESULTADOS</w:t>
      </w:r>
    </w:p>
    <w:p w14:paraId="622F7A43" w14:textId="77777777" w:rsidR="0092470A" w:rsidRDefault="00000000" w:rsidP="0020059C">
      <w:pPr>
        <w:pStyle w:val="Ttulo3"/>
      </w:pPr>
      <w:bookmarkStart w:id="6" w:name="_Toc130754949"/>
      <w:bookmarkEnd w:id="6"/>
      <w:r>
        <w:t>5.1 O comportamento financeiro dos respondentes</w:t>
      </w:r>
    </w:p>
    <w:p w14:paraId="05AEB0B1" w14:textId="77777777" w:rsidR="0092470A" w:rsidRDefault="00000000" w:rsidP="0020059C">
      <w:r>
        <w:tab/>
        <w:t>Para a caracterização da amostra, procedeu-se inicialmente com a análise dos dados sociodemográficos dos respondentes (bloco 1 do questionário), explicada na Tabela 1.</w:t>
      </w:r>
    </w:p>
    <w:p w14:paraId="0E7C652E" w14:textId="77777777" w:rsidR="0020059C" w:rsidRDefault="0020059C" w:rsidP="0020059C"/>
    <w:p w14:paraId="6B660374" w14:textId="77777777" w:rsidR="0020059C" w:rsidRDefault="0020059C" w:rsidP="0020059C"/>
    <w:p w14:paraId="52F170E9" w14:textId="77777777" w:rsidR="0020059C" w:rsidRDefault="0020059C" w:rsidP="0020059C"/>
    <w:p w14:paraId="04C0C8F8" w14:textId="77777777" w:rsidR="0020059C" w:rsidRDefault="0020059C" w:rsidP="0020059C"/>
    <w:p w14:paraId="19BD36D1" w14:textId="77777777" w:rsidR="0092470A" w:rsidRDefault="0092470A" w:rsidP="0020059C"/>
    <w:p w14:paraId="0AECB277" w14:textId="77777777" w:rsidR="0092470A" w:rsidRPr="001C2FB4" w:rsidRDefault="00000000" w:rsidP="0020059C">
      <w:pPr>
        <w:jc w:val="center"/>
        <w:rPr>
          <w:sz w:val="22"/>
          <w:szCs w:val="20"/>
        </w:rPr>
      </w:pPr>
      <w:r w:rsidRPr="001C2FB4">
        <w:rPr>
          <w:b/>
          <w:bCs/>
          <w:sz w:val="22"/>
          <w:szCs w:val="20"/>
        </w:rPr>
        <w:t>Tabela 1 –</w:t>
      </w:r>
      <w:r w:rsidRPr="001C2FB4">
        <w:rPr>
          <w:sz w:val="22"/>
          <w:szCs w:val="20"/>
        </w:rPr>
        <w:t xml:space="preserve"> Análise do perfil sociodemográfico do público estudado</w:t>
      </w:r>
    </w:p>
    <w:tbl>
      <w:tblPr>
        <w:tblW w:w="8060" w:type="dxa"/>
        <w:jc w:val="center"/>
        <w:tblBorders>
          <w:top w:val="single" w:sz="4" w:space="0" w:color="00000A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7"/>
        <w:gridCol w:w="2595"/>
        <w:gridCol w:w="1078"/>
        <w:gridCol w:w="1068"/>
        <w:gridCol w:w="1115"/>
        <w:gridCol w:w="937"/>
      </w:tblGrid>
      <w:tr w:rsidR="0092470A" w14:paraId="51BB678E" w14:textId="77777777" w:rsidTr="001C2FB4">
        <w:trPr>
          <w:trHeight w:val="500"/>
          <w:jc w:val="center"/>
        </w:trPr>
        <w:tc>
          <w:tcPr>
            <w:tcW w:w="3833" w:type="dxa"/>
            <w:gridSpan w:val="2"/>
            <w:vMerge w:val="restart"/>
            <w:tcBorders>
              <w:top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5873E19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b/>
                <w:sz w:val="20"/>
                <w:szCs w:val="20"/>
              </w:rPr>
              <w:t>Identificação</w:t>
            </w:r>
          </w:p>
        </w:tc>
        <w:tc>
          <w:tcPr>
            <w:tcW w:w="2160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14:paraId="206607C5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b/>
                <w:sz w:val="20"/>
                <w:szCs w:val="20"/>
              </w:rPr>
              <w:t>Gênero</w:t>
            </w:r>
          </w:p>
        </w:tc>
        <w:tc>
          <w:tcPr>
            <w:tcW w:w="110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14:paraId="0544DD5F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b/>
                <w:sz w:val="20"/>
                <w:szCs w:val="20"/>
              </w:rPr>
              <w:t>Frequência</w:t>
            </w:r>
          </w:p>
        </w:tc>
        <w:tc>
          <w:tcPr>
            <w:tcW w:w="95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nil"/>
            </w:tcBorders>
            <w:shd w:val="clear" w:color="auto" w:fill="auto"/>
            <w:tcMar>
              <w:left w:w="50" w:type="dxa"/>
            </w:tcMar>
            <w:vAlign w:val="center"/>
          </w:tcPr>
          <w:p w14:paraId="3DED3FF5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b/>
                <w:sz w:val="20"/>
                <w:szCs w:val="20"/>
              </w:rPr>
              <w:t>%</w:t>
            </w:r>
          </w:p>
        </w:tc>
      </w:tr>
      <w:tr w:rsidR="0092470A" w14:paraId="6B2DBF02" w14:textId="77777777" w:rsidTr="001C2FB4">
        <w:trPr>
          <w:trHeight w:val="260"/>
          <w:jc w:val="center"/>
        </w:trPr>
        <w:tc>
          <w:tcPr>
            <w:tcW w:w="3833" w:type="dxa"/>
            <w:gridSpan w:val="2"/>
            <w:vMerge/>
            <w:tcBorders>
              <w:top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D808C5A" w14:textId="77777777" w:rsidR="0092470A" w:rsidRDefault="0092470A" w:rsidP="001C2FB4">
            <w:pPr>
              <w:spacing w:line="240" w:lineRule="auto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14:paraId="67952366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b/>
                <w:sz w:val="20"/>
                <w:szCs w:val="20"/>
              </w:rPr>
              <w:t>Masculino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14:paraId="5F7BDD90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b/>
                <w:sz w:val="20"/>
                <w:szCs w:val="20"/>
              </w:rPr>
              <w:t>Feminino</w:t>
            </w:r>
          </w:p>
        </w:tc>
        <w:tc>
          <w:tcPr>
            <w:tcW w:w="110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14:paraId="2DEFD187" w14:textId="77777777" w:rsidR="0092470A" w:rsidRDefault="0092470A" w:rsidP="001C2FB4">
            <w:pPr>
              <w:spacing w:line="240" w:lineRule="auto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95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nil"/>
            </w:tcBorders>
            <w:shd w:val="clear" w:color="auto" w:fill="auto"/>
            <w:tcMar>
              <w:left w:w="50" w:type="dxa"/>
            </w:tcMar>
            <w:vAlign w:val="center"/>
          </w:tcPr>
          <w:p w14:paraId="6445F751" w14:textId="77777777" w:rsidR="0092470A" w:rsidRDefault="0092470A" w:rsidP="001C2FB4">
            <w:pPr>
              <w:spacing w:line="240" w:lineRule="auto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92470A" w14:paraId="2A101211" w14:textId="77777777" w:rsidTr="001C2FB4">
        <w:trPr>
          <w:trHeight w:val="260"/>
          <w:jc w:val="center"/>
        </w:trPr>
        <w:tc>
          <w:tcPr>
            <w:tcW w:w="1171" w:type="dxa"/>
            <w:vMerge w:val="restart"/>
            <w:tcBorders>
              <w:top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vAlign w:val="center"/>
          </w:tcPr>
          <w:p w14:paraId="55058EBC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Faixa etária</w:t>
            </w:r>
          </w:p>
        </w:tc>
        <w:tc>
          <w:tcPr>
            <w:tcW w:w="2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5141A86C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Até 25 anos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bottom"/>
          </w:tcPr>
          <w:p w14:paraId="5EE7272D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106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bottom"/>
          </w:tcPr>
          <w:p w14:paraId="64D6D16C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110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202D018A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108</w:t>
            </w:r>
          </w:p>
        </w:tc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55" w:type="dxa"/>
            </w:tcMar>
            <w:vAlign w:val="bottom"/>
          </w:tcPr>
          <w:p w14:paraId="79A0D4C9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47,79</w:t>
            </w:r>
          </w:p>
        </w:tc>
      </w:tr>
      <w:tr w:rsidR="0092470A" w14:paraId="56C57900" w14:textId="77777777" w:rsidTr="001C2FB4">
        <w:trPr>
          <w:trHeight w:val="260"/>
          <w:jc w:val="center"/>
        </w:trPr>
        <w:tc>
          <w:tcPr>
            <w:tcW w:w="1171" w:type="dxa"/>
            <w:vMerge/>
            <w:tcBorders>
              <w:top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vAlign w:val="center"/>
          </w:tcPr>
          <w:p w14:paraId="4591D125" w14:textId="77777777" w:rsidR="0092470A" w:rsidRDefault="0092470A" w:rsidP="001C2FB4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661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06115069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De 26 a 35 anos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6146890F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30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6A04F823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7</w:t>
            </w:r>
          </w:p>
        </w:tc>
        <w:tc>
          <w:tcPr>
            <w:tcW w:w="110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5BB041F0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37</w:t>
            </w:r>
          </w:p>
        </w:tc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55" w:type="dxa"/>
            </w:tcMar>
            <w:vAlign w:val="bottom"/>
          </w:tcPr>
          <w:p w14:paraId="13DE6B42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16,37</w:t>
            </w:r>
          </w:p>
        </w:tc>
      </w:tr>
      <w:tr w:rsidR="0092470A" w14:paraId="34667FAD" w14:textId="77777777" w:rsidTr="001C2FB4">
        <w:trPr>
          <w:trHeight w:val="260"/>
          <w:jc w:val="center"/>
        </w:trPr>
        <w:tc>
          <w:tcPr>
            <w:tcW w:w="1171" w:type="dxa"/>
            <w:vMerge/>
            <w:tcBorders>
              <w:top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vAlign w:val="center"/>
          </w:tcPr>
          <w:p w14:paraId="70BFCD6A" w14:textId="77777777" w:rsidR="0092470A" w:rsidRDefault="0092470A" w:rsidP="001C2FB4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0938423D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De 36 a 45 anos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4E51D2D6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39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341229D2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14</w:t>
            </w:r>
          </w:p>
        </w:tc>
        <w:tc>
          <w:tcPr>
            <w:tcW w:w="110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37DB1B1B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53</w:t>
            </w:r>
          </w:p>
        </w:tc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55" w:type="dxa"/>
            </w:tcMar>
            <w:vAlign w:val="bottom"/>
          </w:tcPr>
          <w:p w14:paraId="6BABAF07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23,45</w:t>
            </w:r>
          </w:p>
        </w:tc>
      </w:tr>
      <w:tr w:rsidR="0092470A" w14:paraId="4506DE24" w14:textId="77777777" w:rsidTr="001C2FB4">
        <w:trPr>
          <w:trHeight w:val="260"/>
          <w:jc w:val="center"/>
        </w:trPr>
        <w:tc>
          <w:tcPr>
            <w:tcW w:w="1171" w:type="dxa"/>
            <w:vMerge/>
            <w:tcBorders>
              <w:top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vAlign w:val="center"/>
          </w:tcPr>
          <w:p w14:paraId="5B3CEB7C" w14:textId="77777777" w:rsidR="0092470A" w:rsidRDefault="0092470A" w:rsidP="001C2FB4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661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4B22D381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De 46 a 55 anos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1218E571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6026D0E7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10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4C29183E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23</w:t>
            </w:r>
          </w:p>
        </w:tc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55" w:type="dxa"/>
            </w:tcMar>
            <w:vAlign w:val="bottom"/>
          </w:tcPr>
          <w:p w14:paraId="5F93D2B2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10,18</w:t>
            </w:r>
          </w:p>
        </w:tc>
      </w:tr>
      <w:tr w:rsidR="0092470A" w14:paraId="647C06FE" w14:textId="77777777" w:rsidTr="001C2FB4">
        <w:trPr>
          <w:trHeight w:val="260"/>
          <w:jc w:val="center"/>
        </w:trPr>
        <w:tc>
          <w:tcPr>
            <w:tcW w:w="1171" w:type="dxa"/>
            <w:vMerge/>
            <w:tcBorders>
              <w:top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vAlign w:val="center"/>
          </w:tcPr>
          <w:p w14:paraId="3384DF00" w14:textId="77777777" w:rsidR="0092470A" w:rsidRDefault="0092470A" w:rsidP="001C2FB4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661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0B6BC743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Acima de 55 anos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40C81B06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57C18C2C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10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372B4967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5</w:t>
            </w:r>
          </w:p>
        </w:tc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55" w:type="dxa"/>
            </w:tcMar>
            <w:vAlign w:val="bottom"/>
          </w:tcPr>
          <w:p w14:paraId="12ABD0F5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2,21</w:t>
            </w:r>
          </w:p>
        </w:tc>
      </w:tr>
      <w:tr w:rsidR="0092470A" w14:paraId="45738C99" w14:textId="77777777" w:rsidTr="001C2FB4">
        <w:trPr>
          <w:trHeight w:val="260"/>
          <w:jc w:val="center"/>
        </w:trPr>
        <w:tc>
          <w:tcPr>
            <w:tcW w:w="1171" w:type="dxa"/>
            <w:vMerge/>
            <w:tcBorders>
              <w:top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vAlign w:val="center"/>
          </w:tcPr>
          <w:p w14:paraId="05251CC3" w14:textId="77777777" w:rsidR="0092470A" w:rsidRDefault="0092470A" w:rsidP="001C2FB4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661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7BCD1A2F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067289DE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b/>
                <w:sz w:val="20"/>
                <w:szCs w:val="20"/>
              </w:rPr>
              <w:t>201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731FC8CF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b/>
                <w:sz w:val="20"/>
                <w:szCs w:val="20"/>
              </w:rPr>
              <w:t>25</w:t>
            </w:r>
          </w:p>
        </w:tc>
        <w:tc>
          <w:tcPr>
            <w:tcW w:w="110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2567B220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b/>
                <w:sz w:val="20"/>
                <w:szCs w:val="20"/>
              </w:rPr>
              <w:t>226</w:t>
            </w:r>
          </w:p>
        </w:tc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55" w:type="dxa"/>
            </w:tcMar>
            <w:vAlign w:val="bottom"/>
          </w:tcPr>
          <w:p w14:paraId="16293218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b/>
                <w:sz w:val="20"/>
                <w:szCs w:val="20"/>
              </w:rPr>
              <w:t>100,00</w:t>
            </w:r>
          </w:p>
        </w:tc>
      </w:tr>
      <w:tr w:rsidR="0092470A" w14:paraId="77A3BDCF" w14:textId="77777777" w:rsidTr="001C2FB4">
        <w:trPr>
          <w:trHeight w:val="260"/>
          <w:jc w:val="center"/>
        </w:trPr>
        <w:tc>
          <w:tcPr>
            <w:tcW w:w="1171" w:type="dxa"/>
            <w:vMerge w:val="restart"/>
            <w:tcBorders>
              <w:top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vAlign w:val="center"/>
          </w:tcPr>
          <w:p w14:paraId="7CE5A72A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Estado civil</w:t>
            </w:r>
          </w:p>
        </w:tc>
        <w:tc>
          <w:tcPr>
            <w:tcW w:w="2661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114AF171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Solteiro (a)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031D4735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110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154176DA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8</w:t>
            </w:r>
          </w:p>
        </w:tc>
        <w:tc>
          <w:tcPr>
            <w:tcW w:w="110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0B793E53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118</w:t>
            </w:r>
          </w:p>
        </w:tc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55" w:type="dxa"/>
            </w:tcMar>
            <w:vAlign w:val="bottom"/>
          </w:tcPr>
          <w:p w14:paraId="4558B850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52,21</w:t>
            </w:r>
          </w:p>
        </w:tc>
      </w:tr>
      <w:tr w:rsidR="0092470A" w14:paraId="416C7DF6" w14:textId="77777777" w:rsidTr="001C2FB4">
        <w:trPr>
          <w:trHeight w:val="260"/>
          <w:jc w:val="center"/>
        </w:trPr>
        <w:tc>
          <w:tcPr>
            <w:tcW w:w="1171" w:type="dxa"/>
            <w:vMerge/>
            <w:tcBorders>
              <w:top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vAlign w:val="center"/>
          </w:tcPr>
          <w:p w14:paraId="5FB5ABDA" w14:textId="77777777" w:rsidR="0092470A" w:rsidRDefault="0092470A" w:rsidP="001C2FB4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578EBB90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Casado (a)/união estável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19BE5656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90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3602DE9C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15</w:t>
            </w:r>
          </w:p>
        </w:tc>
        <w:tc>
          <w:tcPr>
            <w:tcW w:w="110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2722D772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105</w:t>
            </w:r>
          </w:p>
        </w:tc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55" w:type="dxa"/>
            </w:tcMar>
            <w:vAlign w:val="bottom"/>
          </w:tcPr>
          <w:p w14:paraId="7EB002E8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46,46</w:t>
            </w:r>
          </w:p>
        </w:tc>
      </w:tr>
      <w:tr w:rsidR="0092470A" w14:paraId="4CB2C5DB" w14:textId="77777777" w:rsidTr="001C2FB4">
        <w:trPr>
          <w:trHeight w:val="260"/>
          <w:jc w:val="center"/>
        </w:trPr>
        <w:tc>
          <w:tcPr>
            <w:tcW w:w="1171" w:type="dxa"/>
            <w:vMerge/>
            <w:tcBorders>
              <w:top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vAlign w:val="center"/>
          </w:tcPr>
          <w:p w14:paraId="7A290D9F" w14:textId="77777777" w:rsidR="0092470A" w:rsidRDefault="0092470A" w:rsidP="001C2FB4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661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13FC8300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Divorciado (a)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593A62C0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2FEB5218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110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71B91D3C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55" w:type="dxa"/>
            </w:tcMar>
            <w:vAlign w:val="bottom"/>
          </w:tcPr>
          <w:p w14:paraId="65A381AD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1,33</w:t>
            </w:r>
          </w:p>
        </w:tc>
      </w:tr>
      <w:tr w:rsidR="0092470A" w14:paraId="6B3598E5" w14:textId="77777777" w:rsidTr="001C2FB4">
        <w:trPr>
          <w:trHeight w:val="260"/>
          <w:jc w:val="center"/>
        </w:trPr>
        <w:tc>
          <w:tcPr>
            <w:tcW w:w="1171" w:type="dxa"/>
            <w:vMerge/>
            <w:tcBorders>
              <w:top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vAlign w:val="center"/>
          </w:tcPr>
          <w:p w14:paraId="015D2DA4" w14:textId="77777777" w:rsidR="0092470A" w:rsidRDefault="0092470A" w:rsidP="001C2FB4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6EACA034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Viúvo (a)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6F8ACA7F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3A876D30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0</w:t>
            </w:r>
          </w:p>
        </w:tc>
        <w:tc>
          <w:tcPr>
            <w:tcW w:w="110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7874986F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0</w:t>
            </w:r>
          </w:p>
        </w:tc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55" w:type="dxa"/>
            </w:tcMar>
            <w:vAlign w:val="bottom"/>
          </w:tcPr>
          <w:p w14:paraId="2C08DDE6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0,00</w:t>
            </w:r>
          </w:p>
        </w:tc>
      </w:tr>
      <w:tr w:rsidR="0092470A" w14:paraId="37923471" w14:textId="77777777" w:rsidTr="001C2FB4">
        <w:trPr>
          <w:trHeight w:val="260"/>
          <w:jc w:val="center"/>
        </w:trPr>
        <w:tc>
          <w:tcPr>
            <w:tcW w:w="1171" w:type="dxa"/>
            <w:vMerge/>
            <w:tcBorders>
              <w:top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vAlign w:val="center"/>
          </w:tcPr>
          <w:p w14:paraId="023768F4" w14:textId="77777777" w:rsidR="0092470A" w:rsidRDefault="0092470A" w:rsidP="001C2FB4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22C21183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0A26A344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b/>
                <w:sz w:val="20"/>
                <w:szCs w:val="20"/>
              </w:rPr>
              <w:t>201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07521590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b/>
                <w:sz w:val="20"/>
                <w:szCs w:val="20"/>
              </w:rPr>
              <w:t>25</w:t>
            </w:r>
          </w:p>
        </w:tc>
        <w:tc>
          <w:tcPr>
            <w:tcW w:w="110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7311EF14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b/>
                <w:sz w:val="20"/>
                <w:szCs w:val="20"/>
              </w:rPr>
              <w:t>226</w:t>
            </w:r>
          </w:p>
        </w:tc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55" w:type="dxa"/>
            </w:tcMar>
            <w:vAlign w:val="bottom"/>
          </w:tcPr>
          <w:p w14:paraId="120DD432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b/>
                <w:sz w:val="20"/>
                <w:szCs w:val="20"/>
              </w:rPr>
              <w:t>100,00</w:t>
            </w:r>
          </w:p>
        </w:tc>
      </w:tr>
      <w:tr w:rsidR="0092470A" w14:paraId="73223875" w14:textId="77777777" w:rsidTr="001C2FB4">
        <w:trPr>
          <w:trHeight w:val="260"/>
          <w:jc w:val="center"/>
        </w:trPr>
        <w:tc>
          <w:tcPr>
            <w:tcW w:w="1171" w:type="dxa"/>
            <w:vMerge w:val="restart"/>
            <w:tcBorders>
              <w:top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vAlign w:val="center"/>
          </w:tcPr>
          <w:p w14:paraId="7EF2A851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Número de filhos</w:t>
            </w:r>
          </w:p>
        </w:tc>
        <w:tc>
          <w:tcPr>
            <w:tcW w:w="2661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3E302064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Zero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575764A2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135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4EBC7F8E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11</w:t>
            </w:r>
          </w:p>
        </w:tc>
        <w:tc>
          <w:tcPr>
            <w:tcW w:w="110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30764939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146</w:t>
            </w:r>
          </w:p>
        </w:tc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55" w:type="dxa"/>
            </w:tcMar>
            <w:vAlign w:val="bottom"/>
          </w:tcPr>
          <w:p w14:paraId="44E3D2FE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64,60</w:t>
            </w:r>
          </w:p>
        </w:tc>
      </w:tr>
      <w:tr w:rsidR="0092470A" w14:paraId="0364C294" w14:textId="77777777" w:rsidTr="001C2FB4">
        <w:trPr>
          <w:trHeight w:val="260"/>
          <w:jc w:val="center"/>
        </w:trPr>
        <w:tc>
          <w:tcPr>
            <w:tcW w:w="1171" w:type="dxa"/>
            <w:vMerge/>
            <w:tcBorders>
              <w:top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vAlign w:val="center"/>
          </w:tcPr>
          <w:p w14:paraId="02DCC6B6" w14:textId="77777777" w:rsidR="0092470A" w:rsidRDefault="0092470A" w:rsidP="001C2FB4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661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6ABFDE4D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5DC013EE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2CC967C8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9</w:t>
            </w:r>
          </w:p>
        </w:tc>
        <w:tc>
          <w:tcPr>
            <w:tcW w:w="110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459F20B9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36</w:t>
            </w:r>
          </w:p>
        </w:tc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55" w:type="dxa"/>
            </w:tcMar>
            <w:vAlign w:val="bottom"/>
          </w:tcPr>
          <w:p w14:paraId="04B73479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15,93</w:t>
            </w:r>
          </w:p>
        </w:tc>
      </w:tr>
      <w:tr w:rsidR="0092470A" w14:paraId="00FDAD8A" w14:textId="77777777" w:rsidTr="001C2FB4">
        <w:trPr>
          <w:trHeight w:val="260"/>
          <w:jc w:val="center"/>
        </w:trPr>
        <w:tc>
          <w:tcPr>
            <w:tcW w:w="1171" w:type="dxa"/>
            <w:vMerge/>
            <w:tcBorders>
              <w:top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vAlign w:val="center"/>
          </w:tcPr>
          <w:p w14:paraId="4B895938" w14:textId="77777777" w:rsidR="0092470A" w:rsidRDefault="0092470A" w:rsidP="001C2FB4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661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6F308EAF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34DECB82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31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6231FE7C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110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32FCC718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35</w:t>
            </w:r>
          </w:p>
        </w:tc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55" w:type="dxa"/>
            </w:tcMar>
            <w:vAlign w:val="bottom"/>
          </w:tcPr>
          <w:p w14:paraId="266EBAB6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15,49</w:t>
            </w:r>
          </w:p>
        </w:tc>
      </w:tr>
      <w:tr w:rsidR="0092470A" w14:paraId="5421DF20" w14:textId="77777777" w:rsidTr="001C2FB4">
        <w:trPr>
          <w:trHeight w:val="260"/>
          <w:jc w:val="center"/>
        </w:trPr>
        <w:tc>
          <w:tcPr>
            <w:tcW w:w="1171" w:type="dxa"/>
            <w:vMerge/>
            <w:tcBorders>
              <w:top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vAlign w:val="center"/>
          </w:tcPr>
          <w:p w14:paraId="1EF73D4F" w14:textId="77777777" w:rsidR="0092470A" w:rsidRDefault="0092470A" w:rsidP="001C2FB4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661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0DF7BFB1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7481ACEC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2DD3C419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10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3016B399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8</w:t>
            </w:r>
          </w:p>
        </w:tc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55" w:type="dxa"/>
            </w:tcMar>
            <w:vAlign w:val="bottom"/>
          </w:tcPr>
          <w:p w14:paraId="71F4B71E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3,54</w:t>
            </w:r>
          </w:p>
        </w:tc>
      </w:tr>
      <w:tr w:rsidR="0092470A" w14:paraId="1F68078E" w14:textId="77777777" w:rsidTr="001C2FB4">
        <w:trPr>
          <w:trHeight w:val="260"/>
          <w:jc w:val="center"/>
        </w:trPr>
        <w:tc>
          <w:tcPr>
            <w:tcW w:w="1171" w:type="dxa"/>
            <w:vMerge/>
            <w:tcBorders>
              <w:top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vAlign w:val="center"/>
          </w:tcPr>
          <w:p w14:paraId="3279B7C0" w14:textId="77777777" w:rsidR="0092470A" w:rsidRDefault="0092470A" w:rsidP="001C2FB4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661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028B1486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Mais de 3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2C9F0F01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6D0F674A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0</w:t>
            </w:r>
          </w:p>
        </w:tc>
        <w:tc>
          <w:tcPr>
            <w:tcW w:w="110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02FA6F22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55" w:type="dxa"/>
            </w:tcMar>
            <w:vAlign w:val="bottom"/>
          </w:tcPr>
          <w:p w14:paraId="5C861888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0,44</w:t>
            </w:r>
          </w:p>
        </w:tc>
      </w:tr>
      <w:tr w:rsidR="0092470A" w14:paraId="4E25C764" w14:textId="77777777" w:rsidTr="001C2FB4">
        <w:trPr>
          <w:trHeight w:val="260"/>
          <w:jc w:val="center"/>
        </w:trPr>
        <w:tc>
          <w:tcPr>
            <w:tcW w:w="1171" w:type="dxa"/>
            <w:vMerge/>
            <w:tcBorders>
              <w:top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vAlign w:val="center"/>
          </w:tcPr>
          <w:p w14:paraId="74F69D83" w14:textId="77777777" w:rsidR="0092470A" w:rsidRDefault="0092470A" w:rsidP="001C2FB4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34059D02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5665174A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b/>
                <w:sz w:val="20"/>
                <w:szCs w:val="20"/>
              </w:rPr>
              <w:t>201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7F3B493F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b/>
                <w:sz w:val="20"/>
                <w:szCs w:val="20"/>
              </w:rPr>
              <w:t>25</w:t>
            </w:r>
          </w:p>
        </w:tc>
        <w:tc>
          <w:tcPr>
            <w:tcW w:w="110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2075EE26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b/>
                <w:sz w:val="20"/>
                <w:szCs w:val="20"/>
              </w:rPr>
              <w:t>226</w:t>
            </w:r>
          </w:p>
        </w:tc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55" w:type="dxa"/>
            </w:tcMar>
            <w:vAlign w:val="bottom"/>
          </w:tcPr>
          <w:p w14:paraId="673DEFCF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b/>
                <w:sz w:val="20"/>
                <w:szCs w:val="20"/>
              </w:rPr>
              <w:t>100,00</w:t>
            </w:r>
          </w:p>
        </w:tc>
      </w:tr>
      <w:tr w:rsidR="0092470A" w14:paraId="146C6150" w14:textId="77777777" w:rsidTr="001C2FB4">
        <w:trPr>
          <w:trHeight w:val="260"/>
          <w:jc w:val="center"/>
        </w:trPr>
        <w:tc>
          <w:tcPr>
            <w:tcW w:w="1171" w:type="dxa"/>
            <w:vMerge w:val="restart"/>
            <w:tcBorders>
              <w:top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vAlign w:val="center"/>
          </w:tcPr>
          <w:p w14:paraId="1A5F3673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Escolaridade</w:t>
            </w:r>
          </w:p>
        </w:tc>
        <w:tc>
          <w:tcPr>
            <w:tcW w:w="2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51B89B90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Ensino fundamental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3234CF96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2F0C7307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0</w:t>
            </w:r>
          </w:p>
        </w:tc>
        <w:tc>
          <w:tcPr>
            <w:tcW w:w="110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0BA59C9A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0</w:t>
            </w:r>
          </w:p>
        </w:tc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55" w:type="dxa"/>
            </w:tcMar>
            <w:vAlign w:val="bottom"/>
          </w:tcPr>
          <w:p w14:paraId="6B75773D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0,00</w:t>
            </w:r>
          </w:p>
        </w:tc>
      </w:tr>
      <w:tr w:rsidR="0092470A" w14:paraId="266E0331" w14:textId="77777777" w:rsidTr="001C2FB4">
        <w:trPr>
          <w:trHeight w:val="260"/>
          <w:jc w:val="center"/>
        </w:trPr>
        <w:tc>
          <w:tcPr>
            <w:tcW w:w="1171" w:type="dxa"/>
            <w:vMerge/>
            <w:tcBorders>
              <w:top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vAlign w:val="center"/>
          </w:tcPr>
          <w:p w14:paraId="1CDE012C" w14:textId="77777777" w:rsidR="0092470A" w:rsidRDefault="0092470A" w:rsidP="001C2FB4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0BDFB6ED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Ensino Médio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20794F95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81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68EEC46B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10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2AF22D0A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82</w:t>
            </w:r>
          </w:p>
        </w:tc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55" w:type="dxa"/>
            </w:tcMar>
            <w:vAlign w:val="bottom"/>
          </w:tcPr>
          <w:p w14:paraId="27B6AF40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36,28</w:t>
            </w:r>
          </w:p>
        </w:tc>
      </w:tr>
      <w:tr w:rsidR="0092470A" w14:paraId="29FD814B" w14:textId="77777777" w:rsidTr="001C2FB4">
        <w:trPr>
          <w:trHeight w:val="260"/>
          <w:jc w:val="center"/>
        </w:trPr>
        <w:tc>
          <w:tcPr>
            <w:tcW w:w="1171" w:type="dxa"/>
            <w:vMerge/>
            <w:tcBorders>
              <w:top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vAlign w:val="center"/>
          </w:tcPr>
          <w:p w14:paraId="657D3994" w14:textId="77777777" w:rsidR="0092470A" w:rsidRDefault="0092470A" w:rsidP="001C2FB4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1016C73F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Ensino Superior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54E6859D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87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2AA0CE0D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9</w:t>
            </w:r>
          </w:p>
        </w:tc>
        <w:tc>
          <w:tcPr>
            <w:tcW w:w="110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760D7F6B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96</w:t>
            </w:r>
          </w:p>
        </w:tc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55" w:type="dxa"/>
            </w:tcMar>
            <w:vAlign w:val="bottom"/>
          </w:tcPr>
          <w:p w14:paraId="7EDE1CA2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42,48</w:t>
            </w:r>
          </w:p>
        </w:tc>
      </w:tr>
      <w:tr w:rsidR="0092470A" w14:paraId="77F30718" w14:textId="77777777" w:rsidTr="001C2FB4">
        <w:trPr>
          <w:trHeight w:val="520"/>
          <w:jc w:val="center"/>
        </w:trPr>
        <w:tc>
          <w:tcPr>
            <w:tcW w:w="1171" w:type="dxa"/>
            <w:vMerge/>
            <w:tcBorders>
              <w:top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vAlign w:val="center"/>
          </w:tcPr>
          <w:p w14:paraId="7D55D942" w14:textId="77777777" w:rsidR="0092470A" w:rsidRDefault="0092470A" w:rsidP="001C2FB4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661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617CAFF6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Especialização/MBA/ Mestrado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07775B4B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32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08F60771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15</w:t>
            </w:r>
          </w:p>
        </w:tc>
        <w:tc>
          <w:tcPr>
            <w:tcW w:w="110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6188408E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47</w:t>
            </w:r>
          </w:p>
        </w:tc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55" w:type="dxa"/>
            </w:tcMar>
            <w:vAlign w:val="bottom"/>
          </w:tcPr>
          <w:p w14:paraId="432184DE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20,80</w:t>
            </w:r>
          </w:p>
        </w:tc>
      </w:tr>
      <w:tr w:rsidR="0092470A" w14:paraId="76931E28" w14:textId="77777777" w:rsidTr="001C2FB4">
        <w:trPr>
          <w:trHeight w:val="260"/>
          <w:jc w:val="center"/>
        </w:trPr>
        <w:tc>
          <w:tcPr>
            <w:tcW w:w="1171" w:type="dxa"/>
            <w:vMerge/>
            <w:tcBorders>
              <w:top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vAlign w:val="center"/>
          </w:tcPr>
          <w:p w14:paraId="41642ABD" w14:textId="77777777" w:rsidR="0092470A" w:rsidRDefault="0092470A" w:rsidP="001C2FB4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3AC87ACA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Doutorado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381B60F7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0D63A572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0</w:t>
            </w:r>
          </w:p>
        </w:tc>
        <w:tc>
          <w:tcPr>
            <w:tcW w:w="110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42CEC55B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55" w:type="dxa"/>
            </w:tcMar>
            <w:vAlign w:val="bottom"/>
          </w:tcPr>
          <w:p w14:paraId="1175FDB7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0,44</w:t>
            </w:r>
          </w:p>
        </w:tc>
      </w:tr>
      <w:tr w:rsidR="0092470A" w14:paraId="6DFDF0B8" w14:textId="77777777" w:rsidTr="001C2FB4">
        <w:trPr>
          <w:trHeight w:val="260"/>
          <w:jc w:val="center"/>
        </w:trPr>
        <w:tc>
          <w:tcPr>
            <w:tcW w:w="1171" w:type="dxa"/>
            <w:vMerge/>
            <w:tcBorders>
              <w:top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vAlign w:val="center"/>
          </w:tcPr>
          <w:p w14:paraId="04F8EC15" w14:textId="77777777" w:rsidR="0092470A" w:rsidRDefault="0092470A" w:rsidP="001C2FB4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66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bottom"/>
          </w:tcPr>
          <w:p w14:paraId="5C85855E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095A59A4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b/>
                <w:sz w:val="20"/>
                <w:szCs w:val="20"/>
              </w:rPr>
              <w:t>201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6A2DB108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b/>
                <w:sz w:val="20"/>
                <w:szCs w:val="20"/>
              </w:rPr>
              <w:t>25</w:t>
            </w:r>
          </w:p>
        </w:tc>
        <w:tc>
          <w:tcPr>
            <w:tcW w:w="11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bottom"/>
          </w:tcPr>
          <w:p w14:paraId="75ED728B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b/>
                <w:sz w:val="20"/>
                <w:szCs w:val="20"/>
              </w:rPr>
              <w:t>226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5" w:type="dxa"/>
            </w:tcMar>
            <w:vAlign w:val="bottom"/>
          </w:tcPr>
          <w:p w14:paraId="31503B41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b/>
                <w:sz w:val="20"/>
                <w:szCs w:val="20"/>
              </w:rPr>
              <w:t>100,00</w:t>
            </w:r>
          </w:p>
        </w:tc>
      </w:tr>
    </w:tbl>
    <w:p w14:paraId="4208C751" w14:textId="77777777" w:rsidR="0092470A" w:rsidRPr="001C2FB4" w:rsidRDefault="00000000" w:rsidP="0020059C">
      <w:pPr>
        <w:rPr>
          <w:sz w:val="22"/>
          <w:szCs w:val="20"/>
        </w:rPr>
      </w:pPr>
      <w:r w:rsidRPr="001C2FB4">
        <w:rPr>
          <w:sz w:val="20"/>
          <w:szCs w:val="20"/>
        </w:rPr>
        <w:t xml:space="preserve">         Fonte: Dados da pesquisa (2023).</w:t>
      </w:r>
    </w:p>
    <w:p w14:paraId="65D34DA8" w14:textId="77777777" w:rsidR="0092470A" w:rsidRDefault="0092470A" w:rsidP="0020059C"/>
    <w:p w14:paraId="7657210F" w14:textId="77777777" w:rsidR="0092470A" w:rsidRDefault="00000000" w:rsidP="0020059C">
      <w:r>
        <w:lastRenderedPageBreak/>
        <w:tab/>
        <w:t>Em seguida, foram analisadas as respostas do segundo bloco, referentes a alfabetização financeira, dividido nos fatores comportamento financeiro, conhecimento financeiro e atitude financeira conforme as Tabelas 2, 3 e 4, respectivamente.</w:t>
      </w:r>
    </w:p>
    <w:p w14:paraId="1145539B" w14:textId="77777777" w:rsidR="0092470A" w:rsidRPr="001C2FB4" w:rsidRDefault="00000000" w:rsidP="001C2FB4">
      <w:pPr>
        <w:jc w:val="center"/>
        <w:rPr>
          <w:sz w:val="22"/>
          <w:szCs w:val="20"/>
        </w:rPr>
      </w:pPr>
      <w:r w:rsidRPr="001C2FB4">
        <w:rPr>
          <w:b/>
          <w:bCs/>
          <w:sz w:val="22"/>
          <w:szCs w:val="20"/>
        </w:rPr>
        <w:t>Tabela 2 –</w:t>
      </w:r>
      <w:r w:rsidRPr="001C2FB4">
        <w:rPr>
          <w:sz w:val="22"/>
          <w:szCs w:val="20"/>
        </w:rPr>
        <w:t xml:space="preserve"> Média, mediana e desvio padrão das respostas do fator comportamento financeiro.</w:t>
      </w:r>
    </w:p>
    <w:tbl>
      <w:tblPr>
        <w:tblW w:w="8560" w:type="dxa"/>
        <w:tblInd w:w="-15" w:type="dxa"/>
        <w:tblBorders>
          <w:top w:val="single" w:sz="4" w:space="0" w:color="00000A"/>
          <w:left w:val="single" w:sz="4" w:space="0" w:color="FFFFFF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0" w:type="dxa"/>
          <w:right w:w="70" w:type="dxa"/>
        </w:tblCellMar>
        <w:tblLook w:val="04A0" w:firstRow="1" w:lastRow="0" w:firstColumn="1" w:lastColumn="0" w:noHBand="0" w:noVBand="1"/>
      </w:tblPr>
      <w:tblGrid>
        <w:gridCol w:w="350"/>
        <w:gridCol w:w="5307"/>
        <w:gridCol w:w="980"/>
        <w:gridCol w:w="960"/>
        <w:gridCol w:w="963"/>
      </w:tblGrid>
      <w:tr w:rsidR="0092470A" w14:paraId="3B153B48" w14:textId="77777777">
        <w:trPr>
          <w:trHeight w:val="500"/>
        </w:trPr>
        <w:tc>
          <w:tcPr>
            <w:tcW w:w="5657" w:type="dxa"/>
            <w:gridSpan w:val="2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2BA51CA7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b/>
                <w:sz w:val="20"/>
                <w:szCs w:val="20"/>
              </w:rPr>
              <w:t>Fator comportamento financeiro</w:t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849071C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b/>
                <w:sz w:val="20"/>
                <w:szCs w:val="20"/>
              </w:rPr>
              <w:t>Média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4A2B236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b/>
                <w:sz w:val="20"/>
                <w:szCs w:val="20"/>
              </w:rPr>
              <w:t>Mediana</w:t>
            </w:r>
          </w:p>
        </w:tc>
        <w:tc>
          <w:tcPr>
            <w:tcW w:w="963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vAlign w:val="center"/>
          </w:tcPr>
          <w:p w14:paraId="109B90F8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b/>
                <w:sz w:val="20"/>
                <w:szCs w:val="20"/>
              </w:rPr>
              <w:t>Desvio padrão</w:t>
            </w:r>
          </w:p>
        </w:tc>
      </w:tr>
      <w:tr w:rsidR="0092470A" w14:paraId="269A77C5" w14:textId="77777777">
        <w:trPr>
          <w:trHeight w:val="260"/>
        </w:trPr>
        <w:tc>
          <w:tcPr>
            <w:tcW w:w="350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3890140C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5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A5DD080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Preocupo-me em gerenciar da melhor forma o meu dinheiro.</w:t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C14848F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4,372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A2E356B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4,5</w:t>
            </w:r>
          </w:p>
        </w:tc>
        <w:tc>
          <w:tcPr>
            <w:tcW w:w="962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vAlign w:val="center"/>
          </w:tcPr>
          <w:p w14:paraId="69C4310C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0,766</w:t>
            </w:r>
          </w:p>
        </w:tc>
      </w:tr>
      <w:tr w:rsidR="0092470A" w14:paraId="3FF281A6" w14:textId="77777777">
        <w:trPr>
          <w:trHeight w:val="520"/>
        </w:trPr>
        <w:tc>
          <w:tcPr>
            <w:tcW w:w="350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0EF19550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5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4F9E23F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Anoto e controlo os meus gastos pessoais (ex.: planilha de receitas e despesas mensais).</w:t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1696FF7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3,885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4F931D8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962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vAlign w:val="center"/>
          </w:tcPr>
          <w:p w14:paraId="06FA0084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1,119</w:t>
            </w:r>
          </w:p>
        </w:tc>
      </w:tr>
      <w:tr w:rsidR="0092470A" w14:paraId="1EB082A0" w14:textId="77777777">
        <w:trPr>
          <w:trHeight w:val="780"/>
        </w:trPr>
        <w:tc>
          <w:tcPr>
            <w:tcW w:w="350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556491E6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5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E3E012B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Estabeleço metas financeiras de longo prazo que influenciam na administração de minhas finanças (ex.: poupar uma quantia “X” em 1 ano).</w:t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BBF9593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3,863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FDA2920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962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vAlign w:val="center"/>
          </w:tcPr>
          <w:p w14:paraId="6F68B339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1,036</w:t>
            </w:r>
          </w:p>
        </w:tc>
      </w:tr>
      <w:tr w:rsidR="0092470A" w14:paraId="56215BE0" w14:textId="77777777">
        <w:trPr>
          <w:trHeight w:val="260"/>
        </w:trPr>
        <w:tc>
          <w:tcPr>
            <w:tcW w:w="350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749003C5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5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3ED9FFD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Sigo um orçamento ou plano de gastos semanal ou mensal.</w:t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E1F9DD3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3,642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DF69D96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962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vAlign w:val="center"/>
          </w:tcPr>
          <w:p w14:paraId="79087FF2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1,085</w:t>
            </w:r>
          </w:p>
        </w:tc>
      </w:tr>
      <w:tr w:rsidR="0092470A" w14:paraId="5DB23CEA" w14:textId="77777777">
        <w:trPr>
          <w:trHeight w:val="260"/>
        </w:trPr>
        <w:tc>
          <w:tcPr>
            <w:tcW w:w="350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58CE8F0B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5</w:t>
            </w:r>
          </w:p>
        </w:tc>
        <w:tc>
          <w:tcPr>
            <w:tcW w:w="5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7527DB4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Fico mais de um mês sem fazer o balanço dos meus gastos.</w:t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2AD1AAA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3,628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5E4AF0B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962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vAlign w:val="center"/>
          </w:tcPr>
          <w:p w14:paraId="711C172E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1,246</w:t>
            </w:r>
          </w:p>
        </w:tc>
      </w:tr>
      <w:tr w:rsidR="0092470A" w14:paraId="5FE3A2D3" w14:textId="77777777">
        <w:trPr>
          <w:trHeight w:val="520"/>
        </w:trPr>
        <w:tc>
          <w:tcPr>
            <w:tcW w:w="350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19D7CAEE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6</w:t>
            </w:r>
          </w:p>
        </w:tc>
        <w:tc>
          <w:tcPr>
            <w:tcW w:w="5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690D1D9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Estou satisfeito(a) com o sistema de controle de minhas finanças.</w:t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CCF2CF2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3,265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2FC4C2E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962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vAlign w:val="center"/>
          </w:tcPr>
          <w:p w14:paraId="14035BC0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1,125</w:t>
            </w:r>
          </w:p>
        </w:tc>
      </w:tr>
      <w:tr w:rsidR="0092470A" w14:paraId="13A2ECBF" w14:textId="77777777">
        <w:trPr>
          <w:trHeight w:val="260"/>
        </w:trPr>
        <w:tc>
          <w:tcPr>
            <w:tcW w:w="350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3AEA5CD5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7</w:t>
            </w:r>
          </w:p>
        </w:tc>
        <w:tc>
          <w:tcPr>
            <w:tcW w:w="5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BF82B99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Pago minhas contas sem atraso.</w:t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AAD6CB8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4,204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A30840B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5</w:t>
            </w:r>
          </w:p>
        </w:tc>
        <w:tc>
          <w:tcPr>
            <w:tcW w:w="962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vAlign w:val="center"/>
          </w:tcPr>
          <w:p w14:paraId="7246727C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1,098</w:t>
            </w:r>
          </w:p>
        </w:tc>
      </w:tr>
      <w:tr w:rsidR="0092470A" w14:paraId="67F52FC0" w14:textId="77777777">
        <w:trPr>
          <w:trHeight w:val="520"/>
        </w:trPr>
        <w:tc>
          <w:tcPr>
            <w:tcW w:w="350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6C610BDD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8</w:t>
            </w:r>
          </w:p>
        </w:tc>
        <w:tc>
          <w:tcPr>
            <w:tcW w:w="5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2110B21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Consigo identificar os custos que pago ao comprar um produto a crédito.</w:t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2E4D5EB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3,978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FEF658C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962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vAlign w:val="center"/>
          </w:tcPr>
          <w:p w14:paraId="7E178924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0,929</w:t>
            </w:r>
          </w:p>
        </w:tc>
      </w:tr>
      <w:tr w:rsidR="0092470A" w14:paraId="7571748D" w14:textId="77777777">
        <w:trPr>
          <w:trHeight w:val="520"/>
        </w:trPr>
        <w:tc>
          <w:tcPr>
            <w:tcW w:w="350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4435B463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9</w:t>
            </w:r>
          </w:p>
        </w:tc>
        <w:tc>
          <w:tcPr>
            <w:tcW w:w="5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B56196C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Tenho utilizado cartões de crédito e cheque especial por não possuir dinheiro disponível para as despesas.</w:t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11A2DD0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3,646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45C356B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962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vAlign w:val="center"/>
          </w:tcPr>
          <w:p w14:paraId="507A0DD5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1,300</w:t>
            </w:r>
          </w:p>
        </w:tc>
      </w:tr>
      <w:tr w:rsidR="0092470A" w14:paraId="0EB9DF29" w14:textId="77777777">
        <w:trPr>
          <w:trHeight w:val="520"/>
        </w:trPr>
        <w:tc>
          <w:tcPr>
            <w:tcW w:w="350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1C912CB3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10</w:t>
            </w:r>
          </w:p>
        </w:tc>
        <w:tc>
          <w:tcPr>
            <w:tcW w:w="5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86CA307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Ao comprar a prazo, comparo as opções de crédito disponíveis.</w:t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AB6E868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3,823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5FEC5B4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962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vAlign w:val="center"/>
          </w:tcPr>
          <w:p w14:paraId="79F3881E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1,011</w:t>
            </w:r>
          </w:p>
        </w:tc>
      </w:tr>
      <w:tr w:rsidR="0092470A" w14:paraId="42106C52" w14:textId="77777777">
        <w:trPr>
          <w:trHeight w:val="520"/>
        </w:trPr>
        <w:tc>
          <w:tcPr>
            <w:tcW w:w="350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0BB2EFE7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11</w:t>
            </w:r>
          </w:p>
        </w:tc>
        <w:tc>
          <w:tcPr>
            <w:tcW w:w="5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AAA39BF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Comprometo mais de 10% da minha renda mensal com compras a crédito (exceto financiamento de imóvel e carro).</w:t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F764382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2,513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7089404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962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vAlign w:val="center"/>
          </w:tcPr>
          <w:p w14:paraId="3F23235D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1,217</w:t>
            </w:r>
          </w:p>
        </w:tc>
      </w:tr>
      <w:tr w:rsidR="0092470A" w14:paraId="101A2E04" w14:textId="77777777">
        <w:trPr>
          <w:trHeight w:val="520"/>
        </w:trPr>
        <w:tc>
          <w:tcPr>
            <w:tcW w:w="350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0B184ED9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12</w:t>
            </w:r>
          </w:p>
        </w:tc>
        <w:tc>
          <w:tcPr>
            <w:tcW w:w="5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E959221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Sempre pago o(s) meu(s) cartão(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ões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) de crédito na data de vencimento para evitar a cobrança de juros.</w:t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B13D7C7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4,451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349B454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5</w:t>
            </w:r>
          </w:p>
        </w:tc>
        <w:tc>
          <w:tcPr>
            <w:tcW w:w="962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vAlign w:val="center"/>
          </w:tcPr>
          <w:p w14:paraId="0D97B57D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0,872</w:t>
            </w:r>
          </w:p>
        </w:tc>
      </w:tr>
      <w:tr w:rsidR="0092470A" w14:paraId="4532618D" w14:textId="77777777">
        <w:trPr>
          <w:trHeight w:val="520"/>
        </w:trPr>
        <w:tc>
          <w:tcPr>
            <w:tcW w:w="350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57640C5E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13</w:t>
            </w:r>
          </w:p>
        </w:tc>
        <w:tc>
          <w:tcPr>
            <w:tcW w:w="5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43B65D7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Confiro a fatura dos cartões de crédito para averiguar possíveis erros e cobranças indevidas.</w:t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5BEADF6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4,080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F24B3CC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962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vAlign w:val="center"/>
          </w:tcPr>
          <w:p w14:paraId="1E127580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1,065</w:t>
            </w:r>
          </w:p>
        </w:tc>
      </w:tr>
      <w:tr w:rsidR="0092470A" w14:paraId="5F818FB9" w14:textId="77777777">
        <w:trPr>
          <w:trHeight w:val="260"/>
        </w:trPr>
        <w:tc>
          <w:tcPr>
            <w:tcW w:w="350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38D544F3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14</w:t>
            </w:r>
          </w:p>
        </w:tc>
        <w:tc>
          <w:tcPr>
            <w:tcW w:w="5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8C2F93D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Poupo mensalmente.</w:t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AE086A2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3,655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299B6CA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962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vAlign w:val="center"/>
          </w:tcPr>
          <w:p w14:paraId="4E06373A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1,166</w:t>
            </w:r>
          </w:p>
        </w:tc>
      </w:tr>
      <w:tr w:rsidR="0092470A" w14:paraId="75F1C03B" w14:textId="77777777">
        <w:trPr>
          <w:trHeight w:val="260"/>
        </w:trPr>
        <w:tc>
          <w:tcPr>
            <w:tcW w:w="350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08739C61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15</w:t>
            </w:r>
          </w:p>
        </w:tc>
        <w:tc>
          <w:tcPr>
            <w:tcW w:w="5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642E57E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Poupo visando a compra de um produto mais caro (ex.: carro).</w:t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F6AEBB6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3,221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3E19643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962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vAlign w:val="center"/>
          </w:tcPr>
          <w:p w14:paraId="204E4675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1,221</w:t>
            </w:r>
          </w:p>
        </w:tc>
      </w:tr>
      <w:tr w:rsidR="0092470A" w14:paraId="2FA35700" w14:textId="77777777">
        <w:trPr>
          <w:trHeight w:val="780"/>
        </w:trPr>
        <w:tc>
          <w:tcPr>
            <w:tcW w:w="350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56688D72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16</w:t>
            </w:r>
          </w:p>
        </w:tc>
        <w:tc>
          <w:tcPr>
            <w:tcW w:w="5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4072B8E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Possuo uma reserva financeira maior ou igual a 3 vezes a minha renda mensal, que possa ser usada em casos inesperados.</w:t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21E9199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3,071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9C4581A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962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vAlign w:val="center"/>
          </w:tcPr>
          <w:p w14:paraId="4C7495CA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1,450</w:t>
            </w:r>
          </w:p>
        </w:tc>
      </w:tr>
      <w:tr w:rsidR="0092470A" w14:paraId="6933CCC4" w14:textId="77777777">
        <w:trPr>
          <w:trHeight w:val="260"/>
        </w:trPr>
        <w:tc>
          <w:tcPr>
            <w:tcW w:w="350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284D7511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17</w:t>
            </w:r>
          </w:p>
        </w:tc>
        <w:tc>
          <w:tcPr>
            <w:tcW w:w="5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E90CD64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Comparo preços ao fazer uma compra.</w:t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424425A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4,270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E126C69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962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vAlign w:val="center"/>
          </w:tcPr>
          <w:p w14:paraId="73D5B954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0,838</w:t>
            </w:r>
          </w:p>
        </w:tc>
      </w:tr>
      <w:tr w:rsidR="0092470A" w14:paraId="3FF93A2E" w14:textId="77777777">
        <w:trPr>
          <w:trHeight w:val="520"/>
        </w:trPr>
        <w:tc>
          <w:tcPr>
            <w:tcW w:w="350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034361C9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18</w:t>
            </w:r>
          </w:p>
        </w:tc>
        <w:tc>
          <w:tcPr>
            <w:tcW w:w="5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B0B02AF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Analiso minhas finanças com profundidade antes de fazer alguma grande compra.</w:t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072C2EE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4,137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DACD64A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962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vAlign w:val="center"/>
          </w:tcPr>
          <w:p w14:paraId="7AA5A6B4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0,924</w:t>
            </w:r>
          </w:p>
        </w:tc>
      </w:tr>
      <w:tr w:rsidR="0092470A" w14:paraId="37CC2A72" w14:textId="77777777">
        <w:trPr>
          <w:trHeight w:val="260"/>
        </w:trPr>
        <w:tc>
          <w:tcPr>
            <w:tcW w:w="350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5739DB0A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19</w:t>
            </w:r>
          </w:p>
        </w:tc>
        <w:tc>
          <w:tcPr>
            <w:tcW w:w="5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194F0CA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Compro por impulso.</w:t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9E64D46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3,566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32F52BF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962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vAlign w:val="center"/>
          </w:tcPr>
          <w:p w14:paraId="49861478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1,038</w:t>
            </w:r>
          </w:p>
        </w:tc>
      </w:tr>
      <w:tr w:rsidR="0092470A" w14:paraId="141F536D" w14:textId="77777777">
        <w:trPr>
          <w:trHeight w:val="520"/>
        </w:trPr>
        <w:tc>
          <w:tcPr>
            <w:tcW w:w="350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2E8522A5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20</w:t>
            </w:r>
          </w:p>
        </w:tc>
        <w:tc>
          <w:tcPr>
            <w:tcW w:w="5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48ED581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Prefiro comprar um produto financiado a juntar dinheiro para comprá-lo à vista.</w:t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6A18D3B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3,296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EB3E254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962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vAlign w:val="center"/>
          </w:tcPr>
          <w:p w14:paraId="05FE9ED0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1,150</w:t>
            </w:r>
          </w:p>
        </w:tc>
      </w:tr>
    </w:tbl>
    <w:p w14:paraId="10D0497A" w14:textId="77777777" w:rsidR="0092470A" w:rsidRPr="001C2FB4" w:rsidRDefault="00000000" w:rsidP="0020059C">
      <w:pPr>
        <w:rPr>
          <w:sz w:val="22"/>
          <w:szCs w:val="20"/>
        </w:rPr>
      </w:pPr>
      <w:r w:rsidRPr="001C2FB4">
        <w:rPr>
          <w:sz w:val="20"/>
          <w:szCs w:val="20"/>
        </w:rPr>
        <w:t>Fonte: Dados da pesquisa (2023).</w:t>
      </w:r>
    </w:p>
    <w:p w14:paraId="01338BBB" w14:textId="77777777" w:rsidR="0092470A" w:rsidRPr="001C2FB4" w:rsidRDefault="00000000" w:rsidP="001C2FB4">
      <w:pPr>
        <w:jc w:val="center"/>
        <w:rPr>
          <w:sz w:val="22"/>
          <w:szCs w:val="20"/>
        </w:rPr>
      </w:pPr>
      <w:r w:rsidRPr="001C2FB4">
        <w:rPr>
          <w:b/>
          <w:bCs/>
          <w:sz w:val="22"/>
          <w:szCs w:val="20"/>
        </w:rPr>
        <w:t>Tabela 3 –</w:t>
      </w:r>
      <w:r w:rsidRPr="001C2FB4">
        <w:rPr>
          <w:sz w:val="22"/>
          <w:szCs w:val="20"/>
        </w:rPr>
        <w:t xml:space="preserve"> Frequências das respostas do fator conhecimento financeiro</w:t>
      </w:r>
    </w:p>
    <w:tbl>
      <w:tblPr>
        <w:tblW w:w="9743" w:type="dxa"/>
        <w:tblInd w:w="-15" w:type="dxa"/>
        <w:tblBorders>
          <w:top w:val="single" w:sz="4" w:space="0" w:color="00000A"/>
          <w:left w:val="single" w:sz="4" w:space="0" w:color="FFFFFF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0" w:type="dxa"/>
          <w:right w:w="70" w:type="dxa"/>
        </w:tblCellMar>
        <w:tblLook w:val="04A0" w:firstRow="1" w:lastRow="0" w:firstColumn="1" w:lastColumn="0" w:noHBand="0" w:noVBand="1"/>
      </w:tblPr>
      <w:tblGrid>
        <w:gridCol w:w="356"/>
        <w:gridCol w:w="4802"/>
        <w:gridCol w:w="966"/>
        <w:gridCol w:w="966"/>
        <w:gridCol w:w="1029"/>
        <w:gridCol w:w="1478"/>
        <w:gridCol w:w="146"/>
      </w:tblGrid>
      <w:tr w:rsidR="0092470A" w14:paraId="618DA1E8" w14:textId="77777777" w:rsidTr="001C2FB4">
        <w:trPr>
          <w:trHeight w:val="432"/>
        </w:trPr>
        <w:tc>
          <w:tcPr>
            <w:tcW w:w="5158" w:type="dxa"/>
            <w:gridSpan w:val="2"/>
            <w:vMerge w:val="restart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318438B6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b/>
                <w:sz w:val="20"/>
                <w:szCs w:val="20"/>
              </w:rPr>
              <w:t>Fator conhecimento financeiro</w:t>
            </w:r>
          </w:p>
        </w:tc>
        <w:tc>
          <w:tcPr>
            <w:tcW w:w="9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3880654D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Resposta correta</w:t>
            </w:r>
          </w:p>
        </w:tc>
        <w:tc>
          <w:tcPr>
            <w:tcW w:w="9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30BB0F61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Resposta incorreta</w:t>
            </w:r>
          </w:p>
        </w:tc>
        <w:tc>
          <w:tcPr>
            <w:tcW w:w="102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1349DAA7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Não soube responder</w:t>
            </w:r>
          </w:p>
        </w:tc>
        <w:tc>
          <w:tcPr>
            <w:tcW w:w="1624" w:type="dxa"/>
            <w:gridSpan w:val="2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FFFFFF"/>
            </w:tcBorders>
            <w:shd w:val="clear" w:color="auto" w:fill="auto"/>
            <w:tcMar>
              <w:left w:w="50" w:type="dxa"/>
            </w:tcMar>
            <w:vAlign w:val="center"/>
          </w:tcPr>
          <w:p w14:paraId="1355E70D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 xml:space="preserve">Percentual de acertos sobre o </w:t>
            </w:r>
            <w:r>
              <w:rPr>
                <w:rFonts w:eastAsia="Times New Roman"/>
                <w:sz w:val="20"/>
                <w:szCs w:val="20"/>
              </w:rPr>
              <w:lastRenderedPageBreak/>
              <w:t>total de respostas</w:t>
            </w:r>
          </w:p>
        </w:tc>
      </w:tr>
      <w:tr w:rsidR="0092470A" w14:paraId="31837571" w14:textId="77777777" w:rsidTr="001C2FB4">
        <w:trPr>
          <w:trHeight w:hRule="exact" w:val="23"/>
        </w:trPr>
        <w:tc>
          <w:tcPr>
            <w:tcW w:w="5158" w:type="dxa"/>
            <w:gridSpan w:val="2"/>
            <w:vMerge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1189265D" w14:textId="77777777" w:rsidR="0092470A" w:rsidRDefault="0092470A" w:rsidP="001C2FB4">
            <w:pPr>
              <w:spacing w:line="240" w:lineRule="auto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9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55917289" w14:textId="77777777" w:rsidR="0092470A" w:rsidRDefault="0092470A" w:rsidP="001C2FB4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47E3C6D0" w14:textId="77777777" w:rsidR="0092470A" w:rsidRDefault="0092470A" w:rsidP="001C2FB4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2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084EF9A0" w14:textId="77777777" w:rsidR="0092470A" w:rsidRDefault="0092470A" w:rsidP="001C2FB4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78" w:type="dxa"/>
            <w:tcBorders>
              <w:top w:val="nil"/>
              <w:left w:val="single" w:sz="4" w:space="0" w:color="00000A"/>
              <w:bottom w:val="single" w:sz="4" w:space="0" w:color="000001"/>
              <w:right w:val="single" w:sz="4" w:space="0" w:color="FFFFFF"/>
            </w:tcBorders>
            <w:shd w:val="clear" w:color="auto" w:fill="auto"/>
            <w:tcMar>
              <w:left w:w="50" w:type="dxa"/>
            </w:tcMar>
            <w:vAlign w:val="center"/>
          </w:tcPr>
          <w:p w14:paraId="58CB1D5B" w14:textId="77777777" w:rsidR="0092470A" w:rsidRDefault="0092470A" w:rsidP="001C2FB4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033208AD" w14:textId="77777777" w:rsidR="0092470A" w:rsidRDefault="0092470A" w:rsidP="001C2FB4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1C2FB4" w14:paraId="1D14C2FE" w14:textId="77777777" w:rsidTr="001C2FB4">
        <w:trPr>
          <w:gridAfter w:val="1"/>
          <w:wAfter w:w="146" w:type="dxa"/>
          <w:trHeight w:val="780"/>
        </w:trPr>
        <w:tc>
          <w:tcPr>
            <w:tcW w:w="356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1B3D4A6B" w14:textId="77777777" w:rsidR="001C2FB4" w:rsidRDefault="001C2FB4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21</w:t>
            </w:r>
          </w:p>
        </w:tc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95CB79A" w14:textId="77777777" w:rsidR="001C2FB4" w:rsidRDefault="001C2FB4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Suponha que você tenha R$ 100,00 em uma conta poupança e a taxa de juros seja de 2% ao ano. Depois de 5 anos, quanto você acha que teria na conta se deixasse o dinheiro render?</w:t>
            </w:r>
          </w:p>
        </w:tc>
        <w:tc>
          <w:tcPr>
            <w:tcW w:w="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4FC426D" w14:textId="77777777" w:rsidR="001C2FB4" w:rsidRDefault="001C2FB4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190</w:t>
            </w:r>
          </w:p>
        </w:tc>
        <w:tc>
          <w:tcPr>
            <w:tcW w:w="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C8CFAE8" w14:textId="77777777" w:rsidR="001C2FB4" w:rsidRDefault="001C2FB4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15</w:t>
            </w:r>
          </w:p>
        </w:tc>
        <w:tc>
          <w:tcPr>
            <w:tcW w:w="1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7826FAC" w14:textId="77777777" w:rsidR="001C2FB4" w:rsidRDefault="001C2FB4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21</w:t>
            </w:r>
          </w:p>
        </w:tc>
        <w:tc>
          <w:tcPr>
            <w:tcW w:w="1478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vAlign w:val="center"/>
          </w:tcPr>
          <w:p w14:paraId="2202E7B6" w14:textId="77777777" w:rsidR="001C2FB4" w:rsidRDefault="001C2FB4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84,07%</w:t>
            </w:r>
          </w:p>
        </w:tc>
      </w:tr>
      <w:tr w:rsidR="001C2FB4" w14:paraId="122FA815" w14:textId="77777777" w:rsidTr="001C2FB4">
        <w:trPr>
          <w:gridAfter w:val="1"/>
          <w:wAfter w:w="146" w:type="dxa"/>
          <w:trHeight w:val="780"/>
        </w:trPr>
        <w:tc>
          <w:tcPr>
            <w:tcW w:w="356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408944CB" w14:textId="77777777" w:rsidR="001C2FB4" w:rsidRDefault="001C2FB4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22</w:t>
            </w:r>
          </w:p>
        </w:tc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D20F443" w14:textId="77777777" w:rsidR="001C2FB4" w:rsidRDefault="001C2FB4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Imagine que a taxa de juros da sua poupança seja de 1% ao ano e a inflação seja de 2% ao ano. Após 1 ano, quanto você será capaz de comprar com o dinheiro dessa conta?</w:t>
            </w:r>
          </w:p>
        </w:tc>
        <w:tc>
          <w:tcPr>
            <w:tcW w:w="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447AA59" w14:textId="77777777" w:rsidR="001C2FB4" w:rsidRDefault="001C2FB4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159</w:t>
            </w:r>
          </w:p>
        </w:tc>
        <w:tc>
          <w:tcPr>
            <w:tcW w:w="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C5EE37C" w14:textId="77777777" w:rsidR="001C2FB4" w:rsidRDefault="001C2FB4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37</w:t>
            </w:r>
          </w:p>
        </w:tc>
        <w:tc>
          <w:tcPr>
            <w:tcW w:w="1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F49ED02" w14:textId="77777777" w:rsidR="001C2FB4" w:rsidRDefault="001C2FB4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30</w:t>
            </w:r>
          </w:p>
        </w:tc>
        <w:tc>
          <w:tcPr>
            <w:tcW w:w="1478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vAlign w:val="center"/>
          </w:tcPr>
          <w:p w14:paraId="22161B01" w14:textId="77777777" w:rsidR="001C2FB4" w:rsidRDefault="001C2FB4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70,35%</w:t>
            </w:r>
          </w:p>
        </w:tc>
      </w:tr>
      <w:tr w:rsidR="001C2FB4" w14:paraId="2153352F" w14:textId="77777777" w:rsidTr="001C2FB4">
        <w:trPr>
          <w:gridAfter w:val="1"/>
          <w:wAfter w:w="146" w:type="dxa"/>
          <w:trHeight w:val="780"/>
        </w:trPr>
        <w:tc>
          <w:tcPr>
            <w:tcW w:w="356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494FDE7B" w14:textId="77777777" w:rsidR="001C2FB4" w:rsidRDefault="001C2FB4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23</w:t>
            </w:r>
          </w:p>
        </w:tc>
        <w:tc>
          <w:tcPr>
            <w:tcW w:w="4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816FF02" w14:textId="77777777" w:rsidR="001C2FB4" w:rsidRDefault="001C2FB4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Assinale a informação a seguir. “Comprar ações de uma única empresa geralmente oferece um retorno mais seguro do que um fundo mútuo de ações.”</w:t>
            </w:r>
          </w:p>
        </w:tc>
        <w:tc>
          <w:tcPr>
            <w:tcW w:w="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541BFE6" w14:textId="77777777" w:rsidR="001C2FB4" w:rsidRDefault="001C2FB4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145</w:t>
            </w:r>
          </w:p>
        </w:tc>
        <w:tc>
          <w:tcPr>
            <w:tcW w:w="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66BC209" w14:textId="77777777" w:rsidR="001C2FB4" w:rsidRDefault="001C2FB4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28</w:t>
            </w:r>
          </w:p>
        </w:tc>
        <w:tc>
          <w:tcPr>
            <w:tcW w:w="1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EFF80D3" w14:textId="77777777" w:rsidR="001C2FB4" w:rsidRDefault="001C2FB4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53</w:t>
            </w:r>
          </w:p>
        </w:tc>
        <w:tc>
          <w:tcPr>
            <w:tcW w:w="1478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vAlign w:val="center"/>
          </w:tcPr>
          <w:p w14:paraId="5AFE0946" w14:textId="77777777" w:rsidR="001C2FB4" w:rsidRDefault="001C2FB4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64,15%</w:t>
            </w:r>
          </w:p>
        </w:tc>
      </w:tr>
    </w:tbl>
    <w:p w14:paraId="102C1D60" w14:textId="77777777" w:rsidR="0092470A" w:rsidRPr="001C2FB4" w:rsidRDefault="00000000" w:rsidP="0020059C">
      <w:pPr>
        <w:rPr>
          <w:sz w:val="22"/>
          <w:szCs w:val="20"/>
        </w:rPr>
      </w:pPr>
      <w:r w:rsidRPr="001C2FB4">
        <w:rPr>
          <w:sz w:val="20"/>
          <w:szCs w:val="20"/>
        </w:rPr>
        <w:t>Fonte: Dados da pesquisa (2023).</w:t>
      </w:r>
    </w:p>
    <w:p w14:paraId="076FA26D" w14:textId="77777777" w:rsidR="0092470A" w:rsidRDefault="0092470A" w:rsidP="0020059C"/>
    <w:p w14:paraId="443F2AE2" w14:textId="77777777" w:rsidR="001C2FB4" w:rsidRDefault="001C2FB4" w:rsidP="0020059C"/>
    <w:p w14:paraId="60B6EC10" w14:textId="77777777" w:rsidR="0092470A" w:rsidRPr="001C2FB4" w:rsidRDefault="00000000" w:rsidP="0020059C">
      <w:pPr>
        <w:rPr>
          <w:sz w:val="22"/>
          <w:szCs w:val="20"/>
        </w:rPr>
      </w:pPr>
      <w:r w:rsidRPr="001C2FB4">
        <w:rPr>
          <w:b/>
          <w:bCs/>
          <w:sz w:val="22"/>
          <w:szCs w:val="20"/>
        </w:rPr>
        <w:t>Tabela 4 –</w:t>
      </w:r>
      <w:r w:rsidRPr="001C2FB4">
        <w:rPr>
          <w:sz w:val="22"/>
          <w:szCs w:val="20"/>
        </w:rPr>
        <w:t xml:space="preserve"> Média, mediana e desvio padrão das respostas do fator atitude financeira</w:t>
      </w:r>
    </w:p>
    <w:tbl>
      <w:tblPr>
        <w:tblW w:w="8560" w:type="dxa"/>
        <w:jc w:val="center"/>
        <w:tblBorders>
          <w:top w:val="single" w:sz="4" w:space="0" w:color="00000A"/>
          <w:left w:val="single" w:sz="4" w:space="0" w:color="FFFFFF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0" w:type="dxa"/>
          <w:right w:w="70" w:type="dxa"/>
        </w:tblCellMar>
        <w:tblLook w:val="04A0" w:firstRow="1" w:lastRow="0" w:firstColumn="1" w:lastColumn="0" w:noHBand="0" w:noVBand="1"/>
      </w:tblPr>
      <w:tblGrid>
        <w:gridCol w:w="350"/>
        <w:gridCol w:w="5307"/>
        <w:gridCol w:w="980"/>
        <w:gridCol w:w="960"/>
        <w:gridCol w:w="963"/>
      </w:tblGrid>
      <w:tr w:rsidR="0092470A" w14:paraId="4F477E5E" w14:textId="77777777">
        <w:trPr>
          <w:trHeight w:val="500"/>
          <w:jc w:val="center"/>
        </w:trPr>
        <w:tc>
          <w:tcPr>
            <w:tcW w:w="5657" w:type="dxa"/>
            <w:gridSpan w:val="2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648B120E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b/>
                <w:sz w:val="20"/>
                <w:szCs w:val="20"/>
              </w:rPr>
              <w:t>Fator atitude financeira</w:t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64080AC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b/>
                <w:sz w:val="20"/>
                <w:szCs w:val="20"/>
              </w:rPr>
              <w:t>Média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3951B4E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b/>
                <w:sz w:val="20"/>
                <w:szCs w:val="20"/>
              </w:rPr>
              <w:t>Mediana</w:t>
            </w:r>
          </w:p>
        </w:tc>
        <w:tc>
          <w:tcPr>
            <w:tcW w:w="963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vAlign w:val="center"/>
          </w:tcPr>
          <w:p w14:paraId="7A454A7C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b/>
                <w:sz w:val="20"/>
                <w:szCs w:val="20"/>
              </w:rPr>
              <w:t>Desvio padrão</w:t>
            </w:r>
          </w:p>
        </w:tc>
      </w:tr>
      <w:tr w:rsidR="0092470A" w14:paraId="1AB7EBE0" w14:textId="77777777">
        <w:trPr>
          <w:trHeight w:val="260"/>
          <w:jc w:val="center"/>
        </w:trPr>
        <w:tc>
          <w:tcPr>
            <w:tcW w:w="350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04C7B7CA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24</w:t>
            </w:r>
          </w:p>
        </w:tc>
        <w:tc>
          <w:tcPr>
            <w:tcW w:w="5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CE2797A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É importante controlar as despesas mensais.</w:t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75B26E6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4,562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EEFF67C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5</w:t>
            </w:r>
          </w:p>
        </w:tc>
        <w:tc>
          <w:tcPr>
            <w:tcW w:w="962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vAlign w:val="center"/>
          </w:tcPr>
          <w:p w14:paraId="76CFBDF9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0,637</w:t>
            </w:r>
          </w:p>
        </w:tc>
      </w:tr>
      <w:tr w:rsidR="0092470A" w14:paraId="63334A20" w14:textId="77777777">
        <w:trPr>
          <w:trHeight w:val="260"/>
          <w:jc w:val="center"/>
        </w:trPr>
        <w:tc>
          <w:tcPr>
            <w:tcW w:w="350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1CE0B1F1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25</w:t>
            </w:r>
          </w:p>
        </w:tc>
        <w:tc>
          <w:tcPr>
            <w:tcW w:w="5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3171B8D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É importante estabelecer metas financeiras para o futuro.</w:t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888E87B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4,566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74BA50E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5</w:t>
            </w:r>
          </w:p>
        </w:tc>
        <w:tc>
          <w:tcPr>
            <w:tcW w:w="962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vAlign w:val="center"/>
          </w:tcPr>
          <w:p w14:paraId="4C07D2EA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0,690</w:t>
            </w:r>
          </w:p>
        </w:tc>
      </w:tr>
      <w:tr w:rsidR="0092470A" w14:paraId="6285AD73" w14:textId="77777777">
        <w:trPr>
          <w:trHeight w:val="260"/>
          <w:jc w:val="center"/>
        </w:trPr>
        <w:tc>
          <w:tcPr>
            <w:tcW w:w="350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41AF95C7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26</w:t>
            </w:r>
          </w:p>
        </w:tc>
        <w:tc>
          <w:tcPr>
            <w:tcW w:w="5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811B934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É importante poupar dinheiro mensalmente.</w:t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AFAC56D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4,522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174AFA6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5</w:t>
            </w:r>
          </w:p>
        </w:tc>
        <w:tc>
          <w:tcPr>
            <w:tcW w:w="962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vAlign w:val="center"/>
          </w:tcPr>
          <w:p w14:paraId="24837755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0,686</w:t>
            </w:r>
          </w:p>
        </w:tc>
      </w:tr>
      <w:tr w:rsidR="0092470A" w14:paraId="66A6B874" w14:textId="77777777">
        <w:trPr>
          <w:trHeight w:val="260"/>
          <w:jc w:val="center"/>
        </w:trPr>
        <w:tc>
          <w:tcPr>
            <w:tcW w:w="350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3D5C101C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27</w:t>
            </w:r>
          </w:p>
        </w:tc>
        <w:tc>
          <w:tcPr>
            <w:tcW w:w="5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FE2DB44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O modo como gerencio o dinheiro hoje irá afetar meu futuro.</w:t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D02720F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4,319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1DE5F53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5</w:t>
            </w:r>
          </w:p>
        </w:tc>
        <w:tc>
          <w:tcPr>
            <w:tcW w:w="962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vAlign w:val="center"/>
          </w:tcPr>
          <w:p w14:paraId="3AFBBDA2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0,966</w:t>
            </w:r>
          </w:p>
        </w:tc>
      </w:tr>
      <w:tr w:rsidR="0092470A" w14:paraId="52D9BAC9" w14:textId="77777777">
        <w:trPr>
          <w:trHeight w:val="260"/>
          <w:jc w:val="center"/>
        </w:trPr>
        <w:tc>
          <w:tcPr>
            <w:tcW w:w="350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24FF3AB8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28</w:t>
            </w:r>
          </w:p>
        </w:tc>
        <w:tc>
          <w:tcPr>
            <w:tcW w:w="5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E7C72FE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É importante ter e seguir um plano mensal de gastos.</w:t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754656C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4,447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BC3B07C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4,5</w:t>
            </w:r>
          </w:p>
        </w:tc>
        <w:tc>
          <w:tcPr>
            <w:tcW w:w="962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vAlign w:val="center"/>
          </w:tcPr>
          <w:p w14:paraId="5D564D20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0,631</w:t>
            </w:r>
          </w:p>
        </w:tc>
      </w:tr>
      <w:tr w:rsidR="0092470A" w14:paraId="54D7C008" w14:textId="77777777">
        <w:trPr>
          <w:trHeight w:val="520"/>
          <w:jc w:val="center"/>
        </w:trPr>
        <w:tc>
          <w:tcPr>
            <w:tcW w:w="350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05DF9C05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29</w:t>
            </w:r>
          </w:p>
        </w:tc>
        <w:tc>
          <w:tcPr>
            <w:tcW w:w="5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E712DFA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É importante pagar o saldo integral dos cartões de crédito mensalmente.</w:t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6FDB893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4,398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E9E907B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5</w:t>
            </w:r>
          </w:p>
        </w:tc>
        <w:tc>
          <w:tcPr>
            <w:tcW w:w="962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vAlign w:val="center"/>
          </w:tcPr>
          <w:p w14:paraId="3419978D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0,863</w:t>
            </w:r>
          </w:p>
        </w:tc>
      </w:tr>
      <w:tr w:rsidR="0092470A" w14:paraId="729BA99A" w14:textId="77777777">
        <w:trPr>
          <w:trHeight w:val="520"/>
          <w:jc w:val="center"/>
        </w:trPr>
        <w:tc>
          <w:tcPr>
            <w:tcW w:w="350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73EEDB81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30</w:t>
            </w:r>
          </w:p>
        </w:tc>
        <w:tc>
          <w:tcPr>
            <w:tcW w:w="5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D67D395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Ao comprar a prazo, é importante comparar as ofertas de crédito disponíveis.</w:t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32CCE61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4,327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8F60B25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962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vAlign w:val="center"/>
          </w:tcPr>
          <w:p w14:paraId="42167537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0,856</w:t>
            </w:r>
          </w:p>
        </w:tc>
      </w:tr>
      <w:tr w:rsidR="0092470A" w14:paraId="45B36617" w14:textId="77777777">
        <w:trPr>
          <w:trHeight w:val="260"/>
          <w:jc w:val="center"/>
        </w:trPr>
        <w:tc>
          <w:tcPr>
            <w:tcW w:w="350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58C664FE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31</w:t>
            </w:r>
          </w:p>
        </w:tc>
        <w:tc>
          <w:tcPr>
            <w:tcW w:w="5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E1D3B6A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É importante não ultrapassar o orçamento do mês.</w:t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27D34DD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4,575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861D695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5</w:t>
            </w:r>
          </w:p>
        </w:tc>
        <w:tc>
          <w:tcPr>
            <w:tcW w:w="962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vAlign w:val="center"/>
          </w:tcPr>
          <w:p w14:paraId="4C71D2DE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0,642</w:t>
            </w:r>
          </w:p>
        </w:tc>
      </w:tr>
      <w:tr w:rsidR="0092470A" w14:paraId="4199A762" w14:textId="77777777">
        <w:trPr>
          <w:trHeight w:val="520"/>
          <w:jc w:val="center"/>
        </w:trPr>
        <w:tc>
          <w:tcPr>
            <w:tcW w:w="350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0E605939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32</w:t>
            </w:r>
          </w:p>
        </w:tc>
        <w:tc>
          <w:tcPr>
            <w:tcW w:w="5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14BA385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É importante investir regularmente para atingir metas de longo prazo.</w:t>
            </w:r>
          </w:p>
        </w:tc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DCCE78D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4,323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8DBFBF0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962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vAlign w:val="center"/>
          </w:tcPr>
          <w:p w14:paraId="5A5D1FCB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0,802</w:t>
            </w:r>
          </w:p>
        </w:tc>
      </w:tr>
    </w:tbl>
    <w:p w14:paraId="3EB71F03" w14:textId="77777777" w:rsidR="0092470A" w:rsidRPr="001C2FB4" w:rsidRDefault="00000000" w:rsidP="0020059C">
      <w:pPr>
        <w:rPr>
          <w:sz w:val="22"/>
          <w:szCs w:val="20"/>
        </w:rPr>
      </w:pPr>
      <w:r w:rsidRPr="001C2FB4">
        <w:rPr>
          <w:sz w:val="20"/>
          <w:szCs w:val="20"/>
        </w:rPr>
        <w:t>Fonte: Dados da pesquisa (2023).</w:t>
      </w:r>
    </w:p>
    <w:p w14:paraId="7808D9DD" w14:textId="77777777" w:rsidR="0092470A" w:rsidRDefault="00000000" w:rsidP="0020059C">
      <w:r>
        <w:tab/>
        <w:t>Além dos dados citados, os questionados também responderam sobre a posse de imóvel próprio e o conceito de finanças. 64,3% responderam que não possuem casa própria e moram de aluguel ou na casa de parentes; 18,1% possuem casa própria e o imóvel está quitado e 17,6% têm casa própria, mas ainda pagam as prestações do financiamento do imóvel. 20,8% consideram o conceito de finanças um assunto confuso; 55,9% declararam possuir um pouco de confiança financeira e 23,3% têm plena confiança sobre o tema e leem muito sobre o assunto.</w:t>
      </w:r>
    </w:p>
    <w:p w14:paraId="069AEFD2" w14:textId="77777777" w:rsidR="0092470A" w:rsidRDefault="00000000" w:rsidP="0020059C">
      <w:r>
        <w:tab/>
        <w:t xml:space="preserve">Ao comparar os fatores componentes da alfabetização financeira, os entrevistados demonstraram ter atitude mais elevada em relação aos outros fatores, com médias semelhantes nas respostas componentes do fator. Em relação ao </w:t>
      </w:r>
      <w:r>
        <w:lastRenderedPageBreak/>
        <w:t>conhecimento financeiro, o percentual de acertos denota que a população possui de médio a elevado conhecimento na área de finanças (LUSARDI; MITCHELL, 2011b).</w:t>
      </w:r>
    </w:p>
    <w:p w14:paraId="00EEFA93" w14:textId="77777777" w:rsidR="0092470A" w:rsidRDefault="00000000" w:rsidP="0020059C">
      <w:r>
        <w:tab/>
        <w:t xml:space="preserve">Para compreender as diferenças entre as médias da alfabetização financeira e dos fatores que a compõem, foram realizados o teste </w:t>
      </w:r>
      <w:r>
        <w:rPr>
          <w:i/>
          <w:iCs/>
        </w:rPr>
        <w:t>t</w:t>
      </w:r>
      <w:r>
        <w:t xml:space="preserve"> e a análise de variância ANOVA, cujos resultados estão expressos na Tabela 5.</w:t>
      </w:r>
    </w:p>
    <w:p w14:paraId="4C661EE3" w14:textId="77777777" w:rsidR="0092470A" w:rsidRPr="001C2FB4" w:rsidRDefault="00000000" w:rsidP="001C2FB4">
      <w:pPr>
        <w:jc w:val="center"/>
        <w:rPr>
          <w:sz w:val="22"/>
          <w:szCs w:val="20"/>
        </w:rPr>
      </w:pPr>
      <w:r w:rsidRPr="001C2FB4">
        <w:rPr>
          <w:b/>
          <w:bCs/>
          <w:sz w:val="22"/>
          <w:szCs w:val="20"/>
        </w:rPr>
        <w:t>Tabela 5 –</w:t>
      </w:r>
      <w:r w:rsidRPr="001C2FB4">
        <w:rPr>
          <w:sz w:val="22"/>
          <w:szCs w:val="20"/>
        </w:rPr>
        <w:t xml:space="preserve"> Média da alfabetização financeira por fator</w:t>
      </w:r>
    </w:p>
    <w:tbl>
      <w:tblPr>
        <w:tblW w:w="9043" w:type="dxa"/>
        <w:tblInd w:w="-15" w:type="dxa"/>
        <w:tblBorders>
          <w:top w:val="single" w:sz="4" w:space="0" w:color="00000A"/>
          <w:left w:val="single" w:sz="4" w:space="0" w:color="FFFFFF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0" w:type="dxa"/>
          <w:right w:w="70" w:type="dxa"/>
        </w:tblCellMar>
        <w:tblLook w:val="04A0" w:firstRow="1" w:lastRow="0" w:firstColumn="1" w:lastColumn="0" w:noHBand="0" w:noVBand="1"/>
      </w:tblPr>
      <w:tblGrid>
        <w:gridCol w:w="404"/>
        <w:gridCol w:w="6917"/>
        <w:gridCol w:w="1582"/>
        <w:gridCol w:w="140"/>
      </w:tblGrid>
      <w:tr w:rsidR="0092470A" w14:paraId="19313AC1" w14:textId="77777777" w:rsidTr="001C2FB4">
        <w:trPr>
          <w:gridAfter w:val="1"/>
          <w:wAfter w:w="140" w:type="dxa"/>
          <w:trHeight w:val="432"/>
        </w:trPr>
        <w:tc>
          <w:tcPr>
            <w:tcW w:w="7321" w:type="dxa"/>
            <w:gridSpan w:val="2"/>
            <w:vMerge w:val="restart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04BBD5B1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b/>
                <w:color w:val="000000"/>
                <w:sz w:val="20"/>
                <w:szCs w:val="20"/>
              </w:rPr>
              <w:t>Alfabetização financeira</w:t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nil"/>
              <w:right w:val="nil"/>
            </w:tcBorders>
            <w:shd w:val="clear" w:color="auto" w:fill="auto"/>
            <w:tcMar>
              <w:left w:w="50" w:type="dxa"/>
            </w:tcMar>
            <w:vAlign w:val="center"/>
          </w:tcPr>
          <w:p w14:paraId="35019801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b/>
                <w:color w:val="000000"/>
                <w:sz w:val="20"/>
                <w:szCs w:val="20"/>
              </w:rPr>
              <w:t>Média</w:t>
            </w:r>
          </w:p>
        </w:tc>
      </w:tr>
      <w:tr w:rsidR="0092470A" w14:paraId="60FCB7B2" w14:textId="77777777" w:rsidTr="001C2FB4">
        <w:trPr>
          <w:trHeight w:hRule="exact" w:val="23"/>
        </w:trPr>
        <w:tc>
          <w:tcPr>
            <w:tcW w:w="7321" w:type="dxa"/>
            <w:gridSpan w:val="2"/>
            <w:vMerge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10A7B02B" w14:textId="77777777" w:rsidR="0092470A" w:rsidRDefault="0092470A" w:rsidP="001C2FB4">
            <w:pPr>
              <w:spacing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nil"/>
              <w:left w:val="single" w:sz="4" w:space="0" w:color="00000A"/>
              <w:bottom w:val="single" w:sz="4" w:space="0" w:color="000001"/>
              <w:right w:val="nil"/>
            </w:tcBorders>
            <w:shd w:val="clear" w:color="auto" w:fill="auto"/>
            <w:tcMar>
              <w:left w:w="50" w:type="dxa"/>
            </w:tcMar>
            <w:vAlign w:val="center"/>
          </w:tcPr>
          <w:p w14:paraId="0C1E21FD" w14:textId="77777777" w:rsidR="0092470A" w:rsidRDefault="0092470A" w:rsidP="001C2FB4">
            <w:pPr>
              <w:spacing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7B0A9B82" w14:textId="77777777" w:rsidR="0092470A" w:rsidRDefault="0092470A" w:rsidP="001C2FB4">
            <w:pPr>
              <w:spacing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</w:tr>
      <w:tr w:rsidR="001C2FB4" w14:paraId="2393A5C0" w14:textId="77777777" w:rsidTr="001C2FB4">
        <w:trPr>
          <w:gridAfter w:val="1"/>
          <w:wAfter w:w="140" w:type="dxa"/>
          <w:trHeight w:val="392"/>
        </w:trPr>
        <w:tc>
          <w:tcPr>
            <w:tcW w:w="404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5A20100A" w14:textId="77777777" w:rsidR="001C2FB4" w:rsidRDefault="001C2FB4" w:rsidP="001C2FB4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B142A73" w14:textId="77777777" w:rsidR="001C2FB4" w:rsidRDefault="001C2FB4" w:rsidP="001C2FB4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</w:rPr>
              <w:t>Fator comportamento financeiro</w:t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auto"/>
            <w:vAlign w:val="center"/>
          </w:tcPr>
          <w:p w14:paraId="6FAD36F2" w14:textId="77777777" w:rsidR="001C2FB4" w:rsidRDefault="001C2FB4" w:rsidP="001C2FB4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</w:rPr>
              <w:t>3,728</w:t>
            </w:r>
          </w:p>
        </w:tc>
      </w:tr>
      <w:tr w:rsidR="001C2FB4" w14:paraId="46928C99" w14:textId="77777777" w:rsidTr="001C2FB4">
        <w:trPr>
          <w:gridAfter w:val="1"/>
          <w:wAfter w:w="140" w:type="dxa"/>
          <w:trHeight w:val="392"/>
        </w:trPr>
        <w:tc>
          <w:tcPr>
            <w:tcW w:w="404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724A8905" w14:textId="77777777" w:rsidR="001C2FB4" w:rsidRDefault="001C2FB4" w:rsidP="001C2FB4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0776F97" w14:textId="77777777" w:rsidR="001C2FB4" w:rsidRDefault="001C2FB4" w:rsidP="001C2FB4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</w:rPr>
              <w:t>Fator conhecimento financeiro</w:t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auto"/>
            <w:vAlign w:val="center"/>
          </w:tcPr>
          <w:p w14:paraId="7100C78C" w14:textId="77777777" w:rsidR="001C2FB4" w:rsidRDefault="001C2FB4" w:rsidP="001C2FB4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</w:rPr>
              <w:t>2,185</w:t>
            </w:r>
          </w:p>
        </w:tc>
      </w:tr>
      <w:tr w:rsidR="001C2FB4" w14:paraId="1CBC0135" w14:textId="77777777" w:rsidTr="001C2FB4">
        <w:trPr>
          <w:gridAfter w:val="1"/>
          <w:wAfter w:w="140" w:type="dxa"/>
          <w:trHeight w:val="392"/>
        </w:trPr>
        <w:tc>
          <w:tcPr>
            <w:tcW w:w="404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7F289F72" w14:textId="77777777" w:rsidR="001C2FB4" w:rsidRDefault="001C2FB4" w:rsidP="001C2FB4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479DEC2" w14:textId="77777777" w:rsidR="001C2FB4" w:rsidRDefault="001C2FB4" w:rsidP="001C2FB4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</w:rPr>
              <w:t>Fator atitude financeira</w:t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auto"/>
            <w:vAlign w:val="center"/>
          </w:tcPr>
          <w:p w14:paraId="6263AC8A" w14:textId="77777777" w:rsidR="001C2FB4" w:rsidRDefault="001C2FB4" w:rsidP="001C2FB4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</w:rPr>
              <w:t>4,448</w:t>
            </w:r>
          </w:p>
        </w:tc>
      </w:tr>
    </w:tbl>
    <w:p w14:paraId="73870626" w14:textId="77777777" w:rsidR="0092470A" w:rsidRPr="001C2FB4" w:rsidRDefault="00000000" w:rsidP="0020059C">
      <w:pPr>
        <w:rPr>
          <w:sz w:val="22"/>
          <w:szCs w:val="20"/>
        </w:rPr>
      </w:pPr>
      <w:r w:rsidRPr="001C2FB4">
        <w:rPr>
          <w:sz w:val="20"/>
          <w:szCs w:val="20"/>
        </w:rPr>
        <w:t>Fonte: Dados da pesquisa (2023).</w:t>
      </w:r>
    </w:p>
    <w:p w14:paraId="1E03CCFA" w14:textId="77777777" w:rsidR="0092470A" w:rsidRDefault="0092470A" w:rsidP="0020059C">
      <w:pPr>
        <w:rPr>
          <w:sz w:val="22"/>
        </w:rPr>
      </w:pPr>
    </w:p>
    <w:p w14:paraId="12DB5F53" w14:textId="77777777" w:rsidR="0092470A" w:rsidRDefault="00000000" w:rsidP="0020059C">
      <w:r>
        <w:rPr>
          <w:rFonts w:eastAsia="Times New Roman"/>
          <w:color w:val="000000"/>
        </w:rPr>
        <w:tab/>
        <w:t>Para equalizar e tornar possível a média de pontos dos fatores e por fim, descobrir a média real ou média padronizada do fator alfabetização financeira, foi utilizada a equação [2], explicada na seção 6.5.</w:t>
      </w:r>
    </w:p>
    <w:p w14:paraId="04E4B817" w14:textId="77777777" w:rsidR="0092470A" w:rsidRDefault="00000000" w:rsidP="0020059C">
      <w:r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ab/>
        <w:t>Considerou-se a alfabetização financeira um fator mensurado numa escala de 1 a 3 pontos.</w:t>
      </w:r>
    </w:p>
    <w:p w14:paraId="51959ECF" w14:textId="77777777" w:rsidR="0092470A" w:rsidRPr="001C2FB4" w:rsidRDefault="00000000" w:rsidP="001C2FB4">
      <w:pPr>
        <w:jc w:val="center"/>
        <w:rPr>
          <w:sz w:val="22"/>
          <w:szCs w:val="20"/>
        </w:rPr>
      </w:pPr>
      <w:r w:rsidRPr="001C2FB4">
        <w:rPr>
          <w:b/>
          <w:bCs/>
          <w:sz w:val="22"/>
          <w:szCs w:val="20"/>
        </w:rPr>
        <w:t>Tabela 6 –</w:t>
      </w:r>
      <w:r w:rsidRPr="001C2FB4">
        <w:rPr>
          <w:sz w:val="22"/>
          <w:szCs w:val="20"/>
        </w:rPr>
        <w:t xml:space="preserve"> Média padronizada da alfabetização financeira</w:t>
      </w:r>
    </w:p>
    <w:tbl>
      <w:tblPr>
        <w:tblW w:w="8700" w:type="dxa"/>
        <w:jc w:val="center"/>
        <w:tblBorders>
          <w:top w:val="single" w:sz="4" w:space="0" w:color="00000A"/>
          <w:left w:val="single" w:sz="4" w:space="0" w:color="FFFFFF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0" w:type="dxa"/>
          <w:right w:w="70" w:type="dxa"/>
        </w:tblCellMar>
        <w:tblLook w:val="04A0" w:firstRow="1" w:lastRow="0" w:firstColumn="1" w:lastColumn="0" w:noHBand="0" w:noVBand="1"/>
      </w:tblPr>
      <w:tblGrid>
        <w:gridCol w:w="325"/>
        <w:gridCol w:w="5131"/>
        <w:gridCol w:w="1278"/>
        <w:gridCol w:w="1826"/>
        <w:gridCol w:w="75"/>
        <w:gridCol w:w="65"/>
      </w:tblGrid>
      <w:tr w:rsidR="0092470A" w14:paraId="511201F5" w14:textId="77777777" w:rsidTr="001C2FB4">
        <w:trPr>
          <w:gridAfter w:val="1"/>
          <w:wAfter w:w="65" w:type="dxa"/>
          <w:trHeight w:val="432"/>
          <w:jc w:val="center"/>
        </w:trPr>
        <w:tc>
          <w:tcPr>
            <w:tcW w:w="5456" w:type="dxa"/>
            <w:gridSpan w:val="2"/>
            <w:vMerge w:val="restart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73FA43FD" w14:textId="77777777" w:rsidR="0092470A" w:rsidRDefault="00000000" w:rsidP="0020059C">
            <w:r>
              <w:rPr>
                <w:rFonts w:eastAsia="Times New Roman"/>
                <w:b/>
                <w:color w:val="000000"/>
                <w:sz w:val="20"/>
                <w:szCs w:val="20"/>
              </w:rPr>
              <w:t>Alfabetização financeira</w:t>
            </w:r>
          </w:p>
        </w:tc>
        <w:tc>
          <w:tcPr>
            <w:tcW w:w="127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630F241D" w14:textId="77777777" w:rsidR="0092470A" w:rsidRDefault="00000000" w:rsidP="0020059C">
            <w:r>
              <w:rPr>
                <w:rFonts w:eastAsia="Times New Roman"/>
                <w:b/>
                <w:color w:val="000000"/>
                <w:sz w:val="20"/>
                <w:szCs w:val="20"/>
              </w:rPr>
              <w:t>Pontuação média de cada fator</w:t>
            </w:r>
          </w:p>
        </w:tc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nil"/>
              <w:right w:val="nil"/>
            </w:tcBorders>
            <w:shd w:val="clear" w:color="auto" w:fill="auto"/>
            <w:tcMar>
              <w:left w:w="50" w:type="dxa"/>
            </w:tcMar>
            <w:vAlign w:val="center"/>
          </w:tcPr>
          <w:p w14:paraId="56E95941" w14:textId="77777777" w:rsidR="0092470A" w:rsidRDefault="00000000" w:rsidP="0020059C">
            <w:r>
              <w:rPr>
                <w:rFonts w:eastAsia="Times New Roman"/>
                <w:b/>
                <w:color w:val="000000"/>
                <w:sz w:val="20"/>
                <w:szCs w:val="20"/>
              </w:rPr>
              <w:t xml:space="preserve">Fator alfabetização financeira </w:t>
            </w:r>
          </w:p>
        </w:tc>
      </w:tr>
      <w:tr w:rsidR="0092470A" w14:paraId="6A160EB1" w14:textId="77777777" w:rsidTr="001C2FB4">
        <w:trPr>
          <w:trHeight w:hRule="exact" w:val="23"/>
          <w:jc w:val="center"/>
        </w:trPr>
        <w:tc>
          <w:tcPr>
            <w:tcW w:w="5456" w:type="dxa"/>
            <w:gridSpan w:val="2"/>
            <w:vMerge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3AE1EAB2" w14:textId="77777777" w:rsidR="0092470A" w:rsidRDefault="0092470A" w:rsidP="0020059C">
            <w:pPr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07F58E93" w14:textId="77777777" w:rsidR="0092470A" w:rsidRDefault="0092470A" w:rsidP="0020059C">
            <w:pPr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26" w:type="dxa"/>
            <w:tcBorders>
              <w:top w:val="nil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726B640F" w14:textId="77777777" w:rsidR="0092470A" w:rsidRDefault="0092470A" w:rsidP="0020059C">
            <w:pPr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4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1CEA784E" w14:textId="77777777" w:rsidR="0092470A" w:rsidRDefault="0092470A" w:rsidP="0020059C">
            <w:pPr>
              <w:rPr>
                <w:rFonts w:eastAsia="Times New Roman"/>
                <w:b/>
                <w:color w:val="000000"/>
                <w:sz w:val="22"/>
              </w:rPr>
            </w:pPr>
          </w:p>
        </w:tc>
      </w:tr>
      <w:tr w:rsidR="001C2FB4" w14:paraId="235B16C3" w14:textId="77777777" w:rsidTr="001C2FB4">
        <w:trPr>
          <w:gridAfter w:val="2"/>
          <w:wAfter w:w="140" w:type="dxa"/>
          <w:trHeight w:val="377"/>
          <w:jc w:val="center"/>
        </w:trPr>
        <w:tc>
          <w:tcPr>
            <w:tcW w:w="325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6B3E8BA4" w14:textId="77777777" w:rsidR="001C2FB4" w:rsidRDefault="001C2FB4" w:rsidP="0020059C"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9800FA2" w14:textId="77777777" w:rsidR="001C2FB4" w:rsidRDefault="001C2FB4" w:rsidP="0020059C">
            <w:r>
              <w:rPr>
                <w:rFonts w:eastAsia="Times New Roman"/>
                <w:color w:val="000000"/>
                <w:sz w:val="20"/>
                <w:szCs w:val="20"/>
              </w:rPr>
              <w:t>Fator comportamento financeiro</w:t>
            </w:r>
          </w:p>
        </w:tc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0E499D6" w14:textId="77777777" w:rsidR="001C2FB4" w:rsidRDefault="001C2FB4" w:rsidP="0020059C">
            <w:r>
              <w:rPr>
                <w:rFonts w:eastAsia="Times New Roman"/>
                <w:color w:val="000000"/>
                <w:sz w:val="20"/>
                <w:szCs w:val="20"/>
              </w:rPr>
              <w:t>0,745</w:t>
            </w:r>
          </w:p>
        </w:tc>
        <w:tc>
          <w:tcPr>
            <w:tcW w:w="1826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nil"/>
            </w:tcBorders>
            <w:shd w:val="clear" w:color="auto" w:fill="auto"/>
            <w:tcMar>
              <w:left w:w="50" w:type="dxa"/>
            </w:tcMar>
            <w:vAlign w:val="center"/>
          </w:tcPr>
          <w:p w14:paraId="7CEE745D" w14:textId="77777777" w:rsidR="001C2FB4" w:rsidRDefault="001C2FB4" w:rsidP="0020059C">
            <w:r>
              <w:rPr>
                <w:rFonts w:eastAsia="Times New Roman"/>
                <w:color w:val="000000"/>
                <w:sz w:val="20"/>
                <w:szCs w:val="20"/>
              </w:rPr>
              <w:t>2,363</w:t>
            </w:r>
          </w:p>
        </w:tc>
      </w:tr>
      <w:tr w:rsidR="001C2FB4" w14:paraId="768F1971" w14:textId="77777777" w:rsidTr="001C2FB4">
        <w:trPr>
          <w:gridAfter w:val="2"/>
          <w:wAfter w:w="140" w:type="dxa"/>
          <w:trHeight w:val="377"/>
          <w:jc w:val="center"/>
        </w:trPr>
        <w:tc>
          <w:tcPr>
            <w:tcW w:w="325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7884F554" w14:textId="77777777" w:rsidR="001C2FB4" w:rsidRDefault="001C2FB4" w:rsidP="0020059C">
            <w:r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FC48417" w14:textId="77777777" w:rsidR="001C2FB4" w:rsidRDefault="001C2FB4" w:rsidP="0020059C">
            <w:r>
              <w:rPr>
                <w:rFonts w:eastAsia="Times New Roman"/>
                <w:color w:val="000000"/>
                <w:sz w:val="20"/>
                <w:szCs w:val="20"/>
              </w:rPr>
              <w:t>Fator conhecimento financeiro</w:t>
            </w:r>
          </w:p>
        </w:tc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10C2179" w14:textId="77777777" w:rsidR="001C2FB4" w:rsidRDefault="001C2FB4" w:rsidP="0020059C">
            <w:r>
              <w:rPr>
                <w:rFonts w:eastAsia="Times New Roman"/>
                <w:color w:val="000000"/>
                <w:sz w:val="20"/>
                <w:szCs w:val="20"/>
              </w:rPr>
              <w:t>0,728</w:t>
            </w:r>
          </w:p>
        </w:tc>
        <w:tc>
          <w:tcPr>
            <w:tcW w:w="1826" w:type="dxa"/>
            <w:vMerge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nil"/>
            </w:tcBorders>
            <w:shd w:val="clear" w:color="auto" w:fill="auto"/>
            <w:tcMar>
              <w:left w:w="50" w:type="dxa"/>
            </w:tcMar>
            <w:vAlign w:val="center"/>
          </w:tcPr>
          <w:p w14:paraId="596D04DC" w14:textId="77777777" w:rsidR="001C2FB4" w:rsidRDefault="001C2FB4" w:rsidP="0020059C">
            <w:pPr>
              <w:rPr>
                <w:rFonts w:eastAsia="Times New Roman"/>
                <w:color w:val="000000"/>
                <w:sz w:val="22"/>
              </w:rPr>
            </w:pPr>
          </w:p>
        </w:tc>
      </w:tr>
      <w:tr w:rsidR="001C2FB4" w14:paraId="2CC509BF" w14:textId="77777777" w:rsidTr="001C2FB4">
        <w:trPr>
          <w:gridAfter w:val="2"/>
          <w:wAfter w:w="140" w:type="dxa"/>
          <w:trHeight w:val="377"/>
          <w:jc w:val="center"/>
        </w:trPr>
        <w:tc>
          <w:tcPr>
            <w:tcW w:w="325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6ACFE83A" w14:textId="77777777" w:rsidR="001C2FB4" w:rsidRDefault="001C2FB4" w:rsidP="0020059C">
            <w:r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50CF3BA" w14:textId="77777777" w:rsidR="001C2FB4" w:rsidRDefault="001C2FB4" w:rsidP="0020059C">
            <w:r>
              <w:rPr>
                <w:rFonts w:eastAsia="Times New Roman"/>
                <w:color w:val="000000"/>
                <w:sz w:val="20"/>
                <w:szCs w:val="20"/>
              </w:rPr>
              <w:t>Fator atitude financeira</w:t>
            </w:r>
          </w:p>
        </w:tc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CEF0DC0" w14:textId="77777777" w:rsidR="001C2FB4" w:rsidRDefault="001C2FB4" w:rsidP="0020059C">
            <w:r>
              <w:rPr>
                <w:rFonts w:eastAsia="Times New Roman"/>
                <w:color w:val="000000"/>
                <w:sz w:val="20"/>
                <w:szCs w:val="20"/>
              </w:rPr>
              <w:t>0,889</w:t>
            </w:r>
          </w:p>
        </w:tc>
        <w:tc>
          <w:tcPr>
            <w:tcW w:w="1826" w:type="dxa"/>
            <w:vMerge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nil"/>
            </w:tcBorders>
            <w:shd w:val="clear" w:color="auto" w:fill="auto"/>
            <w:tcMar>
              <w:left w:w="50" w:type="dxa"/>
            </w:tcMar>
            <w:vAlign w:val="center"/>
          </w:tcPr>
          <w:p w14:paraId="19EF36CD" w14:textId="77777777" w:rsidR="001C2FB4" w:rsidRDefault="001C2FB4" w:rsidP="0020059C">
            <w:pPr>
              <w:rPr>
                <w:rFonts w:eastAsia="Times New Roman"/>
                <w:color w:val="000000"/>
                <w:sz w:val="22"/>
              </w:rPr>
            </w:pPr>
          </w:p>
        </w:tc>
      </w:tr>
    </w:tbl>
    <w:p w14:paraId="1E13A31B" w14:textId="77777777" w:rsidR="0092470A" w:rsidRPr="001C2FB4" w:rsidRDefault="00000000" w:rsidP="0020059C">
      <w:pPr>
        <w:rPr>
          <w:sz w:val="22"/>
          <w:szCs w:val="20"/>
        </w:rPr>
      </w:pPr>
      <w:r w:rsidRPr="001C2FB4">
        <w:rPr>
          <w:sz w:val="20"/>
          <w:szCs w:val="20"/>
        </w:rPr>
        <w:t>Fonte: Dados da pesquisa (2023).</w:t>
      </w:r>
    </w:p>
    <w:p w14:paraId="2679FDFF" w14:textId="77777777" w:rsidR="0092470A" w:rsidRDefault="00000000" w:rsidP="0020059C">
      <w:r>
        <w:tab/>
        <w:t>O fator de 2,363 da alfabetização financeira significa uma porcentagem de 78,76 de acerto em todas as questões, o que pode ser considerado que a população estudada possui um bom nível de alfabetização financeira.</w:t>
      </w:r>
    </w:p>
    <w:p w14:paraId="3111D968" w14:textId="77777777" w:rsidR="0092470A" w:rsidRDefault="00000000" w:rsidP="0020059C">
      <w:r>
        <w:tab/>
        <w:t xml:space="preserve">Para uma análise estatística mais detalhada, como forma de compreender as diferenças entre as médias da alfabetização financeira e dos fatores comportamento financeiro, conhecimento financeiro e atitude financeira, foram realizados o teste </w:t>
      </w:r>
      <w:r>
        <w:rPr>
          <w:i/>
          <w:iCs/>
        </w:rPr>
        <w:t>t</w:t>
      </w:r>
      <w:r>
        <w:t xml:space="preserve"> e a análise de variância ANOVA, cujos resultados estão expressos na Tabela 7.</w:t>
      </w:r>
    </w:p>
    <w:p w14:paraId="32B8FF5F" w14:textId="32A5D6AB" w:rsidR="0092470A" w:rsidRPr="001C2FB4" w:rsidRDefault="00000000" w:rsidP="001C2FB4">
      <w:pPr>
        <w:jc w:val="center"/>
        <w:rPr>
          <w:sz w:val="22"/>
          <w:szCs w:val="20"/>
        </w:rPr>
      </w:pPr>
      <w:r w:rsidRPr="001C2FB4">
        <w:rPr>
          <w:b/>
          <w:bCs/>
          <w:sz w:val="22"/>
          <w:szCs w:val="20"/>
        </w:rPr>
        <w:t>Tabela 7 –</w:t>
      </w:r>
      <w:r w:rsidR="001C2FB4">
        <w:rPr>
          <w:rFonts w:eastAsia="Times New Roman"/>
          <w:sz w:val="22"/>
          <w:szCs w:val="20"/>
        </w:rPr>
        <w:t xml:space="preserve"> </w:t>
      </w:r>
      <w:r w:rsidRPr="001C2FB4">
        <w:rPr>
          <w:rFonts w:eastAsia="Times New Roman"/>
          <w:sz w:val="22"/>
          <w:szCs w:val="20"/>
        </w:rPr>
        <w:t>Valor e significância do Teste</w:t>
      </w:r>
      <w:r w:rsidRPr="001C2FB4">
        <w:rPr>
          <w:rFonts w:eastAsia="Times New Roman"/>
          <w:i/>
          <w:iCs/>
          <w:sz w:val="22"/>
          <w:szCs w:val="20"/>
        </w:rPr>
        <w:t xml:space="preserve"> t</w:t>
      </w:r>
      <w:r w:rsidRPr="001C2FB4">
        <w:rPr>
          <w:rFonts w:eastAsia="Times New Roman"/>
          <w:sz w:val="22"/>
          <w:szCs w:val="20"/>
        </w:rPr>
        <w:t xml:space="preserve"> e variância ANOVA</w:t>
      </w:r>
    </w:p>
    <w:tbl>
      <w:tblPr>
        <w:tblW w:w="9631" w:type="dxa"/>
        <w:tblInd w:w="-15" w:type="dxa"/>
        <w:tblBorders>
          <w:top w:val="single" w:sz="4" w:space="0" w:color="00000A"/>
          <w:left w:val="single" w:sz="4" w:space="0" w:color="FFFFFF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0" w:type="dxa"/>
          <w:right w:w="70" w:type="dxa"/>
        </w:tblCellMar>
        <w:tblLook w:val="04A0" w:firstRow="1" w:lastRow="0" w:firstColumn="1" w:lastColumn="0" w:noHBand="0" w:noVBand="1"/>
      </w:tblPr>
      <w:tblGrid>
        <w:gridCol w:w="1841"/>
        <w:gridCol w:w="602"/>
        <w:gridCol w:w="1284"/>
        <w:gridCol w:w="713"/>
        <w:gridCol w:w="1284"/>
        <w:gridCol w:w="713"/>
        <w:gridCol w:w="1284"/>
        <w:gridCol w:w="713"/>
        <w:gridCol w:w="1284"/>
      </w:tblGrid>
      <w:tr w:rsidR="0092470A" w14:paraId="5CB4ED73" w14:textId="77777777">
        <w:trPr>
          <w:trHeight w:val="770"/>
        </w:trPr>
        <w:tc>
          <w:tcPr>
            <w:tcW w:w="1707" w:type="dxa"/>
            <w:vMerge w:val="restart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7E29A6FD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b/>
                <w:sz w:val="20"/>
                <w:szCs w:val="20"/>
              </w:rPr>
              <w:lastRenderedPageBreak/>
              <w:t>Variáveis sociodemográficas</w:t>
            </w:r>
          </w:p>
        </w:tc>
        <w:tc>
          <w:tcPr>
            <w:tcW w:w="198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EF8430E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b/>
                <w:sz w:val="20"/>
                <w:szCs w:val="20"/>
              </w:rPr>
              <w:t>Comportamento financeiro</w:t>
            </w:r>
          </w:p>
        </w:tc>
        <w:tc>
          <w:tcPr>
            <w:tcW w:w="198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5312F67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b/>
                <w:sz w:val="20"/>
                <w:szCs w:val="20"/>
              </w:rPr>
              <w:t>Conhecimento financeiro</w:t>
            </w:r>
          </w:p>
        </w:tc>
        <w:tc>
          <w:tcPr>
            <w:tcW w:w="198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AF4488D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b/>
                <w:sz w:val="20"/>
                <w:szCs w:val="20"/>
              </w:rPr>
              <w:t>Atitude financeira</w:t>
            </w:r>
          </w:p>
        </w:tc>
        <w:tc>
          <w:tcPr>
            <w:tcW w:w="1980" w:type="dxa"/>
            <w:gridSpan w:val="2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vAlign w:val="center"/>
          </w:tcPr>
          <w:p w14:paraId="489023A9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b/>
                <w:sz w:val="20"/>
                <w:szCs w:val="20"/>
              </w:rPr>
              <w:t>Alfabetização financeira</w:t>
            </w:r>
          </w:p>
        </w:tc>
      </w:tr>
      <w:tr w:rsidR="0092470A" w14:paraId="65922503" w14:textId="77777777">
        <w:trPr>
          <w:trHeight w:val="260"/>
        </w:trPr>
        <w:tc>
          <w:tcPr>
            <w:tcW w:w="1707" w:type="dxa"/>
            <w:vMerge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24063390" w14:textId="77777777" w:rsidR="0092470A" w:rsidRDefault="0092470A" w:rsidP="001C2FB4">
            <w:pPr>
              <w:spacing w:line="240" w:lineRule="auto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CF4EC8A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b/>
                <w:sz w:val="20"/>
                <w:szCs w:val="20"/>
              </w:rPr>
              <w:t>Valor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7B2319B6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b/>
                <w:sz w:val="20"/>
                <w:szCs w:val="20"/>
              </w:rPr>
              <w:t>Significância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C9E4212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b/>
                <w:sz w:val="20"/>
                <w:szCs w:val="20"/>
              </w:rPr>
              <w:t>Valor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2E597632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b/>
                <w:sz w:val="20"/>
                <w:szCs w:val="20"/>
              </w:rPr>
              <w:t>Significância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91824D8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b/>
                <w:sz w:val="20"/>
                <w:szCs w:val="20"/>
              </w:rPr>
              <w:t>Valor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6E4A53A6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b/>
                <w:sz w:val="20"/>
                <w:szCs w:val="20"/>
              </w:rPr>
              <w:t>Significância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477F7B3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b/>
                <w:sz w:val="20"/>
                <w:szCs w:val="20"/>
              </w:rPr>
              <w:t>Valor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vAlign w:val="bottom"/>
          </w:tcPr>
          <w:p w14:paraId="7966532F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b/>
                <w:sz w:val="20"/>
                <w:szCs w:val="20"/>
              </w:rPr>
              <w:t>Significância</w:t>
            </w:r>
          </w:p>
        </w:tc>
      </w:tr>
      <w:tr w:rsidR="0092470A" w14:paraId="1A4AFE4E" w14:textId="77777777">
        <w:trPr>
          <w:trHeight w:val="270"/>
        </w:trPr>
        <w:tc>
          <w:tcPr>
            <w:tcW w:w="1707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50" w:type="dxa"/>
            </w:tcMar>
            <w:vAlign w:val="bottom"/>
          </w:tcPr>
          <w:p w14:paraId="32A2D682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b/>
                <w:sz w:val="20"/>
                <w:szCs w:val="20"/>
              </w:rPr>
              <w:t xml:space="preserve">Teste </w:t>
            </w:r>
            <w:r>
              <w:rPr>
                <w:rFonts w:eastAsia="Times New Roman"/>
                <w:b/>
                <w:i/>
                <w:iCs/>
                <w:sz w:val="20"/>
                <w:szCs w:val="20"/>
              </w:rPr>
              <w:t>t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vAlign w:val="bottom"/>
          </w:tcPr>
          <w:p w14:paraId="2C0BFAB7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vAlign w:val="bottom"/>
          </w:tcPr>
          <w:p w14:paraId="629E0EE0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vAlign w:val="bottom"/>
          </w:tcPr>
          <w:p w14:paraId="64ADA3C1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vAlign w:val="bottom"/>
          </w:tcPr>
          <w:p w14:paraId="74701108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vAlign w:val="bottom"/>
          </w:tcPr>
          <w:p w14:paraId="0A4A4BA8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vAlign w:val="bottom"/>
          </w:tcPr>
          <w:p w14:paraId="5F45274C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vAlign w:val="bottom"/>
          </w:tcPr>
          <w:p w14:paraId="7B018272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000000" w:fill="D9D9D9"/>
            <w:vAlign w:val="bottom"/>
          </w:tcPr>
          <w:p w14:paraId="03F64894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92470A" w14:paraId="52B72C5E" w14:textId="77777777">
        <w:trPr>
          <w:trHeight w:val="260"/>
        </w:trPr>
        <w:tc>
          <w:tcPr>
            <w:tcW w:w="1707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bottom"/>
          </w:tcPr>
          <w:p w14:paraId="4A0AB414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Gênero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17AB3085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0,511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1D711C36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0,612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1753F872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0,612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0B6EE311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0,544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3809B8C0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1,237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680172B7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0,226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1A9AD5F0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1,075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vAlign w:val="bottom"/>
          </w:tcPr>
          <w:p w14:paraId="410E0A8A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0,290</w:t>
            </w:r>
          </w:p>
        </w:tc>
      </w:tr>
      <w:tr w:rsidR="0092470A" w14:paraId="77DDFD29" w14:textId="77777777">
        <w:trPr>
          <w:trHeight w:val="260"/>
        </w:trPr>
        <w:tc>
          <w:tcPr>
            <w:tcW w:w="1707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bottom"/>
          </w:tcPr>
          <w:p w14:paraId="582E02FD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Estado civil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783592E0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-0,226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3A509BF4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0,820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417BADCB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5,630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40C70988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0,000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2EC57682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2,281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6860135E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0,023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48D3FB8D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4,420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vAlign w:val="bottom"/>
          </w:tcPr>
          <w:p w14:paraId="07663A7A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0,000</w:t>
            </w:r>
          </w:p>
        </w:tc>
      </w:tr>
      <w:tr w:rsidR="0092470A" w14:paraId="54686825" w14:textId="77777777">
        <w:trPr>
          <w:trHeight w:val="260"/>
        </w:trPr>
        <w:tc>
          <w:tcPr>
            <w:tcW w:w="1707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50" w:type="dxa"/>
            </w:tcMar>
            <w:vAlign w:val="bottom"/>
          </w:tcPr>
          <w:p w14:paraId="1A45F97F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b/>
                <w:sz w:val="20"/>
                <w:szCs w:val="20"/>
              </w:rPr>
              <w:t>ANOVA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vAlign w:val="bottom"/>
          </w:tcPr>
          <w:p w14:paraId="09812A52" w14:textId="77777777" w:rsidR="0092470A" w:rsidRDefault="0092470A" w:rsidP="001C2FB4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vAlign w:val="bottom"/>
          </w:tcPr>
          <w:p w14:paraId="3B415392" w14:textId="77777777" w:rsidR="0092470A" w:rsidRDefault="0092470A" w:rsidP="001C2FB4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vAlign w:val="bottom"/>
          </w:tcPr>
          <w:p w14:paraId="542FE254" w14:textId="77777777" w:rsidR="0092470A" w:rsidRDefault="0092470A" w:rsidP="001C2FB4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vAlign w:val="bottom"/>
          </w:tcPr>
          <w:p w14:paraId="4C0A85A2" w14:textId="77777777" w:rsidR="0092470A" w:rsidRDefault="0092470A" w:rsidP="001C2FB4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vAlign w:val="bottom"/>
          </w:tcPr>
          <w:p w14:paraId="4AB57EE1" w14:textId="77777777" w:rsidR="0092470A" w:rsidRDefault="0092470A" w:rsidP="001C2FB4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vAlign w:val="bottom"/>
          </w:tcPr>
          <w:p w14:paraId="2FD14E36" w14:textId="77777777" w:rsidR="0092470A" w:rsidRDefault="0092470A" w:rsidP="001C2FB4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vAlign w:val="bottom"/>
          </w:tcPr>
          <w:p w14:paraId="0BB24A9B" w14:textId="77777777" w:rsidR="0092470A" w:rsidRDefault="0092470A" w:rsidP="001C2FB4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000000" w:fill="D9D9D9"/>
            <w:vAlign w:val="bottom"/>
          </w:tcPr>
          <w:p w14:paraId="51E4DFBE" w14:textId="77777777" w:rsidR="0092470A" w:rsidRDefault="0092470A" w:rsidP="001C2FB4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92470A" w14:paraId="58181EFA" w14:textId="77777777">
        <w:trPr>
          <w:trHeight w:val="260"/>
        </w:trPr>
        <w:tc>
          <w:tcPr>
            <w:tcW w:w="1707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bottom"/>
          </w:tcPr>
          <w:p w14:paraId="44703167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Idade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1F240DB8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0,240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452F0264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0,625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377B9929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14,900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1BAF83C7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0,000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375F2084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5,955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576F3CC5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0,015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617B4315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13,100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vAlign w:val="bottom"/>
          </w:tcPr>
          <w:p w14:paraId="50C95D96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0,000</w:t>
            </w:r>
          </w:p>
        </w:tc>
      </w:tr>
      <w:tr w:rsidR="0092470A" w14:paraId="4ACD7B9E" w14:textId="77777777">
        <w:trPr>
          <w:trHeight w:val="260"/>
        </w:trPr>
        <w:tc>
          <w:tcPr>
            <w:tcW w:w="1707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bottom"/>
          </w:tcPr>
          <w:p w14:paraId="306954B5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Anos de estudo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53E36F35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5,641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572E1AB8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0,018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1EC3F636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50,300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5EC948A3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0,000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6AF478F1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21,950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3FD0ACB0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0,000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437DAE95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53,030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vAlign w:val="bottom"/>
          </w:tcPr>
          <w:p w14:paraId="479F7161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0,000</w:t>
            </w:r>
          </w:p>
        </w:tc>
      </w:tr>
      <w:tr w:rsidR="0092470A" w14:paraId="790CC9FB" w14:textId="77777777">
        <w:trPr>
          <w:trHeight w:val="260"/>
        </w:trPr>
        <w:tc>
          <w:tcPr>
            <w:tcW w:w="1707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bottom"/>
          </w:tcPr>
          <w:p w14:paraId="480C2D05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Salário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162803BE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1,751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18244B38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0,187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436669DA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49,120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4AF7A71D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0,000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19D2D1FD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20,320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47CE9134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0,000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5AA55DDE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46,150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vAlign w:val="bottom"/>
          </w:tcPr>
          <w:p w14:paraId="150EEFA8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0,000</w:t>
            </w:r>
          </w:p>
        </w:tc>
      </w:tr>
      <w:tr w:rsidR="0092470A" w14:paraId="7B77D7AB" w14:textId="77777777">
        <w:trPr>
          <w:trHeight w:val="260"/>
        </w:trPr>
        <w:tc>
          <w:tcPr>
            <w:tcW w:w="1707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bottom"/>
          </w:tcPr>
          <w:p w14:paraId="7AADAD19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Número de filhos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73D68F4A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0,587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094409CA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0,444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12384042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12,930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1305EE75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0,000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6599C71C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0,152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57785762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0,697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3EBD3F1E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sz w:val="20"/>
                <w:szCs w:val="20"/>
              </w:rPr>
              <w:t>5,229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vAlign w:val="bottom"/>
          </w:tcPr>
          <w:p w14:paraId="7D2B26AE" w14:textId="77777777" w:rsidR="0092470A" w:rsidRDefault="00000000" w:rsidP="001C2FB4">
            <w:pPr>
              <w:spacing w:line="240" w:lineRule="auto"/>
            </w:pPr>
            <w:bookmarkStart w:id="7" w:name="_Hlk130648068"/>
            <w:bookmarkEnd w:id="7"/>
            <w:r>
              <w:rPr>
                <w:rFonts w:eastAsia="Times New Roman"/>
                <w:sz w:val="20"/>
                <w:szCs w:val="20"/>
              </w:rPr>
              <w:t>0,023</w:t>
            </w:r>
          </w:p>
        </w:tc>
      </w:tr>
    </w:tbl>
    <w:p w14:paraId="3F99C211" w14:textId="77777777" w:rsidR="0092470A" w:rsidRPr="001C2FB4" w:rsidRDefault="00000000" w:rsidP="0020059C">
      <w:pPr>
        <w:rPr>
          <w:sz w:val="22"/>
          <w:szCs w:val="20"/>
        </w:rPr>
      </w:pPr>
      <w:r w:rsidRPr="001C2FB4">
        <w:rPr>
          <w:sz w:val="20"/>
          <w:szCs w:val="20"/>
        </w:rPr>
        <w:t>Fonte: Dados da pesquisa (2023).</w:t>
      </w:r>
    </w:p>
    <w:p w14:paraId="08B6E543" w14:textId="77777777" w:rsidR="0092470A" w:rsidRDefault="0092470A" w:rsidP="0020059C"/>
    <w:p w14:paraId="6B860212" w14:textId="77777777" w:rsidR="0092470A" w:rsidRDefault="00000000" w:rsidP="0020059C">
      <w:bookmarkStart w:id="8" w:name="_Toc106029529"/>
      <w:bookmarkStart w:id="9" w:name="_Toc106029596"/>
      <w:bookmarkStart w:id="10" w:name="_Toc106029614"/>
      <w:bookmarkStart w:id="11" w:name="_Toc106030539"/>
      <w:r>
        <w:tab/>
        <w:t xml:space="preserve">Para relacionar os fatores sociodemográficos gênero, idade, estado civil, quantidade de filhos, grau de escolaridade e renda à alfabetização financeira do público estudado foi composto o modelo da regressão múltipla pelo método </w:t>
      </w:r>
      <w:bookmarkEnd w:id="8"/>
      <w:bookmarkEnd w:id="9"/>
      <w:bookmarkEnd w:id="10"/>
      <w:bookmarkEnd w:id="11"/>
      <w:r>
        <w:t>Mínimos Quadrados Ordinários (MQO).</w:t>
      </w:r>
    </w:p>
    <w:p w14:paraId="0F0A585D" w14:textId="77777777" w:rsidR="0092470A" w:rsidRDefault="00000000" w:rsidP="0020059C">
      <w:r>
        <w:tab/>
        <w:t>Com vistas a diminuir o intercepto e permitir estabelecer relações não lineares entre a variável explicada e as variáveis idade e salário, originando uma caracterização melhor de como essas variáveis explicativas influenciam a alfabetização financeira, buscou-se estimar uma regressão utilizando porcentagem, com logaritmo nas variáveis idade e salário. Dessa forma, foi obtida a equação [4]</w:t>
      </w:r>
    </w:p>
    <w:p w14:paraId="044091AB" w14:textId="77777777" w:rsidR="0092470A" w:rsidRDefault="00000000" w:rsidP="0020059C">
      <w:proofErr w:type="spellStart"/>
      <w:r>
        <w:rPr>
          <w:rFonts w:eastAsia="CambriaMath"/>
          <w:i/>
          <w:iCs/>
        </w:rPr>
        <w:t>ALFi</w:t>
      </w:r>
      <w:proofErr w:type="spellEnd"/>
      <w:r>
        <w:rPr>
          <w:rFonts w:eastAsia="CambriaMath"/>
          <w:i/>
          <w:iCs/>
        </w:rPr>
        <w:t xml:space="preserve"> = </w:t>
      </w:r>
      <w:r>
        <w:rPr>
          <w:i/>
          <w:iCs/>
          <w:shd w:val="clear" w:color="auto" w:fill="FFFFFF"/>
        </w:rPr>
        <w:t>0,69 - 0,01 idade + 0,13 log(gênero) + 0,05 anos de estudo + 0,16 log(salário)</w:t>
      </w:r>
    </w:p>
    <w:p w14:paraId="3C20FE0D" w14:textId="77777777" w:rsidR="0092470A" w:rsidRDefault="00000000" w:rsidP="0020059C">
      <w:r>
        <w:rPr>
          <w:shd w:val="clear" w:color="auto" w:fill="FFFFFF"/>
        </w:rPr>
        <w:t xml:space="preserve">                (0,558)</w:t>
      </w:r>
      <w:proofErr w:type="gramStart"/>
      <w:r>
        <w:rPr>
          <w:shd w:val="clear" w:color="auto" w:fill="FFFFFF"/>
        </w:rPr>
        <w:t xml:space="preserve">   (</w:t>
      </w:r>
      <w:proofErr w:type="gramEnd"/>
      <w:r>
        <w:rPr>
          <w:shd w:val="clear" w:color="auto" w:fill="FFFFFF"/>
        </w:rPr>
        <w:t>0,112)               (0,097)                   (0,017)                        (0,074)</w:t>
      </w:r>
    </w:p>
    <w:p w14:paraId="58BF03A6" w14:textId="77777777" w:rsidR="0092470A" w:rsidRDefault="00000000" w:rsidP="0020059C">
      <w:r>
        <w:rPr>
          <w:i/>
          <w:iCs/>
          <w:shd w:val="clear" w:color="auto" w:fill="FFFFFF"/>
        </w:rPr>
        <w:t xml:space="preserve">           – 0,14 estado civil – 0,05 número de filhos</w:t>
      </w:r>
      <w:r>
        <w:rPr>
          <w:shd w:val="clear" w:color="auto" w:fill="FFFFFF"/>
        </w:rPr>
        <w:t xml:space="preserve"> </w:t>
      </w:r>
      <w:r>
        <w:rPr>
          <w:rFonts w:eastAsia="CambriaMath"/>
        </w:rPr>
        <w:t xml:space="preserve">                    </w:t>
      </w:r>
      <w:proofErr w:type="gramStart"/>
      <w:r>
        <w:rPr>
          <w:rFonts w:eastAsia="CambriaMath"/>
        </w:rPr>
        <w:t xml:space="preserve">   </w:t>
      </w:r>
      <w:r>
        <w:rPr>
          <w:shd w:val="clear" w:color="auto" w:fill="FFFFFF"/>
        </w:rPr>
        <w:t>[</w:t>
      </w:r>
      <w:proofErr w:type="gramEnd"/>
      <w:r>
        <w:rPr>
          <w:shd w:val="clear" w:color="auto" w:fill="FFFFFF"/>
        </w:rPr>
        <w:t>4]</w:t>
      </w:r>
    </w:p>
    <w:p w14:paraId="32FBE9B9" w14:textId="77777777" w:rsidR="0092470A" w:rsidRDefault="00000000" w:rsidP="0020059C">
      <w:r>
        <w:rPr>
          <w:shd w:val="clear" w:color="auto" w:fill="FFFFFF"/>
        </w:rPr>
        <w:t xml:space="preserve">                   (0,089)                     </w:t>
      </w:r>
      <w:proofErr w:type="gramStart"/>
      <w:r>
        <w:rPr>
          <w:shd w:val="clear" w:color="auto" w:fill="FFFFFF"/>
        </w:rPr>
        <w:t xml:space="preserve">  </w:t>
      </w:r>
      <w:r>
        <w:t xml:space="preserve"> </w:t>
      </w:r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>0,043)</w:t>
      </w:r>
    </w:p>
    <w:p w14:paraId="54C6C010" w14:textId="77777777" w:rsidR="0092470A" w:rsidRDefault="00000000" w:rsidP="0020059C">
      <w:r>
        <w:t>n = 226</w:t>
      </w:r>
    </w:p>
    <w:p w14:paraId="67C2FBD4" w14:textId="77777777" w:rsidR="0092470A" w:rsidRDefault="00000000" w:rsidP="0020059C">
      <w:r>
        <w:t>R² = 0,237            R² ajustado = 0,216</w:t>
      </w:r>
    </w:p>
    <w:p w14:paraId="4D3F7992" w14:textId="77777777" w:rsidR="0092470A" w:rsidRDefault="00000000" w:rsidP="0020059C">
      <w:r>
        <w:tab/>
        <w:t>Diante do resultado da equação [4], nota-se que as variáveis independentes explicam 21,6% da variável dependente. A partir do teste F, encontrou-se uma significância de 11,38 e p-valor de 0,000, o que exprime que no mínimo, uma variável independente exerce influência sobre a alfabetização financeira (variável dependente).</w:t>
      </w:r>
    </w:p>
    <w:p w14:paraId="1727B786" w14:textId="77777777" w:rsidR="0092470A" w:rsidRDefault="00000000" w:rsidP="0020059C">
      <w:r>
        <w:lastRenderedPageBreak/>
        <w:tab/>
        <w:t xml:space="preserve">Em relação à autocorrelação serial, verificou-se inexistência, visto que o teste </w:t>
      </w:r>
      <w:proofErr w:type="spellStart"/>
      <w:r>
        <w:t>Durbin</w:t>
      </w:r>
      <w:proofErr w:type="spellEnd"/>
      <w:r>
        <w:t xml:space="preserve"> Watson estimou o valor de 1,996, pertencendo ao intervalo considerado adequado de</w:t>
      </w:r>
      <w:r>
        <w:rPr>
          <w:rFonts w:eastAsia="Times New Roman"/>
        </w:rPr>
        <w:t xml:space="preserve"> 1,824&lt;d&lt;2,118.</w:t>
      </w:r>
    </w:p>
    <w:p w14:paraId="69B84F37" w14:textId="77777777" w:rsidR="0092470A" w:rsidRDefault="00000000" w:rsidP="0020059C">
      <w:r>
        <w:rPr>
          <w:rFonts w:eastAsia="Times New Roman"/>
        </w:rPr>
        <w:tab/>
        <w:t>A seguir estão os resultados do fator de inflação da variância (FIV) da regressão:</w:t>
      </w:r>
    </w:p>
    <w:p w14:paraId="1E3667AE" w14:textId="77777777" w:rsidR="0092470A" w:rsidRPr="001C2FB4" w:rsidRDefault="00000000" w:rsidP="001C2FB4">
      <w:pPr>
        <w:jc w:val="center"/>
        <w:rPr>
          <w:sz w:val="22"/>
          <w:szCs w:val="20"/>
        </w:rPr>
      </w:pPr>
      <w:r w:rsidRPr="001C2FB4">
        <w:rPr>
          <w:rFonts w:eastAsia="Times New Roman"/>
          <w:b/>
          <w:bCs/>
          <w:sz w:val="22"/>
          <w:szCs w:val="20"/>
        </w:rPr>
        <w:t>Tabela 8 –</w:t>
      </w:r>
      <w:r w:rsidRPr="001C2FB4">
        <w:rPr>
          <w:rFonts w:eastAsia="Times New Roman"/>
          <w:sz w:val="22"/>
          <w:szCs w:val="20"/>
        </w:rPr>
        <w:t xml:space="preserve"> Fator de inflação da variância</w:t>
      </w:r>
    </w:p>
    <w:tbl>
      <w:tblPr>
        <w:tblW w:w="7074" w:type="dxa"/>
        <w:jc w:val="center"/>
        <w:tblBorders>
          <w:top w:val="single" w:sz="4" w:space="0" w:color="00000A"/>
          <w:left w:val="single" w:sz="4" w:space="0" w:color="FFFFFF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0" w:type="dxa"/>
          <w:right w:w="70" w:type="dxa"/>
        </w:tblCellMar>
        <w:tblLook w:val="04A0" w:firstRow="1" w:lastRow="0" w:firstColumn="1" w:lastColumn="0" w:noHBand="0" w:noVBand="1"/>
      </w:tblPr>
      <w:tblGrid>
        <w:gridCol w:w="2707"/>
        <w:gridCol w:w="2761"/>
        <w:gridCol w:w="1606"/>
      </w:tblGrid>
      <w:tr w:rsidR="0092470A" w14:paraId="6136F018" w14:textId="77777777">
        <w:trPr>
          <w:trHeight w:val="453"/>
          <w:jc w:val="center"/>
        </w:trPr>
        <w:tc>
          <w:tcPr>
            <w:tcW w:w="2707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28343C07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b/>
                <w:color w:val="000000"/>
                <w:sz w:val="20"/>
                <w:szCs w:val="20"/>
              </w:rPr>
              <w:t>VARIÁVEIS</w:t>
            </w:r>
          </w:p>
        </w:tc>
        <w:tc>
          <w:tcPr>
            <w:tcW w:w="2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6EFACC2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b/>
                <w:color w:val="000000"/>
                <w:sz w:val="20"/>
                <w:szCs w:val="20"/>
              </w:rPr>
              <w:t>COEFICIENTES</w:t>
            </w:r>
          </w:p>
        </w:tc>
        <w:tc>
          <w:tcPr>
            <w:tcW w:w="1606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vAlign w:val="center"/>
          </w:tcPr>
          <w:p w14:paraId="63C394F9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b/>
                <w:color w:val="000000"/>
                <w:sz w:val="20"/>
                <w:szCs w:val="20"/>
              </w:rPr>
              <w:t>FIV</w:t>
            </w:r>
          </w:p>
        </w:tc>
      </w:tr>
      <w:tr w:rsidR="0092470A" w14:paraId="46A19F9A" w14:textId="77777777">
        <w:trPr>
          <w:trHeight w:val="453"/>
          <w:jc w:val="center"/>
        </w:trPr>
        <w:tc>
          <w:tcPr>
            <w:tcW w:w="2707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13A5A82E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</w:rPr>
              <w:t>Idade</w:t>
            </w:r>
          </w:p>
        </w:tc>
        <w:tc>
          <w:tcPr>
            <w:tcW w:w="2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531AFEC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</w:rPr>
              <w:t>-0,01</w:t>
            </w:r>
          </w:p>
        </w:tc>
        <w:tc>
          <w:tcPr>
            <w:tcW w:w="1606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vAlign w:val="center"/>
          </w:tcPr>
          <w:p w14:paraId="6E36C7F3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</w:rPr>
              <w:t>1,965</w:t>
            </w:r>
          </w:p>
        </w:tc>
      </w:tr>
      <w:tr w:rsidR="0092470A" w14:paraId="43149D92" w14:textId="77777777">
        <w:trPr>
          <w:trHeight w:val="453"/>
          <w:jc w:val="center"/>
        </w:trPr>
        <w:tc>
          <w:tcPr>
            <w:tcW w:w="2707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4174A732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</w:rPr>
              <w:t>Gênero</w:t>
            </w:r>
          </w:p>
        </w:tc>
        <w:tc>
          <w:tcPr>
            <w:tcW w:w="2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33EF13F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</w:rPr>
              <w:t>0,13</w:t>
            </w:r>
          </w:p>
        </w:tc>
        <w:tc>
          <w:tcPr>
            <w:tcW w:w="1606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vAlign w:val="center"/>
          </w:tcPr>
          <w:p w14:paraId="10B9CDB0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</w:rPr>
              <w:t>1,133</w:t>
            </w:r>
          </w:p>
        </w:tc>
      </w:tr>
      <w:tr w:rsidR="0092470A" w14:paraId="48BA3EBD" w14:textId="77777777">
        <w:trPr>
          <w:trHeight w:val="453"/>
          <w:jc w:val="center"/>
        </w:trPr>
        <w:tc>
          <w:tcPr>
            <w:tcW w:w="2707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08EDD291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</w:rPr>
              <w:t>Anos de estudo</w:t>
            </w:r>
          </w:p>
        </w:tc>
        <w:tc>
          <w:tcPr>
            <w:tcW w:w="2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6B3C710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1606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vAlign w:val="center"/>
          </w:tcPr>
          <w:p w14:paraId="59E8881A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</w:rPr>
              <w:t>2,22</w:t>
            </w:r>
          </w:p>
        </w:tc>
      </w:tr>
      <w:tr w:rsidR="0092470A" w14:paraId="666412DD" w14:textId="77777777">
        <w:trPr>
          <w:trHeight w:val="453"/>
          <w:jc w:val="center"/>
        </w:trPr>
        <w:tc>
          <w:tcPr>
            <w:tcW w:w="2707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2C05A4B7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</w:rPr>
              <w:t>Salário</w:t>
            </w:r>
          </w:p>
        </w:tc>
        <w:tc>
          <w:tcPr>
            <w:tcW w:w="2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F8CC1F7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</w:rPr>
              <w:t>0,16</w:t>
            </w:r>
          </w:p>
        </w:tc>
        <w:tc>
          <w:tcPr>
            <w:tcW w:w="1606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vAlign w:val="center"/>
          </w:tcPr>
          <w:p w14:paraId="05FA177F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</w:rPr>
              <w:t>3,061</w:t>
            </w:r>
          </w:p>
        </w:tc>
      </w:tr>
      <w:tr w:rsidR="0092470A" w14:paraId="0BD9DF6D" w14:textId="77777777">
        <w:trPr>
          <w:trHeight w:val="453"/>
          <w:jc w:val="center"/>
        </w:trPr>
        <w:tc>
          <w:tcPr>
            <w:tcW w:w="2707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28349D2D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</w:rPr>
              <w:t>Estado civil</w:t>
            </w:r>
          </w:p>
        </w:tc>
        <w:tc>
          <w:tcPr>
            <w:tcW w:w="2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57E889D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</w:rPr>
              <w:t>-0,14</w:t>
            </w:r>
          </w:p>
        </w:tc>
        <w:tc>
          <w:tcPr>
            <w:tcW w:w="1606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vAlign w:val="center"/>
          </w:tcPr>
          <w:p w14:paraId="624BAA87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</w:rPr>
              <w:t>2,381</w:t>
            </w:r>
          </w:p>
        </w:tc>
      </w:tr>
      <w:tr w:rsidR="0092470A" w14:paraId="63819345" w14:textId="77777777">
        <w:trPr>
          <w:trHeight w:val="453"/>
          <w:jc w:val="center"/>
        </w:trPr>
        <w:tc>
          <w:tcPr>
            <w:tcW w:w="2707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405D1F08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</w:rPr>
              <w:t>Número de filhos</w:t>
            </w:r>
          </w:p>
        </w:tc>
        <w:tc>
          <w:tcPr>
            <w:tcW w:w="2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F7C45DB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</w:rPr>
              <w:t>-0,05</w:t>
            </w:r>
          </w:p>
        </w:tc>
        <w:tc>
          <w:tcPr>
            <w:tcW w:w="1606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vAlign w:val="center"/>
          </w:tcPr>
          <w:p w14:paraId="6D90B521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</w:rPr>
              <w:t>1,844</w:t>
            </w:r>
          </w:p>
        </w:tc>
      </w:tr>
    </w:tbl>
    <w:p w14:paraId="7CFBA7A3" w14:textId="77777777" w:rsidR="0092470A" w:rsidRPr="001C2FB4" w:rsidRDefault="00000000" w:rsidP="0020059C">
      <w:pPr>
        <w:rPr>
          <w:sz w:val="22"/>
          <w:szCs w:val="20"/>
        </w:rPr>
      </w:pPr>
      <w:r w:rsidRPr="001C2FB4">
        <w:rPr>
          <w:sz w:val="20"/>
          <w:szCs w:val="20"/>
        </w:rPr>
        <w:t xml:space="preserve">                  Fonte: Dados da pesquisa (2023).</w:t>
      </w:r>
    </w:p>
    <w:p w14:paraId="0A5FF713" w14:textId="77777777" w:rsidR="0092470A" w:rsidRDefault="00000000" w:rsidP="0020059C">
      <w:r>
        <w:rPr>
          <w:szCs w:val="28"/>
        </w:rPr>
        <w:tab/>
        <w:t xml:space="preserve">Como se pode notar na Tabela 8, a equação não apresenta problemas de </w:t>
      </w:r>
      <w:proofErr w:type="spellStart"/>
      <w:r>
        <w:rPr>
          <w:szCs w:val="28"/>
        </w:rPr>
        <w:t>multicolinearidade</w:t>
      </w:r>
      <w:proofErr w:type="spellEnd"/>
      <w:r>
        <w:rPr>
          <w:szCs w:val="28"/>
        </w:rPr>
        <w:t>, visto sua proximidade a 1. Portanto, as correlações presentes não são o suficiente para a detecção de viés na estimativa.</w:t>
      </w:r>
    </w:p>
    <w:p w14:paraId="1E963DB7" w14:textId="77777777" w:rsidR="0092470A" w:rsidRDefault="00000000" w:rsidP="0020059C">
      <w:r>
        <w:rPr>
          <w:szCs w:val="28"/>
        </w:rPr>
        <w:tab/>
        <w:t xml:space="preserve">Por fim, foi calculado o p-valor de cada variável independente para testar significância das hipóteses, conforme a Tabela 9. </w:t>
      </w:r>
    </w:p>
    <w:p w14:paraId="6168D923" w14:textId="77777777" w:rsidR="0092470A" w:rsidRDefault="00000000" w:rsidP="001C2FB4">
      <w:pPr>
        <w:jc w:val="center"/>
      </w:pPr>
      <w:r w:rsidRPr="001C2FB4">
        <w:rPr>
          <w:b/>
          <w:bCs/>
          <w:caps/>
          <w:sz w:val="22"/>
          <w:szCs w:val="24"/>
        </w:rPr>
        <w:t>T</w:t>
      </w:r>
      <w:r w:rsidRPr="001C2FB4">
        <w:rPr>
          <w:b/>
          <w:bCs/>
          <w:sz w:val="22"/>
          <w:szCs w:val="24"/>
        </w:rPr>
        <w:t>abela 9 –</w:t>
      </w:r>
      <w:r w:rsidRPr="001C2FB4">
        <w:rPr>
          <w:sz w:val="22"/>
          <w:szCs w:val="24"/>
        </w:rPr>
        <w:t xml:space="preserve"> P-valor das variáveis independentes</w:t>
      </w:r>
    </w:p>
    <w:tbl>
      <w:tblPr>
        <w:tblW w:w="6575" w:type="dxa"/>
        <w:jc w:val="center"/>
        <w:tblBorders>
          <w:top w:val="single" w:sz="4" w:space="0" w:color="00000A"/>
          <w:left w:val="single" w:sz="4" w:space="0" w:color="FFFFFF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0" w:type="dxa"/>
          <w:right w:w="70" w:type="dxa"/>
        </w:tblCellMar>
        <w:tblLook w:val="04A0" w:firstRow="1" w:lastRow="0" w:firstColumn="1" w:lastColumn="0" w:noHBand="0" w:noVBand="1"/>
      </w:tblPr>
      <w:tblGrid>
        <w:gridCol w:w="2347"/>
        <w:gridCol w:w="2398"/>
        <w:gridCol w:w="1830"/>
      </w:tblGrid>
      <w:tr w:rsidR="0092470A" w14:paraId="1E6EFCDF" w14:textId="77777777">
        <w:trPr>
          <w:trHeight w:val="415"/>
          <w:jc w:val="center"/>
        </w:trPr>
        <w:tc>
          <w:tcPr>
            <w:tcW w:w="2347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0E5EFE57" w14:textId="77777777" w:rsidR="0092470A" w:rsidRDefault="00000000" w:rsidP="0020059C">
            <w:r>
              <w:rPr>
                <w:rFonts w:eastAsia="Times New Roman"/>
                <w:b/>
                <w:color w:val="000000"/>
                <w:sz w:val="20"/>
                <w:szCs w:val="20"/>
              </w:rPr>
              <w:t>VARIÁVEIS</w:t>
            </w:r>
          </w:p>
        </w:tc>
        <w:tc>
          <w:tcPr>
            <w:tcW w:w="2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D501549" w14:textId="77777777" w:rsidR="0092470A" w:rsidRDefault="00000000" w:rsidP="0020059C">
            <w:r>
              <w:rPr>
                <w:rFonts w:eastAsia="Times New Roman"/>
                <w:b/>
                <w:color w:val="000000"/>
                <w:sz w:val="20"/>
                <w:szCs w:val="20"/>
              </w:rPr>
              <w:t>COEFICIENTES</w:t>
            </w:r>
          </w:p>
        </w:tc>
        <w:tc>
          <w:tcPr>
            <w:tcW w:w="1830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vAlign w:val="center"/>
          </w:tcPr>
          <w:p w14:paraId="344D8EE0" w14:textId="77777777" w:rsidR="0092470A" w:rsidRDefault="00000000" w:rsidP="0020059C">
            <w:r>
              <w:rPr>
                <w:rFonts w:eastAsia="Times New Roman"/>
                <w:b/>
                <w:color w:val="000000"/>
                <w:sz w:val="20"/>
                <w:szCs w:val="20"/>
              </w:rPr>
              <w:t>P-VALOR</w:t>
            </w:r>
          </w:p>
        </w:tc>
      </w:tr>
      <w:tr w:rsidR="0092470A" w14:paraId="0C60A234" w14:textId="77777777">
        <w:trPr>
          <w:trHeight w:val="415"/>
          <w:jc w:val="center"/>
        </w:trPr>
        <w:tc>
          <w:tcPr>
            <w:tcW w:w="2347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22E7B428" w14:textId="77777777" w:rsidR="0092470A" w:rsidRDefault="00000000" w:rsidP="0020059C">
            <w:r>
              <w:rPr>
                <w:rFonts w:eastAsia="Times New Roman"/>
                <w:color w:val="000000"/>
                <w:sz w:val="20"/>
                <w:szCs w:val="20"/>
              </w:rPr>
              <w:t>Idade</w:t>
            </w:r>
          </w:p>
        </w:tc>
        <w:tc>
          <w:tcPr>
            <w:tcW w:w="2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DF71E66" w14:textId="77777777" w:rsidR="0092470A" w:rsidRDefault="00000000" w:rsidP="0020059C">
            <w:r>
              <w:rPr>
                <w:rFonts w:eastAsia="Times New Roman"/>
                <w:color w:val="000000"/>
                <w:sz w:val="20"/>
                <w:szCs w:val="20"/>
              </w:rPr>
              <w:t>-0,01</w:t>
            </w:r>
          </w:p>
        </w:tc>
        <w:tc>
          <w:tcPr>
            <w:tcW w:w="1830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vAlign w:val="center"/>
          </w:tcPr>
          <w:p w14:paraId="7C560DE9" w14:textId="77777777" w:rsidR="0092470A" w:rsidRDefault="00000000" w:rsidP="0020059C">
            <w:r>
              <w:rPr>
                <w:rFonts w:eastAsia="Times New Roman"/>
                <w:color w:val="000000"/>
                <w:sz w:val="20"/>
                <w:szCs w:val="20"/>
              </w:rPr>
              <w:t>0,874</w:t>
            </w:r>
          </w:p>
        </w:tc>
      </w:tr>
      <w:tr w:rsidR="0092470A" w14:paraId="4E402FF1" w14:textId="77777777">
        <w:trPr>
          <w:trHeight w:val="415"/>
          <w:jc w:val="center"/>
        </w:trPr>
        <w:tc>
          <w:tcPr>
            <w:tcW w:w="2347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723B506C" w14:textId="77777777" w:rsidR="0092470A" w:rsidRDefault="00000000" w:rsidP="0020059C">
            <w:r>
              <w:rPr>
                <w:rFonts w:eastAsia="Times New Roman"/>
                <w:color w:val="000000"/>
                <w:sz w:val="20"/>
                <w:szCs w:val="20"/>
              </w:rPr>
              <w:t>Gênero</w:t>
            </w:r>
          </w:p>
        </w:tc>
        <w:tc>
          <w:tcPr>
            <w:tcW w:w="2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8892D87" w14:textId="77777777" w:rsidR="0092470A" w:rsidRDefault="00000000" w:rsidP="0020059C">
            <w:r>
              <w:rPr>
                <w:rFonts w:eastAsia="Times New Roman"/>
                <w:color w:val="000000"/>
                <w:sz w:val="20"/>
                <w:szCs w:val="20"/>
              </w:rPr>
              <w:t>0,13</w:t>
            </w:r>
          </w:p>
        </w:tc>
        <w:tc>
          <w:tcPr>
            <w:tcW w:w="1830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vAlign w:val="center"/>
          </w:tcPr>
          <w:p w14:paraId="71A47C44" w14:textId="77777777" w:rsidR="0092470A" w:rsidRDefault="00000000" w:rsidP="0020059C">
            <w:r>
              <w:rPr>
                <w:rFonts w:eastAsia="Times New Roman"/>
                <w:color w:val="000000"/>
                <w:sz w:val="20"/>
                <w:szCs w:val="20"/>
              </w:rPr>
              <w:t>0,164</w:t>
            </w:r>
          </w:p>
        </w:tc>
      </w:tr>
      <w:tr w:rsidR="0092470A" w14:paraId="382E75AD" w14:textId="77777777">
        <w:trPr>
          <w:trHeight w:val="415"/>
          <w:jc w:val="center"/>
        </w:trPr>
        <w:tc>
          <w:tcPr>
            <w:tcW w:w="2347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0F7C187B" w14:textId="77777777" w:rsidR="0092470A" w:rsidRDefault="00000000" w:rsidP="0020059C">
            <w:r>
              <w:rPr>
                <w:rFonts w:eastAsia="Times New Roman"/>
                <w:color w:val="000000"/>
                <w:sz w:val="20"/>
                <w:szCs w:val="20"/>
              </w:rPr>
              <w:t>Anos de estudo</w:t>
            </w:r>
          </w:p>
        </w:tc>
        <w:tc>
          <w:tcPr>
            <w:tcW w:w="2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6C3D7B0" w14:textId="77777777" w:rsidR="0092470A" w:rsidRDefault="00000000" w:rsidP="0020059C">
            <w:r>
              <w:rPr>
                <w:rFonts w:eastAsia="Times New Roman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1830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vAlign w:val="center"/>
          </w:tcPr>
          <w:p w14:paraId="42364CD6" w14:textId="77777777" w:rsidR="0092470A" w:rsidRDefault="00000000" w:rsidP="0020059C">
            <w:r>
              <w:rPr>
                <w:rFonts w:eastAsia="Times New Roman"/>
                <w:color w:val="000000"/>
                <w:sz w:val="20"/>
                <w:szCs w:val="20"/>
              </w:rPr>
              <w:t>0,001</w:t>
            </w:r>
          </w:p>
        </w:tc>
      </w:tr>
      <w:tr w:rsidR="0092470A" w14:paraId="3BD4E127" w14:textId="77777777">
        <w:trPr>
          <w:trHeight w:val="415"/>
          <w:jc w:val="center"/>
        </w:trPr>
        <w:tc>
          <w:tcPr>
            <w:tcW w:w="2347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69652FB5" w14:textId="77777777" w:rsidR="0092470A" w:rsidRDefault="00000000" w:rsidP="0020059C">
            <w:r>
              <w:rPr>
                <w:rFonts w:eastAsia="Times New Roman"/>
                <w:color w:val="000000"/>
                <w:sz w:val="20"/>
                <w:szCs w:val="20"/>
              </w:rPr>
              <w:t>Salário</w:t>
            </w:r>
          </w:p>
        </w:tc>
        <w:tc>
          <w:tcPr>
            <w:tcW w:w="2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9E425FE" w14:textId="77777777" w:rsidR="0092470A" w:rsidRDefault="00000000" w:rsidP="0020059C">
            <w:r>
              <w:rPr>
                <w:rFonts w:eastAsia="Times New Roman"/>
                <w:color w:val="000000"/>
                <w:sz w:val="20"/>
                <w:szCs w:val="20"/>
              </w:rPr>
              <w:t>0,16</w:t>
            </w:r>
          </w:p>
        </w:tc>
        <w:tc>
          <w:tcPr>
            <w:tcW w:w="1830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vAlign w:val="center"/>
          </w:tcPr>
          <w:p w14:paraId="7092690C" w14:textId="77777777" w:rsidR="0092470A" w:rsidRDefault="00000000" w:rsidP="0020059C">
            <w:r>
              <w:rPr>
                <w:rFonts w:eastAsia="Times New Roman"/>
                <w:color w:val="000000"/>
                <w:sz w:val="20"/>
                <w:szCs w:val="20"/>
              </w:rPr>
              <w:t>0,027</w:t>
            </w:r>
          </w:p>
        </w:tc>
      </w:tr>
      <w:tr w:rsidR="0092470A" w14:paraId="74CBF730" w14:textId="77777777">
        <w:trPr>
          <w:trHeight w:val="415"/>
          <w:jc w:val="center"/>
        </w:trPr>
        <w:tc>
          <w:tcPr>
            <w:tcW w:w="2347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70CE6F4E" w14:textId="77777777" w:rsidR="0092470A" w:rsidRDefault="00000000" w:rsidP="0020059C">
            <w:r>
              <w:rPr>
                <w:rFonts w:eastAsia="Times New Roman"/>
                <w:color w:val="000000"/>
                <w:sz w:val="20"/>
                <w:szCs w:val="20"/>
              </w:rPr>
              <w:t>Estado civil</w:t>
            </w:r>
          </w:p>
        </w:tc>
        <w:tc>
          <w:tcPr>
            <w:tcW w:w="2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A90F0E2" w14:textId="77777777" w:rsidR="0092470A" w:rsidRDefault="00000000" w:rsidP="0020059C">
            <w:r>
              <w:rPr>
                <w:rFonts w:eastAsia="Times New Roman"/>
                <w:color w:val="000000"/>
                <w:sz w:val="20"/>
                <w:szCs w:val="20"/>
              </w:rPr>
              <w:t>-0,14</w:t>
            </w:r>
          </w:p>
        </w:tc>
        <w:tc>
          <w:tcPr>
            <w:tcW w:w="1830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vAlign w:val="center"/>
          </w:tcPr>
          <w:p w14:paraId="6575D728" w14:textId="77777777" w:rsidR="0092470A" w:rsidRDefault="00000000" w:rsidP="0020059C">
            <w:r>
              <w:rPr>
                <w:rFonts w:eastAsia="Times New Roman"/>
                <w:color w:val="000000"/>
                <w:sz w:val="20"/>
                <w:szCs w:val="20"/>
              </w:rPr>
              <w:t>0,111</w:t>
            </w:r>
          </w:p>
        </w:tc>
      </w:tr>
      <w:tr w:rsidR="0092470A" w14:paraId="4D7289F7" w14:textId="77777777">
        <w:trPr>
          <w:trHeight w:val="415"/>
          <w:jc w:val="center"/>
        </w:trPr>
        <w:tc>
          <w:tcPr>
            <w:tcW w:w="2347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4FD6EE96" w14:textId="77777777" w:rsidR="0092470A" w:rsidRDefault="00000000" w:rsidP="0020059C">
            <w:r>
              <w:rPr>
                <w:rFonts w:eastAsia="Times New Roman"/>
                <w:color w:val="000000"/>
                <w:sz w:val="20"/>
                <w:szCs w:val="20"/>
              </w:rPr>
              <w:t>Número de filhos</w:t>
            </w:r>
          </w:p>
        </w:tc>
        <w:tc>
          <w:tcPr>
            <w:tcW w:w="2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38BDDF7" w14:textId="77777777" w:rsidR="0092470A" w:rsidRDefault="00000000" w:rsidP="0020059C">
            <w:r>
              <w:rPr>
                <w:rFonts w:eastAsia="Times New Roman"/>
                <w:color w:val="000000"/>
                <w:sz w:val="20"/>
                <w:szCs w:val="20"/>
              </w:rPr>
              <w:t>-0,05</w:t>
            </w:r>
          </w:p>
        </w:tc>
        <w:tc>
          <w:tcPr>
            <w:tcW w:w="1830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vAlign w:val="center"/>
          </w:tcPr>
          <w:p w14:paraId="27CF0EAB" w14:textId="77777777" w:rsidR="0092470A" w:rsidRDefault="00000000" w:rsidP="0020059C">
            <w:r>
              <w:rPr>
                <w:rFonts w:eastAsia="Times New Roman"/>
                <w:color w:val="000000"/>
                <w:sz w:val="20"/>
                <w:szCs w:val="20"/>
              </w:rPr>
              <w:t>0,225</w:t>
            </w:r>
          </w:p>
        </w:tc>
      </w:tr>
    </w:tbl>
    <w:p w14:paraId="3E23AC63" w14:textId="77777777" w:rsidR="0092470A" w:rsidRDefault="00000000" w:rsidP="0020059C">
      <w:r>
        <w:rPr>
          <w:sz w:val="22"/>
        </w:rPr>
        <w:t xml:space="preserve">                       Fonte: Dados da pesquisa (2023).</w:t>
      </w:r>
    </w:p>
    <w:p w14:paraId="01CB2B30" w14:textId="77777777" w:rsidR="0092470A" w:rsidRDefault="00000000" w:rsidP="0020059C">
      <w:r>
        <w:rPr>
          <w:szCs w:val="28"/>
        </w:rPr>
        <w:tab/>
        <w:t>Utilizando-se teste bicaudal, foi possível observar que a um nível de significância de 90%, duas hipóteses H</w:t>
      </w:r>
      <w:r>
        <w:rPr>
          <w:rFonts w:eastAsia="Times New Roman"/>
          <w:color w:val="000000"/>
        </w:rPr>
        <w:t>₀</w:t>
      </w:r>
      <w:r>
        <w:rPr>
          <w:szCs w:val="28"/>
        </w:rPr>
        <w:t xml:space="preserve"> foram rejeitadas, conforme mostrado na Tabela 10.</w:t>
      </w:r>
    </w:p>
    <w:p w14:paraId="6162FB3B" w14:textId="77777777" w:rsidR="0092470A" w:rsidRPr="001C2FB4" w:rsidRDefault="00000000" w:rsidP="001C2FB4">
      <w:pPr>
        <w:jc w:val="center"/>
        <w:rPr>
          <w:sz w:val="22"/>
          <w:szCs w:val="20"/>
        </w:rPr>
      </w:pPr>
      <w:r w:rsidRPr="001C2FB4">
        <w:rPr>
          <w:b/>
          <w:bCs/>
          <w:sz w:val="22"/>
          <w:szCs w:val="24"/>
        </w:rPr>
        <w:lastRenderedPageBreak/>
        <w:t>Tabela 10 –</w:t>
      </w:r>
      <w:r w:rsidRPr="001C2FB4">
        <w:rPr>
          <w:sz w:val="22"/>
          <w:szCs w:val="24"/>
        </w:rPr>
        <w:t xml:space="preserve"> Teste bicaudal para as variáveis independentes</w:t>
      </w:r>
    </w:p>
    <w:tbl>
      <w:tblPr>
        <w:tblW w:w="9137" w:type="dxa"/>
        <w:tblInd w:w="-15" w:type="dxa"/>
        <w:tblBorders>
          <w:top w:val="single" w:sz="4" w:space="0" w:color="00000A"/>
          <w:left w:val="single" w:sz="4" w:space="0" w:color="FFFFFF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0" w:type="dxa"/>
          <w:right w:w="70" w:type="dxa"/>
        </w:tblCellMar>
        <w:tblLook w:val="04A0" w:firstRow="1" w:lastRow="0" w:firstColumn="1" w:lastColumn="0" w:noHBand="0" w:noVBand="1"/>
      </w:tblPr>
      <w:tblGrid>
        <w:gridCol w:w="1521"/>
        <w:gridCol w:w="1698"/>
        <w:gridCol w:w="1294"/>
        <w:gridCol w:w="1544"/>
        <w:gridCol w:w="1542"/>
        <w:gridCol w:w="1538"/>
      </w:tblGrid>
      <w:tr w:rsidR="0092470A" w14:paraId="66330E44" w14:textId="77777777">
        <w:trPr>
          <w:trHeight w:val="481"/>
        </w:trPr>
        <w:tc>
          <w:tcPr>
            <w:tcW w:w="1520" w:type="dxa"/>
            <w:vMerge w:val="restart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2D4D01EB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b/>
                <w:color w:val="000000"/>
                <w:sz w:val="20"/>
                <w:szCs w:val="20"/>
              </w:rPr>
              <w:t>VARIÁVEIS</w:t>
            </w:r>
          </w:p>
        </w:tc>
        <w:tc>
          <w:tcPr>
            <w:tcW w:w="169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7E4F5508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b/>
                <w:color w:val="000000"/>
                <w:sz w:val="20"/>
                <w:szCs w:val="20"/>
              </w:rPr>
              <w:t>COEFICIENTES</w:t>
            </w:r>
          </w:p>
        </w:tc>
        <w:tc>
          <w:tcPr>
            <w:tcW w:w="129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447E0ABE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b/>
                <w:color w:val="000000"/>
                <w:sz w:val="20"/>
                <w:szCs w:val="20"/>
              </w:rPr>
              <w:t>P-VALOR</w:t>
            </w:r>
          </w:p>
        </w:tc>
        <w:tc>
          <w:tcPr>
            <w:tcW w:w="4624" w:type="dxa"/>
            <w:gridSpan w:val="3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vAlign w:val="bottom"/>
          </w:tcPr>
          <w:p w14:paraId="326EF829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b/>
                <w:color w:val="000000"/>
                <w:sz w:val="20"/>
                <w:szCs w:val="20"/>
              </w:rPr>
              <w:t xml:space="preserve">VALORES DE </w:t>
            </w:r>
            <w:r>
              <w:rPr>
                <w:rFonts w:eastAsia="Times New Roman"/>
                <w:b/>
                <w:color w:val="000000"/>
                <w:sz w:val="28"/>
                <w:szCs w:val="28"/>
              </w:rPr>
              <w:t>α</w:t>
            </w:r>
            <w:r>
              <w:rPr>
                <w:rFonts w:eastAsia="Times New Roman"/>
                <w:b/>
                <w:color w:val="000000"/>
                <w:sz w:val="20"/>
                <w:szCs w:val="20"/>
              </w:rPr>
              <w:t xml:space="preserve"> PARA UM TESTE BICAUDAL</w:t>
            </w:r>
          </w:p>
        </w:tc>
      </w:tr>
      <w:tr w:rsidR="0092470A" w14:paraId="5839BA84" w14:textId="77777777">
        <w:trPr>
          <w:trHeight w:val="358"/>
        </w:trPr>
        <w:tc>
          <w:tcPr>
            <w:tcW w:w="1520" w:type="dxa"/>
            <w:vMerge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4FB72A95" w14:textId="77777777" w:rsidR="0092470A" w:rsidRDefault="0092470A" w:rsidP="001C2FB4">
            <w:pPr>
              <w:spacing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9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40E974D7" w14:textId="77777777" w:rsidR="0092470A" w:rsidRDefault="0092470A" w:rsidP="001C2FB4">
            <w:pPr>
              <w:spacing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29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5734265C" w14:textId="77777777" w:rsidR="0092470A" w:rsidRDefault="0092470A" w:rsidP="001C2FB4">
            <w:pPr>
              <w:spacing w:line="240" w:lineRule="auto"/>
              <w:rPr>
                <w:rFonts w:eastAsia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06B0717D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b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1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39FE88A0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b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1538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vAlign w:val="bottom"/>
          </w:tcPr>
          <w:p w14:paraId="74CC2F26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b/>
                <w:color w:val="000000"/>
                <w:sz w:val="20"/>
                <w:szCs w:val="20"/>
              </w:rPr>
              <w:t>0,1</w:t>
            </w:r>
          </w:p>
        </w:tc>
      </w:tr>
      <w:tr w:rsidR="0092470A" w14:paraId="2F4773B2" w14:textId="77777777">
        <w:trPr>
          <w:trHeight w:val="358"/>
        </w:trPr>
        <w:tc>
          <w:tcPr>
            <w:tcW w:w="1520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39B54194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</w:rPr>
              <w:t>Idade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9A1AC9E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</w:rPr>
              <w:t>-0,01</w:t>
            </w:r>
          </w:p>
        </w:tc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A683224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</w:rPr>
              <w:t>0,874</w:t>
            </w:r>
          </w:p>
        </w:tc>
        <w:tc>
          <w:tcPr>
            <w:tcW w:w="1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1A587BF4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</w:rPr>
              <w:t>Não rejeita H₀</w:t>
            </w:r>
          </w:p>
        </w:tc>
        <w:tc>
          <w:tcPr>
            <w:tcW w:w="1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4F97F032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</w:rPr>
              <w:t>Não rejeita H₀</w:t>
            </w:r>
          </w:p>
        </w:tc>
        <w:tc>
          <w:tcPr>
            <w:tcW w:w="1538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vAlign w:val="bottom"/>
          </w:tcPr>
          <w:p w14:paraId="12E67C9E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</w:rPr>
              <w:t>Não rejeita H₀</w:t>
            </w:r>
          </w:p>
        </w:tc>
      </w:tr>
      <w:tr w:rsidR="0092470A" w14:paraId="358A6DE1" w14:textId="77777777">
        <w:trPr>
          <w:trHeight w:val="358"/>
        </w:trPr>
        <w:tc>
          <w:tcPr>
            <w:tcW w:w="1520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632E3347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</w:rPr>
              <w:t>Gênero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E720CCC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</w:rPr>
              <w:t>0,13</w:t>
            </w:r>
          </w:p>
        </w:tc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861DE6C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</w:rPr>
              <w:t>0,164</w:t>
            </w:r>
          </w:p>
        </w:tc>
        <w:tc>
          <w:tcPr>
            <w:tcW w:w="1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5D9EE03A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</w:rPr>
              <w:t>Não rejeita H₀</w:t>
            </w:r>
          </w:p>
        </w:tc>
        <w:tc>
          <w:tcPr>
            <w:tcW w:w="1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330CE8D0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</w:rPr>
              <w:t>Não rejeita H₀</w:t>
            </w:r>
          </w:p>
        </w:tc>
        <w:tc>
          <w:tcPr>
            <w:tcW w:w="1538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vAlign w:val="bottom"/>
          </w:tcPr>
          <w:p w14:paraId="114C41F1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</w:rPr>
              <w:t>Não rejeita H₀</w:t>
            </w:r>
          </w:p>
        </w:tc>
      </w:tr>
      <w:tr w:rsidR="0092470A" w14:paraId="0938A38B" w14:textId="77777777">
        <w:trPr>
          <w:trHeight w:val="358"/>
        </w:trPr>
        <w:tc>
          <w:tcPr>
            <w:tcW w:w="1520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1AA6147A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</w:rPr>
              <w:t>Anos de estudo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06C4796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5033956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1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67BB44D3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</w:rPr>
              <w:t>Rejeita H₀</w:t>
            </w:r>
          </w:p>
        </w:tc>
        <w:tc>
          <w:tcPr>
            <w:tcW w:w="1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164C2F6B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</w:rPr>
              <w:t>Rejeita H₀</w:t>
            </w:r>
          </w:p>
        </w:tc>
        <w:tc>
          <w:tcPr>
            <w:tcW w:w="1538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vAlign w:val="bottom"/>
          </w:tcPr>
          <w:p w14:paraId="03C3CA68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</w:rPr>
              <w:t>Rejeita H₀</w:t>
            </w:r>
          </w:p>
        </w:tc>
      </w:tr>
      <w:tr w:rsidR="0092470A" w14:paraId="18211BBD" w14:textId="77777777">
        <w:trPr>
          <w:trHeight w:val="358"/>
        </w:trPr>
        <w:tc>
          <w:tcPr>
            <w:tcW w:w="1520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5CE6C1F8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</w:rPr>
              <w:t>Salário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BAC22F5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</w:rPr>
              <w:t>0,16</w:t>
            </w:r>
          </w:p>
        </w:tc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5C5DF01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</w:rPr>
              <w:t>0,027</w:t>
            </w:r>
          </w:p>
        </w:tc>
        <w:tc>
          <w:tcPr>
            <w:tcW w:w="1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03090694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</w:rPr>
              <w:t>Não rejeita H₀</w:t>
            </w:r>
          </w:p>
        </w:tc>
        <w:tc>
          <w:tcPr>
            <w:tcW w:w="1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0C4E0DBF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</w:rPr>
              <w:t>Não rejeita H₀</w:t>
            </w:r>
          </w:p>
        </w:tc>
        <w:tc>
          <w:tcPr>
            <w:tcW w:w="1538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vAlign w:val="bottom"/>
          </w:tcPr>
          <w:p w14:paraId="297211C9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</w:rPr>
              <w:t>Rejeita H₀</w:t>
            </w:r>
          </w:p>
        </w:tc>
      </w:tr>
      <w:tr w:rsidR="0092470A" w14:paraId="7D6409EB" w14:textId="77777777">
        <w:trPr>
          <w:trHeight w:val="358"/>
        </w:trPr>
        <w:tc>
          <w:tcPr>
            <w:tcW w:w="1520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4931D014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</w:rPr>
              <w:t>Estado civil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7086A1E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</w:rPr>
              <w:t>-0,14</w:t>
            </w:r>
          </w:p>
        </w:tc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8DBD0C6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</w:rPr>
              <w:t>0,111</w:t>
            </w:r>
          </w:p>
        </w:tc>
        <w:tc>
          <w:tcPr>
            <w:tcW w:w="1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63E50788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</w:rPr>
              <w:t>Não rejeita H₀</w:t>
            </w:r>
          </w:p>
        </w:tc>
        <w:tc>
          <w:tcPr>
            <w:tcW w:w="1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645ED0CF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</w:rPr>
              <w:t>Não rejeita H₀</w:t>
            </w:r>
          </w:p>
        </w:tc>
        <w:tc>
          <w:tcPr>
            <w:tcW w:w="1538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vAlign w:val="bottom"/>
          </w:tcPr>
          <w:p w14:paraId="247D7E53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</w:rPr>
              <w:t>Não rejeita H₀</w:t>
            </w:r>
          </w:p>
        </w:tc>
      </w:tr>
      <w:tr w:rsidR="0092470A" w14:paraId="2FC165D7" w14:textId="77777777">
        <w:trPr>
          <w:trHeight w:val="358"/>
        </w:trPr>
        <w:tc>
          <w:tcPr>
            <w:tcW w:w="1520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14:paraId="01DD7F6D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</w:rPr>
              <w:t>Número de filhos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96E203D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</w:rPr>
              <w:t>-0,05</w:t>
            </w:r>
          </w:p>
        </w:tc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0D77B04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</w:rPr>
              <w:t>0,225</w:t>
            </w:r>
          </w:p>
        </w:tc>
        <w:tc>
          <w:tcPr>
            <w:tcW w:w="1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6596EB11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</w:rPr>
              <w:t>Não rejeita H₀</w:t>
            </w:r>
          </w:p>
        </w:tc>
        <w:tc>
          <w:tcPr>
            <w:tcW w:w="1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69C4E83B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</w:rPr>
              <w:t>Não rejeita H₀</w:t>
            </w:r>
          </w:p>
        </w:tc>
        <w:tc>
          <w:tcPr>
            <w:tcW w:w="1538" w:type="dxa"/>
            <w:tcBorders>
              <w:top w:val="single" w:sz="4" w:space="0" w:color="00000A"/>
              <w:left w:val="single" w:sz="4" w:space="0" w:color="FFFFFF"/>
              <w:bottom w:val="single" w:sz="4" w:space="0" w:color="00000A"/>
              <w:right w:val="single" w:sz="4" w:space="0" w:color="FFFFFF"/>
            </w:tcBorders>
            <w:shd w:val="clear" w:color="auto" w:fill="auto"/>
            <w:vAlign w:val="bottom"/>
          </w:tcPr>
          <w:p w14:paraId="420E0ACE" w14:textId="77777777" w:rsidR="0092470A" w:rsidRDefault="00000000" w:rsidP="001C2FB4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</w:rPr>
              <w:t>Não rejeita H₀</w:t>
            </w:r>
          </w:p>
        </w:tc>
      </w:tr>
    </w:tbl>
    <w:p w14:paraId="296CBD40" w14:textId="77777777" w:rsidR="0092470A" w:rsidRPr="001C2FB4" w:rsidRDefault="00000000" w:rsidP="0020059C">
      <w:pPr>
        <w:rPr>
          <w:sz w:val="22"/>
          <w:szCs w:val="20"/>
        </w:rPr>
      </w:pPr>
      <w:r w:rsidRPr="001C2FB4">
        <w:rPr>
          <w:sz w:val="20"/>
          <w:szCs w:val="20"/>
        </w:rPr>
        <w:t>Fonte: Dados da pesquisa (2023).</w:t>
      </w:r>
    </w:p>
    <w:p w14:paraId="17CCD732" w14:textId="3C6856C5" w:rsidR="0092470A" w:rsidRDefault="00000000" w:rsidP="0020059C">
      <w:r>
        <w:tab/>
        <w:t>Sendo assim, tem-se a resposta às hipóteses desta pesquisa:</w:t>
      </w:r>
    </w:p>
    <w:p w14:paraId="28684AEB" w14:textId="77777777" w:rsidR="0092470A" w:rsidRDefault="00000000" w:rsidP="0020059C">
      <w:r>
        <w:rPr>
          <w:i/>
          <w:iCs/>
        </w:rPr>
        <w:t xml:space="preserve">Hipótese 1 (H1): O gênero </w:t>
      </w:r>
      <w:r>
        <w:rPr>
          <w:b/>
          <w:i/>
          <w:iCs/>
        </w:rPr>
        <w:t>NÃO</w:t>
      </w:r>
      <w:r>
        <w:rPr>
          <w:i/>
          <w:iCs/>
        </w:rPr>
        <w:t xml:space="preserve"> influencia significativamente a alfabetização financeira, visto que H</w:t>
      </w:r>
      <w:r>
        <w:rPr>
          <w:rFonts w:eastAsia="Times New Roman"/>
          <w:color w:val="000000"/>
        </w:rPr>
        <w:t>₀ não pode ser rejeitada.</w:t>
      </w:r>
    </w:p>
    <w:p w14:paraId="440EE439" w14:textId="77777777" w:rsidR="0092470A" w:rsidRDefault="00000000" w:rsidP="0020059C">
      <w:r>
        <w:rPr>
          <w:i/>
          <w:iCs/>
        </w:rPr>
        <w:t xml:space="preserve">Hipótese 2 (H2): A idade </w:t>
      </w:r>
      <w:r>
        <w:rPr>
          <w:b/>
          <w:i/>
          <w:iCs/>
        </w:rPr>
        <w:t>NÃO</w:t>
      </w:r>
      <w:r>
        <w:rPr>
          <w:i/>
          <w:iCs/>
        </w:rPr>
        <w:t xml:space="preserve"> influencia significativamente a alfabetização financeira, visto que H</w:t>
      </w:r>
      <w:r>
        <w:rPr>
          <w:rFonts w:eastAsia="Times New Roman"/>
          <w:color w:val="000000"/>
        </w:rPr>
        <w:t>₀ não pode ser rejeitada.</w:t>
      </w:r>
    </w:p>
    <w:p w14:paraId="0A564A28" w14:textId="77777777" w:rsidR="0092470A" w:rsidRDefault="00000000" w:rsidP="0020059C">
      <w:r>
        <w:rPr>
          <w:i/>
          <w:iCs/>
        </w:rPr>
        <w:t xml:space="preserve">Hipótese 3 (H3): O estado civil </w:t>
      </w:r>
      <w:r>
        <w:rPr>
          <w:b/>
          <w:i/>
          <w:iCs/>
        </w:rPr>
        <w:t>NÃO</w:t>
      </w:r>
      <w:r>
        <w:rPr>
          <w:i/>
          <w:iCs/>
        </w:rPr>
        <w:t xml:space="preserve"> influencia significativamente a alfabetização financeira, visto que H</w:t>
      </w:r>
      <w:r>
        <w:rPr>
          <w:rFonts w:eastAsia="Times New Roman"/>
          <w:color w:val="000000"/>
        </w:rPr>
        <w:t>₀ não pode ser rejeitada.</w:t>
      </w:r>
    </w:p>
    <w:p w14:paraId="2B67A624" w14:textId="77777777" w:rsidR="0092470A" w:rsidRDefault="00000000" w:rsidP="0020059C">
      <w:r>
        <w:rPr>
          <w:i/>
          <w:iCs/>
        </w:rPr>
        <w:t xml:space="preserve">Hipótese 4 (H4): A quantidade de filhos </w:t>
      </w:r>
      <w:r>
        <w:rPr>
          <w:b/>
          <w:i/>
          <w:iCs/>
        </w:rPr>
        <w:t>NÃO</w:t>
      </w:r>
      <w:r>
        <w:rPr>
          <w:i/>
          <w:iCs/>
        </w:rPr>
        <w:t xml:space="preserve"> influencia significativamente a alfabetização financeira, visto que H</w:t>
      </w:r>
      <w:r>
        <w:rPr>
          <w:rFonts w:eastAsia="Times New Roman"/>
          <w:color w:val="000000"/>
        </w:rPr>
        <w:t>₀ não pode ser rejeitada.</w:t>
      </w:r>
    </w:p>
    <w:p w14:paraId="425D831A" w14:textId="77777777" w:rsidR="0092470A" w:rsidRDefault="00000000" w:rsidP="0020059C">
      <w:r>
        <w:rPr>
          <w:i/>
          <w:iCs/>
        </w:rPr>
        <w:t>Hipótese 5 (H5): O grau de escolaridade influencia significativamente a alfabetização financeira a uma significância de 95%</w:t>
      </w:r>
      <w:r>
        <w:rPr>
          <w:rFonts w:eastAsia="Times New Roman"/>
          <w:color w:val="000000"/>
        </w:rPr>
        <w:t>.</w:t>
      </w:r>
    </w:p>
    <w:p w14:paraId="187B55FD" w14:textId="77777777" w:rsidR="0092470A" w:rsidRDefault="00000000" w:rsidP="0020059C">
      <w:r>
        <w:rPr>
          <w:i/>
          <w:iCs/>
        </w:rPr>
        <w:t>Hipótese 6 (H6): A renda influencia significativamente a alfabetização financeira a uma significância de 90%</w:t>
      </w:r>
      <w:r>
        <w:rPr>
          <w:rFonts w:eastAsia="Times New Roman"/>
          <w:color w:val="000000"/>
        </w:rPr>
        <w:t>.</w:t>
      </w:r>
    </w:p>
    <w:p w14:paraId="4E9E80B5" w14:textId="77777777" w:rsidR="0092470A" w:rsidRDefault="00000000" w:rsidP="0020059C">
      <w:r>
        <w:tab/>
        <w:t xml:space="preserve">O fato de as hipóteses </w:t>
      </w:r>
      <w:r>
        <w:rPr>
          <w:i/>
          <w:iCs/>
        </w:rPr>
        <w:t xml:space="preserve">H1, H2, H3 </w:t>
      </w:r>
      <w:r>
        <w:t>e</w:t>
      </w:r>
      <w:r>
        <w:rPr>
          <w:i/>
          <w:iCs/>
        </w:rPr>
        <w:t xml:space="preserve"> H4</w:t>
      </w:r>
      <w:r>
        <w:t xml:space="preserve"> terem sido rejeitadas pode ser explicado pela peculiaridade da população: as faixas hierárquicas no militarismo não necessariamente seguem a ordem de idade. </w:t>
      </w:r>
    </w:p>
    <w:p w14:paraId="31BC89A1" w14:textId="77777777" w:rsidR="0092470A" w:rsidRDefault="00000000" w:rsidP="0020059C">
      <w:r>
        <w:rPr>
          <w:szCs w:val="28"/>
        </w:rPr>
        <w:tab/>
        <w:t>Isso pode ser exemplificado no posto de Segundo Tenente, que está acima de vários níveis hierárquicos, mas pode ser preenchido por jovens, homens e mulheres de no mínimo 21 anos, desde que preencham os requisitos mínimos.</w:t>
      </w:r>
    </w:p>
    <w:p w14:paraId="28F8B237" w14:textId="77777777" w:rsidR="0092470A" w:rsidRDefault="00000000" w:rsidP="0020059C">
      <w:r>
        <w:rPr>
          <w:szCs w:val="28"/>
        </w:rPr>
        <w:tab/>
        <w:t>Muitos desses Segundo Tenentes são provenientes da Academia da Força Aérea, instituição da FAB onde se formam Oficiais aviadores, intendentes e de infantaria, em regime de internato, os quais não são casados e não possuem filhos.</w:t>
      </w:r>
    </w:p>
    <w:p w14:paraId="67D9C1D1" w14:textId="77777777" w:rsidR="0092470A" w:rsidRDefault="00000000" w:rsidP="0020059C">
      <w:r>
        <w:rPr>
          <w:szCs w:val="28"/>
        </w:rPr>
        <w:lastRenderedPageBreak/>
        <w:tab/>
        <w:t>Em relação às promoções da FAB a postos ou graduações hierarquicamente mais altos, não há qualquer influência de gênero, pois a progressão da carreira é regida por critérios pré-estabelecidos, de acordo com o fluxo de carreira de cada especialidade.</w:t>
      </w:r>
    </w:p>
    <w:p w14:paraId="27ED66F6" w14:textId="77777777" w:rsidR="0092470A" w:rsidRDefault="00000000" w:rsidP="0020059C">
      <w:r>
        <w:rPr>
          <w:caps/>
        </w:rPr>
        <w:t>e</w:t>
      </w:r>
      <w:r>
        <w:t xml:space="preserve">m contrapartida, </w:t>
      </w:r>
      <w:r>
        <w:rPr>
          <w:i/>
          <w:iCs/>
        </w:rPr>
        <w:t>H5</w:t>
      </w:r>
      <w:r>
        <w:t xml:space="preserve"> e </w:t>
      </w:r>
      <w:r>
        <w:rPr>
          <w:i/>
          <w:iCs/>
        </w:rPr>
        <w:t>H6</w:t>
      </w:r>
      <w:r>
        <w:t xml:space="preserve"> tiveram as hipóteses nulas rejeitadas, com o grau de escolaridade e a renda permanecendo como significantes à alfabetização financeira, assim como os resultados encontrados por </w:t>
      </w:r>
      <w:r>
        <w:rPr>
          <w:rFonts w:eastAsia="Times New Roman"/>
        </w:rPr>
        <w:t xml:space="preserve">Amadeu (2009); </w:t>
      </w:r>
      <w:proofErr w:type="spellStart"/>
      <w:r>
        <w:rPr>
          <w:rFonts w:eastAsia="Times New Roman"/>
        </w:rPr>
        <w:t>Lusardi</w:t>
      </w:r>
      <w:proofErr w:type="spellEnd"/>
      <w:r>
        <w:rPr>
          <w:rFonts w:eastAsia="Times New Roman"/>
        </w:rPr>
        <w:t xml:space="preserve"> e Mitchell (2011) para a escolaridade e </w:t>
      </w:r>
      <w:proofErr w:type="spellStart"/>
      <w:r>
        <w:rPr>
          <w:rFonts w:eastAsia="Times New Roman"/>
        </w:rPr>
        <w:t>Lusardi</w:t>
      </w:r>
      <w:proofErr w:type="spellEnd"/>
      <w:r>
        <w:rPr>
          <w:rFonts w:eastAsia="Times New Roman"/>
        </w:rPr>
        <w:t xml:space="preserve"> e Tufano (2015); </w:t>
      </w:r>
      <w:proofErr w:type="spellStart"/>
      <w:r>
        <w:rPr>
          <w:rFonts w:eastAsia="Times New Roman"/>
        </w:rPr>
        <w:t>Monticone</w:t>
      </w:r>
      <w:proofErr w:type="spellEnd"/>
      <w:r>
        <w:rPr>
          <w:rFonts w:eastAsia="Times New Roman"/>
        </w:rPr>
        <w:t xml:space="preserve"> (2011); </w:t>
      </w:r>
      <w:proofErr w:type="spellStart"/>
      <w:r>
        <w:rPr>
          <w:rFonts w:eastAsia="Times New Roman"/>
        </w:rPr>
        <w:t>Jappelli</w:t>
      </w:r>
      <w:proofErr w:type="spellEnd"/>
      <w:r>
        <w:rPr>
          <w:rFonts w:eastAsia="Times New Roman"/>
        </w:rPr>
        <w:t xml:space="preserve"> e Padula (2011); Hastings e Mitchell (2011); Atkinson e </w:t>
      </w:r>
      <w:proofErr w:type="spellStart"/>
      <w:r>
        <w:rPr>
          <w:rFonts w:eastAsia="Times New Roman"/>
        </w:rPr>
        <w:t>Messy</w:t>
      </w:r>
      <w:proofErr w:type="spellEnd"/>
      <w:r>
        <w:rPr>
          <w:rFonts w:eastAsia="Times New Roman"/>
        </w:rPr>
        <w:t xml:space="preserve"> (2012) para a renda.</w:t>
      </w:r>
    </w:p>
    <w:p w14:paraId="5993C4C1" w14:textId="77777777" w:rsidR="0092470A" w:rsidRDefault="00000000" w:rsidP="001C2FB4">
      <w:pPr>
        <w:pStyle w:val="Ttulo2"/>
      </w:pPr>
      <w:r>
        <w:rPr>
          <w:spacing w:val="-2"/>
        </w:rPr>
        <w:t xml:space="preserve">6 </w:t>
      </w:r>
      <w:r>
        <w:t>CONSIDERAÇÕES FINAIS</w:t>
      </w:r>
    </w:p>
    <w:p w14:paraId="59570924" w14:textId="77777777" w:rsidR="0092470A" w:rsidRDefault="00000000" w:rsidP="0020059C">
      <w:r>
        <w:tab/>
        <w:t>De maneira geral, os resultados mostraram que a população estudada possui alfabetização financeira satisfatória, tendo destaque em primeiro lugar a atitude financeira, seguida do conhecimento financeiro. Em relação ao comportamento financeiro, fator com menos respostas positivas, evidencia-se um</w:t>
      </w:r>
      <w:r>
        <w:rPr>
          <w:color w:val="000000"/>
        </w:rPr>
        <w:t xml:space="preserve">a </w:t>
      </w:r>
      <w:hyperlink r:id="rId10">
        <w:r>
          <w:rPr>
            <w:rStyle w:val="LinkdaInternet"/>
            <w:color w:val="000000"/>
            <w:u w:val="none"/>
          </w:rPr>
          <w:t>inconciliabilidade</w:t>
        </w:r>
      </w:hyperlink>
      <w:r>
        <w:rPr>
          <w:color w:val="000000"/>
        </w:rPr>
        <w:t xml:space="preserve"> e</w:t>
      </w:r>
      <w:r>
        <w:t>ntre o que se conhece como certo e o que de fato é posto em prática pelos respondentes.</w:t>
      </w:r>
    </w:p>
    <w:p w14:paraId="7B069C6A" w14:textId="77777777" w:rsidR="0092470A" w:rsidRDefault="00000000" w:rsidP="0020059C">
      <w:r>
        <w:tab/>
        <w:t xml:space="preserve">Sobre os testes de significância, o resultado encontrado foi surpreendente, visto que contrariou achados anteriores, como os de </w:t>
      </w:r>
      <w:proofErr w:type="spellStart"/>
      <w:r>
        <w:rPr>
          <w:rFonts w:eastAsia="Times New Roman"/>
        </w:rPr>
        <w:t>Lusardi</w:t>
      </w:r>
      <w:proofErr w:type="spellEnd"/>
      <w:r>
        <w:rPr>
          <w:rFonts w:eastAsia="Times New Roman"/>
        </w:rPr>
        <w:t xml:space="preserve"> e Tufano (2015), </w:t>
      </w:r>
      <w:proofErr w:type="spellStart"/>
      <w:r>
        <w:rPr>
          <w:rFonts w:eastAsia="Times New Roman"/>
        </w:rPr>
        <w:t>Lusardi</w:t>
      </w:r>
      <w:proofErr w:type="spellEnd"/>
      <w:r>
        <w:rPr>
          <w:rFonts w:eastAsia="Times New Roman"/>
        </w:rPr>
        <w:t xml:space="preserve"> e Mitchell (2011), </w:t>
      </w:r>
      <w:r>
        <w:rPr>
          <w:rFonts w:eastAsia="Times New Roman"/>
          <w:lang w:val="fr-FR"/>
        </w:rPr>
        <w:t xml:space="preserve">Finke </w:t>
      </w:r>
      <w:r>
        <w:rPr>
          <w:rFonts w:eastAsia="Times New Roman"/>
          <w:i/>
          <w:iCs/>
          <w:lang w:val="fr-FR"/>
        </w:rPr>
        <w:t>et al</w:t>
      </w:r>
      <w:r>
        <w:rPr>
          <w:rFonts w:eastAsia="Times New Roman"/>
          <w:lang w:val="fr-FR"/>
        </w:rPr>
        <w:t xml:space="preserve">. (2011) e Atkinson e Messy (2012) para idade, os de </w:t>
      </w:r>
      <w:r>
        <w:rPr>
          <w:rFonts w:eastAsia="Times New Roman"/>
        </w:rPr>
        <w:t xml:space="preserve">Chen e Volpe (1998), </w:t>
      </w:r>
      <w:proofErr w:type="spellStart"/>
      <w:r>
        <w:rPr>
          <w:rFonts w:eastAsia="Times New Roman"/>
        </w:rPr>
        <w:t>Lusardi</w:t>
      </w:r>
      <w:proofErr w:type="spellEnd"/>
      <w:r>
        <w:rPr>
          <w:rFonts w:eastAsia="Times New Roman"/>
        </w:rPr>
        <w:t xml:space="preserve"> e Mitchell (2011), </w:t>
      </w:r>
      <w:r>
        <w:rPr>
          <w:rFonts w:eastAsia="Times New Roman"/>
          <w:lang w:val="es-MX"/>
        </w:rPr>
        <w:t xml:space="preserve">Atkinson e </w:t>
      </w:r>
      <w:proofErr w:type="spellStart"/>
      <w:r>
        <w:rPr>
          <w:rFonts w:eastAsia="Times New Roman"/>
          <w:lang w:val="es-MX"/>
        </w:rPr>
        <w:t>Messy</w:t>
      </w:r>
      <w:proofErr w:type="spellEnd"/>
      <w:r>
        <w:rPr>
          <w:rFonts w:eastAsia="Times New Roman"/>
          <w:lang w:val="es-MX"/>
        </w:rPr>
        <w:t xml:space="preserve"> (2012) e </w:t>
      </w:r>
      <w:proofErr w:type="spellStart"/>
      <w:r>
        <w:rPr>
          <w:rFonts w:eastAsia="Times New Roman"/>
          <w:lang w:val="es-MX"/>
        </w:rPr>
        <w:t>Agarwalla</w:t>
      </w:r>
      <w:proofErr w:type="spellEnd"/>
      <w:r>
        <w:rPr>
          <w:rFonts w:eastAsia="Times New Roman"/>
          <w:lang w:val="es-MX"/>
        </w:rPr>
        <w:t xml:space="preserve"> </w:t>
      </w:r>
      <w:r>
        <w:rPr>
          <w:rFonts w:eastAsia="Times New Roman"/>
          <w:i/>
          <w:iCs/>
          <w:lang w:val="es-MX"/>
        </w:rPr>
        <w:t>et al</w:t>
      </w:r>
      <w:r>
        <w:rPr>
          <w:rFonts w:eastAsia="Times New Roman"/>
          <w:lang w:val="es-MX"/>
        </w:rPr>
        <w:t xml:space="preserve">. </w:t>
      </w:r>
      <w:r>
        <w:rPr>
          <w:rFonts w:eastAsia="Times New Roman"/>
        </w:rPr>
        <w:t>(2012) para o gênero.</w:t>
      </w:r>
    </w:p>
    <w:p w14:paraId="47AB95C1" w14:textId="77777777" w:rsidR="0092470A" w:rsidRDefault="00000000" w:rsidP="0020059C">
      <w:r>
        <w:rPr>
          <w:rFonts w:eastAsia="Times New Roman"/>
          <w:color w:val="000000" w:themeColor="text1"/>
        </w:rPr>
        <w:tab/>
        <w:t>Sobre a r</w:t>
      </w:r>
      <w:r>
        <w:rPr>
          <w:color w:val="000000" w:themeColor="text1"/>
        </w:rPr>
        <w:t>esposta ao problema desta pesquisa “Qual é a relação de fatores sociodemográficos com o nível de alfabetização financeira dos trabalhadores de uma instituição pública federal militar?”, foi encontrada a média de 2,363, num total de 3 pontos, representando 78,76% de alfabetização financeira e descobriu-se que à significância de 90%, os fatores sociodemográficos que se relacionam a este nível são a escolaridade e a renda.</w:t>
      </w:r>
    </w:p>
    <w:p w14:paraId="1C9CE1B6" w14:textId="77777777" w:rsidR="0092470A" w:rsidRDefault="00000000" w:rsidP="0020059C">
      <w:r>
        <w:rPr>
          <w:color w:val="000000" w:themeColor="text1"/>
        </w:rPr>
        <w:tab/>
        <w:t>Sendo assim, o primeiro objetivo específico (discutir o comportamento financeiro dos respondentes) foi respondido, com a descoberta do fator comportamento financeiro apresentando uma média 3,72 pontos, num total de 5.</w:t>
      </w:r>
    </w:p>
    <w:p w14:paraId="498BB95D" w14:textId="77777777" w:rsidR="0092470A" w:rsidRDefault="00000000" w:rsidP="0020059C">
      <w:r>
        <w:rPr>
          <w:color w:val="000000" w:themeColor="text1"/>
        </w:rPr>
        <w:lastRenderedPageBreak/>
        <w:tab/>
        <w:t>O segundo objetivo específico (refletir sobre o nível de conhecimento financeiro e os materiais instrucionais disponibilizados pela instituição), exposto na seção 7.2 foi amplamente discorrido, com a constatação de que o público analisado possui mais conhecimento em juros compostos seguido de compreensão de inflação e entendimento sobre diversificação de risco e que a instituição apresenta um programa de educação financeira bem estruturado.</w:t>
      </w:r>
    </w:p>
    <w:p w14:paraId="1053121C" w14:textId="77777777" w:rsidR="0092470A" w:rsidRDefault="00000000" w:rsidP="0020059C">
      <w:r>
        <w:rPr>
          <w:color w:val="000000" w:themeColor="text1"/>
        </w:rPr>
        <w:tab/>
        <w:t xml:space="preserve">No terceiro objetivo específico (discutir a atitude financeira dos respondentes), foi encontrada uma média geral de 4,44 no fator, num total de 5, com destaque para as respostas referentes à preocupação dos respondentes em extrapolar </w:t>
      </w:r>
      <w:r>
        <w:t>o orçamento mensal e a consciência da importância em controlar as despesas mensais e em estabelecer metas financeiras para o futuro.</w:t>
      </w:r>
    </w:p>
    <w:p w14:paraId="5DEA702C" w14:textId="77777777" w:rsidR="0092470A" w:rsidRDefault="00000000" w:rsidP="0020059C">
      <w:r>
        <w:rPr>
          <w:color w:val="000000" w:themeColor="text1"/>
        </w:rPr>
        <w:tab/>
        <w:t xml:space="preserve">O objetivo geral (relacionar fatores sociodemográficos a alfabetização financeira dos militares da Base Aérea de Natal) foi respondido nas seções 7.4 e 7.5, as quais expuseram, respectivamente, um nível de alfabetização financeira de </w:t>
      </w:r>
      <w:r>
        <w:rPr>
          <w:rFonts w:eastAsia="Times New Roman"/>
          <w:color w:val="000000" w:themeColor="text1"/>
        </w:rPr>
        <w:t>2,363, numa escala máxima de 3 pontos e as relações significativas de escolaridade e renda com a alfabetização financeira. Foram descartadas as hipóteses de que idade, gênero, estado civil e número de filhos influenciassem diretamente esta variável, conforme explicado na análise das hipóteses.</w:t>
      </w:r>
    </w:p>
    <w:p w14:paraId="05DE2413" w14:textId="77777777" w:rsidR="0092470A" w:rsidRDefault="00000000" w:rsidP="0020059C">
      <w:r>
        <w:rPr>
          <w:color w:val="000000" w:themeColor="text1"/>
          <w:spacing w:val="-2"/>
        </w:rPr>
        <w:t xml:space="preserve">Por fim, as limitações encontradas neste estudo relacionam-se aos fatores tempo e recursos creditícios para uma análise de outros constructos que possam influenciar a alfabetização financeira. Como sugestão </w:t>
      </w:r>
      <w:r>
        <w:rPr>
          <w:color w:val="000000"/>
          <w:spacing w:val="-2"/>
        </w:rPr>
        <w:t>de novas pesquisas sobre o tema é recomendado que sejam inseridas variáveis de cunho comportamental, tais como impulsividade, ansiedade e histórico familiar.</w:t>
      </w:r>
    </w:p>
    <w:p w14:paraId="37E34B43" w14:textId="77777777" w:rsidR="0092470A" w:rsidRDefault="00000000" w:rsidP="001C2FB4">
      <w:pPr>
        <w:pStyle w:val="Ttulo2"/>
      </w:pPr>
      <w:r>
        <w:t>REFERÊNCIAS</w:t>
      </w:r>
    </w:p>
    <w:p w14:paraId="7D030E07" w14:textId="77777777" w:rsidR="0092470A" w:rsidRPr="0020059C" w:rsidRDefault="00000000" w:rsidP="001C2FB4">
      <w:pPr>
        <w:spacing w:line="240" w:lineRule="auto"/>
        <w:jc w:val="left"/>
        <w:rPr>
          <w:lang w:val="en-US"/>
        </w:rPr>
      </w:pPr>
      <w:bookmarkStart w:id="12" w:name="_Toc129895195"/>
      <w:bookmarkStart w:id="13" w:name="_Toc129895705"/>
      <w:r>
        <w:rPr>
          <w:spacing w:val="-2"/>
        </w:rPr>
        <w:t xml:space="preserve">ACHTZIGER, Anja et al. </w:t>
      </w:r>
      <w:bookmarkEnd w:id="12"/>
      <w:bookmarkEnd w:id="13"/>
      <w:r>
        <w:rPr>
          <w:spacing w:val="-2"/>
          <w:lang w:val="en-US"/>
        </w:rPr>
        <w:t>Debt out of control: The links between self-control, compulsive buying, and real debts. Journal of Economic Psychology, v. 49, p. 141-149, 2015.</w:t>
      </w:r>
    </w:p>
    <w:p w14:paraId="793E1089" w14:textId="77777777" w:rsidR="0092470A" w:rsidRDefault="0092470A" w:rsidP="001C2FB4">
      <w:pPr>
        <w:spacing w:line="240" w:lineRule="auto"/>
        <w:jc w:val="left"/>
        <w:rPr>
          <w:lang w:val="en-US"/>
        </w:rPr>
      </w:pPr>
    </w:p>
    <w:p w14:paraId="5D0D4A7C" w14:textId="77777777" w:rsidR="0092470A" w:rsidRPr="0020059C" w:rsidRDefault="00000000" w:rsidP="001C2FB4">
      <w:pPr>
        <w:spacing w:line="240" w:lineRule="auto"/>
        <w:jc w:val="left"/>
        <w:rPr>
          <w:lang w:val="en-US"/>
        </w:rPr>
      </w:pPr>
      <w:r>
        <w:rPr>
          <w:lang w:val="en-US"/>
        </w:rPr>
        <w:t>AGARWALLA, S. Kumar et al. A survey of financial literacy among students, young employees and the retired in India. 2012.</w:t>
      </w:r>
    </w:p>
    <w:p w14:paraId="61EF547B" w14:textId="77777777" w:rsidR="0092470A" w:rsidRDefault="0092470A" w:rsidP="001C2FB4">
      <w:pPr>
        <w:spacing w:line="240" w:lineRule="auto"/>
        <w:jc w:val="left"/>
        <w:rPr>
          <w:lang w:val="en-US"/>
        </w:rPr>
      </w:pPr>
    </w:p>
    <w:p w14:paraId="3588DFEE" w14:textId="77777777" w:rsidR="0092470A" w:rsidRPr="0020059C" w:rsidRDefault="00000000" w:rsidP="001C2FB4">
      <w:pPr>
        <w:spacing w:line="240" w:lineRule="auto"/>
        <w:jc w:val="left"/>
        <w:rPr>
          <w:lang w:val="en-US"/>
        </w:rPr>
      </w:pPr>
      <w:r>
        <w:rPr>
          <w:lang w:val="en-US"/>
        </w:rPr>
        <w:t>AJZEN, Icek. The theory of planned behavior: Frequently asked questions. Human Behavior and Emerging Technologies, v. 2, n. 4, p. 314-324, 2020.</w:t>
      </w:r>
    </w:p>
    <w:p w14:paraId="5F0380DB" w14:textId="77777777" w:rsidR="0092470A" w:rsidRDefault="0092470A" w:rsidP="001C2FB4">
      <w:pPr>
        <w:spacing w:line="240" w:lineRule="auto"/>
        <w:jc w:val="left"/>
        <w:rPr>
          <w:lang w:val="en-US"/>
        </w:rPr>
      </w:pPr>
    </w:p>
    <w:p w14:paraId="247331C5" w14:textId="77777777" w:rsidR="0092470A" w:rsidRPr="0020059C" w:rsidRDefault="00000000" w:rsidP="001C2FB4">
      <w:pPr>
        <w:spacing w:line="240" w:lineRule="auto"/>
        <w:jc w:val="left"/>
        <w:rPr>
          <w:lang w:val="en-US"/>
        </w:rPr>
      </w:pPr>
      <w:r>
        <w:rPr>
          <w:lang w:val="en-US"/>
        </w:rPr>
        <w:lastRenderedPageBreak/>
        <w:t xml:space="preserve">AMADEU, João Ricardo et al. </w:t>
      </w:r>
      <w:r>
        <w:t xml:space="preserve">A educação financeira e sua influência nas decisões de consumo e investimento: proposta de inserção da disciplina na matriz curricular. </w:t>
      </w:r>
      <w:r>
        <w:rPr>
          <w:lang w:val="en-US"/>
        </w:rPr>
        <w:t>2009.</w:t>
      </w:r>
    </w:p>
    <w:p w14:paraId="72490EBB" w14:textId="77777777" w:rsidR="0092470A" w:rsidRDefault="0092470A" w:rsidP="001C2FB4">
      <w:pPr>
        <w:spacing w:line="240" w:lineRule="auto"/>
        <w:jc w:val="left"/>
        <w:rPr>
          <w:lang w:val="en-US"/>
        </w:rPr>
      </w:pPr>
    </w:p>
    <w:p w14:paraId="77C716AA" w14:textId="77777777" w:rsidR="0092470A" w:rsidRDefault="00000000" w:rsidP="001C2FB4">
      <w:pPr>
        <w:spacing w:line="240" w:lineRule="auto"/>
        <w:jc w:val="left"/>
      </w:pPr>
      <w:r>
        <w:rPr>
          <w:lang w:val="en-US"/>
        </w:rPr>
        <w:t>ANDERSON, Anders; BAKER, Forest; ROBINSON, David T. Precautionary savings, retirement planning and misperceptions of financial literacy. 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financial </w:t>
      </w:r>
      <w:proofErr w:type="spellStart"/>
      <w:r>
        <w:t>economics</w:t>
      </w:r>
      <w:proofErr w:type="spellEnd"/>
      <w:r>
        <w:t>, v. 126, n. 2, p. 383-398, 2017.</w:t>
      </w:r>
    </w:p>
    <w:p w14:paraId="2BBD65FB" w14:textId="77777777" w:rsidR="0092470A" w:rsidRDefault="0092470A" w:rsidP="001C2FB4">
      <w:pPr>
        <w:spacing w:line="240" w:lineRule="auto"/>
        <w:jc w:val="left"/>
      </w:pPr>
    </w:p>
    <w:p w14:paraId="1BFE0928" w14:textId="77777777" w:rsidR="0092470A" w:rsidRDefault="00000000" w:rsidP="001C2FB4">
      <w:pPr>
        <w:spacing w:line="240" w:lineRule="auto"/>
        <w:jc w:val="left"/>
      </w:pPr>
      <w:r>
        <w:t>ARAUJO, Fernando Cosenza; CALIFE, Flavio Estevez. A história não contada da Educação Financeira no Brasil. ROQUE, JRR Otimização na recuperação de ativos financeiros, p. 1-11, 2014.</w:t>
      </w:r>
    </w:p>
    <w:p w14:paraId="7BB1F521" w14:textId="77777777" w:rsidR="0092470A" w:rsidRDefault="0092470A" w:rsidP="001C2FB4">
      <w:pPr>
        <w:spacing w:line="240" w:lineRule="auto"/>
        <w:jc w:val="left"/>
      </w:pPr>
    </w:p>
    <w:p w14:paraId="7515FCA1" w14:textId="77777777" w:rsidR="0092470A" w:rsidRDefault="00000000" w:rsidP="001C2FB4">
      <w:pPr>
        <w:spacing w:line="240" w:lineRule="auto"/>
        <w:jc w:val="left"/>
      </w:pPr>
      <w:r w:rsidRPr="0020059C">
        <w:rPr>
          <w:lang w:val="en-US"/>
        </w:rPr>
        <w:t>ATKINSON, Adele; MESSY, Flore-Anne. </w:t>
      </w:r>
      <w:r>
        <w:rPr>
          <w:lang w:val="en-US"/>
        </w:rPr>
        <w:t xml:space="preserve">Measuring financial literacy: Results of the OECD. </w:t>
      </w:r>
      <w:r>
        <w:t xml:space="preserve">OECD </w:t>
      </w:r>
      <w:proofErr w:type="spellStart"/>
      <w:r>
        <w:t>Publishing</w:t>
      </w:r>
      <w:proofErr w:type="spellEnd"/>
      <w:r>
        <w:t>, 2012.</w:t>
      </w:r>
    </w:p>
    <w:p w14:paraId="6789A040" w14:textId="77777777" w:rsidR="0092470A" w:rsidRDefault="0092470A" w:rsidP="001C2FB4">
      <w:pPr>
        <w:spacing w:line="240" w:lineRule="auto"/>
        <w:jc w:val="left"/>
      </w:pPr>
    </w:p>
    <w:p w14:paraId="25D5A984" w14:textId="77777777" w:rsidR="0092470A" w:rsidRDefault="00000000" w:rsidP="001C2FB4">
      <w:pPr>
        <w:spacing w:line="240" w:lineRule="auto"/>
        <w:jc w:val="left"/>
      </w:pPr>
      <w:r>
        <w:t>BANCO DE PORTUGAL. Relatório do inquérito à literacia financeira da população portuguesa. Lisboa, 2011. Disponível em: &lt; https://www.bportugal.pt/sites/default/files/relatorio_do_inquerito_a_literacia_financeira_da_populacao_portuguesa_2010.</w:t>
      </w:r>
      <w:r>
        <w:rPr>
          <w:color w:val="000000"/>
          <w:u w:val="single"/>
        </w:rPr>
        <w:t>pdf</w:t>
      </w:r>
      <w:hyperlink r:id="rId11">
        <w:r>
          <w:rPr>
            <w:rStyle w:val="LinkdaInternet"/>
            <w:color w:val="111111"/>
            <w:u w:val="none"/>
          </w:rPr>
          <w:t>&gt;. Acesso em: 06 de outubro de 2022.</w:t>
        </w:r>
      </w:hyperlink>
    </w:p>
    <w:p w14:paraId="10D506DF" w14:textId="77777777" w:rsidR="0092470A" w:rsidRDefault="0092470A" w:rsidP="001C2FB4">
      <w:pPr>
        <w:spacing w:line="240" w:lineRule="auto"/>
        <w:jc w:val="left"/>
      </w:pPr>
    </w:p>
    <w:p w14:paraId="57754B4A" w14:textId="77777777" w:rsidR="0092470A" w:rsidRPr="0020059C" w:rsidRDefault="00000000" w:rsidP="001C2FB4">
      <w:pPr>
        <w:spacing w:line="240" w:lineRule="auto"/>
        <w:jc w:val="left"/>
        <w:rPr>
          <w:lang w:val="en-US"/>
        </w:rPr>
      </w:pPr>
      <w:bookmarkStart w:id="14" w:name="_Toc129895196"/>
      <w:bookmarkStart w:id="15" w:name="_Toc129895706"/>
      <w:r>
        <w:t xml:space="preserve">BESSA, Sonia; FERMIANO, Maria </w:t>
      </w:r>
      <w:proofErr w:type="spellStart"/>
      <w:r>
        <w:t>Belintane</w:t>
      </w:r>
      <w:proofErr w:type="spellEnd"/>
      <w:r>
        <w:t xml:space="preserve">; CORIA, </w:t>
      </w:r>
      <w:proofErr w:type="spellStart"/>
      <w:r>
        <w:t>Marianela</w:t>
      </w:r>
      <w:proofErr w:type="spellEnd"/>
      <w:r>
        <w:t xml:space="preserve"> Denegri. </w:t>
      </w:r>
      <w:bookmarkEnd w:id="14"/>
      <w:bookmarkEnd w:id="15"/>
      <w:r>
        <w:rPr>
          <w:lang w:val="en-US"/>
        </w:rPr>
        <w:t xml:space="preserve">Student's economic comprehension between 10 and 15 years old. </w:t>
      </w:r>
      <w:proofErr w:type="spellStart"/>
      <w:r>
        <w:rPr>
          <w:lang w:val="en-US"/>
        </w:rPr>
        <w:t>Psicologia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Sociedade</w:t>
      </w:r>
      <w:proofErr w:type="spellEnd"/>
      <w:r>
        <w:rPr>
          <w:lang w:val="en-US"/>
        </w:rPr>
        <w:t>, v. 26, p. 410-419, 2014.</w:t>
      </w:r>
    </w:p>
    <w:p w14:paraId="49D62B27" w14:textId="77777777" w:rsidR="0092470A" w:rsidRDefault="0092470A" w:rsidP="001C2FB4">
      <w:pPr>
        <w:spacing w:line="240" w:lineRule="auto"/>
        <w:jc w:val="left"/>
        <w:rPr>
          <w:lang w:val="en-US"/>
        </w:rPr>
      </w:pPr>
    </w:p>
    <w:p w14:paraId="384245C5" w14:textId="77777777" w:rsidR="0092470A" w:rsidRPr="0020059C" w:rsidRDefault="00000000" w:rsidP="001C2FB4">
      <w:pPr>
        <w:spacing w:line="240" w:lineRule="auto"/>
        <w:jc w:val="left"/>
        <w:rPr>
          <w:lang w:val="en-US"/>
        </w:rPr>
      </w:pPr>
      <w:r>
        <w:t xml:space="preserve">BOTTAZZI, Renata; JAPPELLI, Tullio; PADULA, Mario. </w:t>
      </w:r>
      <w:r>
        <w:rPr>
          <w:lang w:val="en-US"/>
        </w:rPr>
        <w:t>The portfolio effect of pension reforms: evidence from Italy. Journal of Pension Economics &amp; Finance, v. 10, n. 1, p. 75-97, 2011.</w:t>
      </w:r>
    </w:p>
    <w:p w14:paraId="617B5ECC" w14:textId="77777777" w:rsidR="0092470A" w:rsidRDefault="0092470A" w:rsidP="001C2FB4">
      <w:pPr>
        <w:spacing w:line="240" w:lineRule="auto"/>
        <w:jc w:val="left"/>
        <w:rPr>
          <w:lang w:val="en-US"/>
        </w:rPr>
      </w:pPr>
    </w:p>
    <w:p w14:paraId="54F095D8" w14:textId="77777777" w:rsidR="0092470A" w:rsidRPr="0020059C" w:rsidRDefault="00000000" w:rsidP="001C2FB4">
      <w:pPr>
        <w:spacing w:line="240" w:lineRule="auto"/>
        <w:jc w:val="left"/>
        <w:rPr>
          <w:lang w:val="en-US"/>
        </w:rPr>
      </w:pPr>
      <w:bookmarkStart w:id="16" w:name="_Toc129895197"/>
      <w:bookmarkStart w:id="17" w:name="_Toc129895707"/>
      <w:bookmarkEnd w:id="16"/>
      <w:bookmarkEnd w:id="17"/>
      <w:r>
        <w:rPr>
          <w:lang w:val="en-US"/>
        </w:rPr>
        <w:t>BOWEN, Cathy F. Financial knowledge of teens and their parents. Financial counseling and planning, v. 13, n. 2, p. 93-102, 2002.</w:t>
      </w:r>
    </w:p>
    <w:p w14:paraId="2CB1623A" w14:textId="77777777" w:rsidR="0092470A" w:rsidRDefault="0092470A" w:rsidP="001C2FB4">
      <w:pPr>
        <w:spacing w:line="240" w:lineRule="auto"/>
        <w:jc w:val="left"/>
        <w:rPr>
          <w:lang w:val="en-US"/>
        </w:rPr>
      </w:pPr>
    </w:p>
    <w:p w14:paraId="2C120DFC" w14:textId="77777777" w:rsidR="0092470A" w:rsidRDefault="00000000" w:rsidP="001C2FB4">
      <w:pPr>
        <w:spacing w:line="240" w:lineRule="auto"/>
        <w:jc w:val="left"/>
      </w:pPr>
      <w:r>
        <w:rPr>
          <w:lang w:val="en-US"/>
        </w:rPr>
        <w:t xml:space="preserve">BRÜGGEN, Elisabeth C. et al. </w:t>
      </w:r>
      <w:proofErr w:type="gramStart"/>
      <w:r>
        <w:rPr>
          <w:lang w:val="en-US"/>
        </w:rPr>
        <w:t>Financial</w:t>
      </w:r>
      <w:proofErr w:type="gramEnd"/>
      <w:r>
        <w:rPr>
          <w:lang w:val="en-US"/>
        </w:rPr>
        <w:t xml:space="preserve"> well-being: A conceptualization and research agenda. 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business </w:t>
      </w:r>
      <w:proofErr w:type="spellStart"/>
      <w:r>
        <w:t>research</w:t>
      </w:r>
      <w:proofErr w:type="spellEnd"/>
      <w:r>
        <w:t>, v. 79, p. 228-237, 2017.</w:t>
      </w:r>
    </w:p>
    <w:p w14:paraId="4BAF37E4" w14:textId="77777777" w:rsidR="0092470A" w:rsidRDefault="0092470A" w:rsidP="001C2FB4">
      <w:pPr>
        <w:spacing w:line="240" w:lineRule="auto"/>
        <w:jc w:val="left"/>
      </w:pPr>
    </w:p>
    <w:p w14:paraId="1BFFFA46" w14:textId="77777777" w:rsidR="0092470A" w:rsidRDefault="00000000" w:rsidP="001C2FB4">
      <w:pPr>
        <w:spacing w:line="240" w:lineRule="auto"/>
        <w:jc w:val="left"/>
      </w:pPr>
      <w:bookmarkStart w:id="18" w:name="_Toc129895198"/>
      <w:bookmarkStart w:id="19" w:name="_Toc129895708"/>
      <w:bookmarkEnd w:id="18"/>
      <w:bookmarkEnd w:id="19"/>
      <w:r>
        <w:t xml:space="preserve">CAMPARA, Jéssica </w:t>
      </w:r>
      <w:proofErr w:type="spellStart"/>
      <w:r>
        <w:t>Pulino</w:t>
      </w:r>
      <w:proofErr w:type="spellEnd"/>
      <w:r>
        <w:t xml:space="preserve">; VIEIRA, </w:t>
      </w:r>
      <w:proofErr w:type="spellStart"/>
      <w:r>
        <w:t>Kelmara</w:t>
      </w:r>
      <w:proofErr w:type="spellEnd"/>
      <w:r>
        <w:t xml:space="preserve"> Mendes; CERETTA, Paulo Sergio. Entendendo a atitude ao endividamento: fatores comportamentais e variáveis socioeconômicas o determinam? Revista Eletrônica de Ciência Administrativa, v. 15, n. 1, p. 5-24, 2016.</w:t>
      </w:r>
    </w:p>
    <w:p w14:paraId="655CC101" w14:textId="77777777" w:rsidR="0092470A" w:rsidRDefault="0092470A" w:rsidP="0020059C"/>
    <w:p w14:paraId="32654358" w14:textId="77777777" w:rsidR="0092470A" w:rsidRDefault="00000000" w:rsidP="001C2FB4">
      <w:pPr>
        <w:spacing w:line="240" w:lineRule="auto"/>
        <w:jc w:val="left"/>
      </w:pPr>
      <w:bookmarkStart w:id="20" w:name="_Toc129895199"/>
      <w:bookmarkStart w:id="21" w:name="_Toc129895709"/>
      <w:bookmarkEnd w:id="20"/>
      <w:bookmarkEnd w:id="21"/>
      <w:r>
        <w:t>CARDOZO, Juliana de Sousa. Um olhar sobre a Estratégia Nacional de Educação Financeira–ENEF e sua potencial contribuição para a disseminação da cultura previdenciária. 2011.</w:t>
      </w:r>
    </w:p>
    <w:p w14:paraId="71D543BC" w14:textId="77777777" w:rsidR="0092470A" w:rsidRDefault="0092470A" w:rsidP="001C2FB4">
      <w:pPr>
        <w:spacing w:line="240" w:lineRule="auto"/>
        <w:jc w:val="left"/>
      </w:pPr>
    </w:p>
    <w:p w14:paraId="1D94690D" w14:textId="77777777" w:rsidR="0092470A" w:rsidRDefault="00000000" w:rsidP="001C2FB4">
      <w:pPr>
        <w:spacing w:line="240" w:lineRule="auto"/>
        <w:jc w:val="left"/>
      </w:pPr>
      <w:r>
        <w:rPr>
          <w:color w:val="222222"/>
          <w:shd w:val="clear" w:color="auto" w:fill="FFFFFF"/>
        </w:rPr>
        <w:t xml:space="preserve">CAVAZZA, </w:t>
      </w:r>
      <w:proofErr w:type="spellStart"/>
      <w:r>
        <w:rPr>
          <w:color w:val="222222"/>
          <w:shd w:val="clear" w:color="auto" w:fill="FFFFFF"/>
        </w:rPr>
        <w:t>Nicoletta</w:t>
      </w:r>
      <w:proofErr w:type="spellEnd"/>
      <w:r>
        <w:rPr>
          <w:color w:val="222222"/>
          <w:shd w:val="clear" w:color="auto" w:fill="FFFFFF"/>
        </w:rPr>
        <w:t>. Psicologia das atitudes e das opiniões. Edições Loyola, 2008.</w:t>
      </w:r>
    </w:p>
    <w:p w14:paraId="618EE4F9" w14:textId="77777777" w:rsidR="0092470A" w:rsidRDefault="0092470A" w:rsidP="001C2FB4">
      <w:pPr>
        <w:spacing w:line="240" w:lineRule="auto"/>
        <w:jc w:val="left"/>
        <w:rPr>
          <w:color w:val="222222"/>
          <w:shd w:val="clear" w:color="auto" w:fill="FFFFFF"/>
        </w:rPr>
      </w:pPr>
    </w:p>
    <w:p w14:paraId="41F308B6" w14:textId="77777777" w:rsidR="0092470A" w:rsidRPr="0020059C" w:rsidRDefault="00000000" w:rsidP="001C2FB4">
      <w:pPr>
        <w:spacing w:line="240" w:lineRule="auto"/>
        <w:jc w:val="left"/>
        <w:rPr>
          <w:lang w:val="en-US"/>
        </w:rPr>
      </w:pPr>
      <w:r>
        <w:rPr>
          <w:lang w:val="en-US"/>
        </w:rPr>
        <w:lastRenderedPageBreak/>
        <w:t>CHEN, Haiyang; VOLPE, Ronald P. An analysis of personal financial literacy among college students. Financial services review, v. 7, n. 2, p. 107-128, 1998.</w:t>
      </w:r>
    </w:p>
    <w:p w14:paraId="23A2094F" w14:textId="77777777" w:rsidR="0092470A" w:rsidRDefault="0092470A" w:rsidP="001C2FB4">
      <w:pPr>
        <w:spacing w:line="240" w:lineRule="auto"/>
        <w:jc w:val="left"/>
        <w:rPr>
          <w:color w:val="222222"/>
          <w:shd w:val="clear" w:color="auto" w:fill="FFFFFF"/>
          <w:lang w:val="en-US"/>
        </w:rPr>
      </w:pPr>
    </w:p>
    <w:p w14:paraId="1A4BD15A" w14:textId="77777777" w:rsidR="0092470A" w:rsidRDefault="00000000" w:rsidP="001C2FB4">
      <w:pPr>
        <w:spacing w:line="240" w:lineRule="auto"/>
        <w:jc w:val="left"/>
      </w:pPr>
      <w:r>
        <w:rPr>
          <w:lang w:val="en-US"/>
        </w:rPr>
        <w:t>CHIEN, Yi‐Wen; DEVANEY, Sharon A. The effects of credit attitude and socioeconomic factors on credit card and installment debt. 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Consumer</w:t>
      </w:r>
      <w:proofErr w:type="spellEnd"/>
      <w:r>
        <w:t xml:space="preserve"> Affairs, v. 35, n. 1, p. 162-179, 2001.</w:t>
      </w:r>
    </w:p>
    <w:p w14:paraId="69AB1F44" w14:textId="77777777" w:rsidR="0092470A" w:rsidRDefault="0092470A" w:rsidP="001C2FB4">
      <w:pPr>
        <w:spacing w:line="240" w:lineRule="auto"/>
        <w:jc w:val="left"/>
      </w:pPr>
    </w:p>
    <w:p w14:paraId="64DB6F08" w14:textId="77777777" w:rsidR="0092470A" w:rsidRDefault="00000000" w:rsidP="001C2FB4">
      <w:pPr>
        <w:spacing w:line="240" w:lineRule="auto"/>
        <w:jc w:val="left"/>
      </w:pPr>
      <w:bookmarkStart w:id="22" w:name="_Toc129895201"/>
      <w:bookmarkStart w:id="23" w:name="_Toc129895711"/>
      <w:bookmarkEnd w:id="22"/>
      <w:bookmarkEnd w:id="23"/>
      <w:r>
        <w:t xml:space="preserve">DE LIMA FILHO, Walter Araujo; DA SILVA, Camila Tavares Correia; DE ALMEIDA LEVINO, </w:t>
      </w:r>
      <w:proofErr w:type="spellStart"/>
      <w:r>
        <w:t>Natallya</w:t>
      </w:r>
      <w:proofErr w:type="spellEnd"/>
      <w:r>
        <w:t>. Comportamento financeiro pessoal: uma análise dos docentes da Universidade Federal de Alagoas. SINERGIA-Revista do Instituto de Ciências Econômicas, Administrativas e Contábeis, v. 24, n. 2, p. 23-36, 2020.</w:t>
      </w:r>
    </w:p>
    <w:p w14:paraId="513F855C" w14:textId="77777777" w:rsidR="0092470A" w:rsidRDefault="0092470A" w:rsidP="001C2FB4">
      <w:pPr>
        <w:spacing w:line="240" w:lineRule="auto"/>
        <w:jc w:val="left"/>
      </w:pPr>
    </w:p>
    <w:p w14:paraId="0CEBF324" w14:textId="77777777" w:rsidR="0092470A" w:rsidRDefault="00000000" w:rsidP="001C2FB4">
      <w:pPr>
        <w:spacing w:line="240" w:lineRule="auto"/>
        <w:jc w:val="left"/>
      </w:pPr>
      <w:bookmarkStart w:id="24" w:name="_Toc129895202"/>
      <w:bookmarkStart w:id="25" w:name="_Toc129895712"/>
      <w:bookmarkEnd w:id="24"/>
      <w:bookmarkEnd w:id="25"/>
      <w:r>
        <w:t xml:space="preserve">DENEGRI, M. et al. </w:t>
      </w:r>
      <w:proofErr w:type="spellStart"/>
      <w:r>
        <w:t>Caracterización</w:t>
      </w:r>
      <w:proofErr w:type="spellEnd"/>
      <w:r>
        <w:t xml:space="preserve"> psicológica </w:t>
      </w:r>
      <w:proofErr w:type="spellStart"/>
      <w:r>
        <w:t>del</w:t>
      </w:r>
      <w:proofErr w:type="spellEnd"/>
      <w:r>
        <w:t xml:space="preserve"> consumidor de </w:t>
      </w:r>
      <w:proofErr w:type="spellStart"/>
      <w:r>
        <w:t>la</w:t>
      </w:r>
      <w:proofErr w:type="spellEnd"/>
      <w:r>
        <w:t xml:space="preserve"> IX </w:t>
      </w:r>
      <w:proofErr w:type="spellStart"/>
      <w:r>
        <w:t>Región</w:t>
      </w:r>
      <w:proofErr w:type="spellEnd"/>
      <w:r>
        <w:t xml:space="preserve">. Consumir para </w:t>
      </w:r>
      <w:proofErr w:type="spellStart"/>
      <w:r>
        <w:t>Vivir</w:t>
      </w:r>
      <w:proofErr w:type="spellEnd"/>
      <w:r>
        <w:t xml:space="preserve"> y no </w:t>
      </w:r>
      <w:proofErr w:type="spellStart"/>
      <w:r>
        <w:t>Vivir</w:t>
      </w:r>
      <w:proofErr w:type="spellEnd"/>
      <w:r>
        <w:t xml:space="preserve"> para Consumir, p. 7-31, 1999.</w:t>
      </w:r>
    </w:p>
    <w:p w14:paraId="52DB61F3" w14:textId="77777777" w:rsidR="0092470A" w:rsidRDefault="0092470A" w:rsidP="001C2FB4">
      <w:pPr>
        <w:spacing w:line="240" w:lineRule="auto"/>
        <w:jc w:val="left"/>
      </w:pPr>
    </w:p>
    <w:p w14:paraId="4549981F" w14:textId="77777777" w:rsidR="0092470A" w:rsidRPr="0020059C" w:rsidRDefault="00000000" w:rsidP="001C2FB4">
      <w:pPr>
        <w:spacing w:line="240" w:lineRule="auto"/>
        <w:jc w:val="left"/>
        <w:rPr>
          <w:lang w:val="en-US"/>
        </w:rPr>
      </w:pPr>
      <w:r>
        <w:t xml:space="preserve">DENEGRI CORIA, </w:t>
      </w:r>
      <w:proofErr w:type="spellStart"/>
      <w:r>
        <w:t>Marianela</w:t>
      </w:r>
      <w:proofErr w:type="spellEnd"/>
      <w:r>
        <w:t xml:space="preserve">; MARTÍNEZ TORO, Gustavo; ETCHEBARNE LÓPEZ, Soledad. La </w:t>
      </w:r>
      <w:proofErr w:type="spellStart"/>
      <w:r>
        <w:t>comprensión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</w:t>
      </w:r>
      <w:proofErr w:type="spellStart"/>
      <w:r>
        <w:t>funcionamiento</w:t>
      </w:r>
      <w:proofErr w:type="spellEnd"/>
      <w:r>
        <w:t xml:space="preserve"> </w:t>
      </w:r>
      <w:proofErr w:type="spellStart"/>
      <w:r>
        <w:t>bancario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adolescentes chilenos: </w:t>
      </w:r>
      <w:proofErr w:type="spellStart"/>
      <w:r>
        <w:t>un</w:t>
      </w:r>
      <w:proofErr w:type="spellEnd"/>
      <w:r>
        <w:t xml:space="preserve"> </w:t>
      </w:r>
      <w:proofErr w:type="spellStart"/>
      <w:r>
        <w:t>estudio</w:t>
      </w:r>
      <w:proofErr w:type="spellEnd"/>
      <w:r>
        <w:t xml:space="preserve"> de </w:t>
      </w:r>
      <w:proofErr w:type="spellStart"/>
      <w:r>
        <w:t>psicología</w:t>
      </w:r>
      <w:proofErr w:type="spellEnd"/>
      <w:r>
        <w:t xml:space="preserve"> económica. </w:t>
      </w:r>
      <w:proofErr w:type="spellStart"/>
      <w:r>
        <w:rPr>
          <w:lang w:val="en-US"/>
        </w:rPr>
        <w:t>Interdisciplinaria</w:t>
      </w:r>
      <w:proofErr w:type="spellEnd"/>
      <w:r>
        <w:rPr>
          <w:lang w:val="en-US"/>
        </w:rPr>
        <w:t>, v. 24, n. 2, p. 137-159, 2007.</w:t>
      </w:r>
    </w:p>
    <w:p w14:paraId="335DA5DE" w14:textId="77777777" w:rsidR="0092470A" w:rsidRDefault="0092470A" w:rsidP="001C2FB4">
      <w:pPr>
        <w:spacing w:line="240" w:lineRule="auto"/>
        <w:jc w:val="left"/>
        <w:rPr>
          <w:lang w:val="en-US"/>
        </w:rPr>
      </w:pPr>
    </w:p>
    <w:p w14:paraId="2AB10FDD" w14:textId="77777777" w:rsidR="0092470A" w:rsidRPr="0020059C" w:rsidRDefault="00000000" w:rsidP="001C2FB4">
      <w:pPr>
        <w:spacing w:line="240" w:lineRule="auto"/>
        <w:jc w:val="left"/>
        <w:rPr>
          <w:lang w:val="en-US"/>
        </w:rPr>
      </w:pPr>
      <w:r>
        <w:rPr>
          <w:lang w:val="en-US"/>
        </w:rPr>
        <w:t>ERAUT*, Michael. Informal learning in the workplace. Studies in continuing education, v. 26, n. 2, p. 247-273, 2004.</w:t>
      </w:r>
    </w:p>
    <w:p w14:paraId="65BA5F6F" w14:textId="77777777" w:rsidR="0092470A" w:rsidRDefault="0092470A" w:rsidP="001C2FB4">
      <w:pPr>
        <w:spacing w:line="240" w:lineRule="auto"/>
        <w:jc w:val="left"/>
        <w:rPr>
          <w:lang w:val="en-US"/>
        </w:rPr>
      </w:pPr>
    </w:p>
    <w:p w14:paraId="39EC1079" w14:textId="77777777" w:rsidR="0092470A" w:rsidRPr="0020059C" w:rsidRDefault="00000000" w:rsidP="001C2FB4">
      <w:pPr>
        <w:spacing w:line="240" w:lineRule="auto"/>
        <w:jc w:val="left"/>
        <w:rPr>
          <w:lang w:val="en-US"/>
        </w:rPr>
      </w:pPr>
      <w:r>
        <w:rPr>
          <w:lang w:val="en-US"/>
        </w:rPr>
        <w:t xml:space="preserve">Finke, M. S., Howe, J. S., &amp; Huston, S. J. (2011). Old Age and the Decline in Financial Literacy. Social Science Research Network. Retrieved Apr 12, 2013, from </w:t>
      </w:r>
      <w:hyperlink r:id="rId12">
        <w:r>
          <w:rPr>
            <w:rStyle w:val="LinkdaInternet"/>
            <w:color w:val="111111"/>
            <w:u w:val="none"/>
            <w:lang w:val="en-US"/>
          </w:rPr>
          <w:t>http://dx.doi.org/10.2139/ssrn.1948627</w:t>
        </w:r>
      </w:hyperlink>
      <w:r>
        <w:rPr>
          <w:color w:val="111111"/>
          <w:lang w:val="en-US"/>
        </w:rPr>
        <w:t>.</w:t>
      </w:r>
    </w:p>
    <w:p w14:paraId="3040C20F" w14:textId="77777777" w:rsidR="0092470A" w:rsidRDefault="0092470A" w:rsidP="001C2FB4">
      <w:pPr>
        <w:spacing w:line="240" w:lineRule="auto"/>
        <w:jc w:val="left"/>
        <w:rPr>
          <w:lang w:val="en-US"/>
        </w:rPr>
      </w:pPr>
    </w:p>
    <w:p w14:paraId="3F617398" w14:textId="77777777" w:rsidR="0092470A" w:rsidRDefault="00000000" w:rsidP="001C2FB4">
      <w:pPr>
        <w:spacing w:line="240" w:lineRule="auto"/>
        <w:jc w:val="left"/>
      </w:pPr>
      <w:r>
        <w:rPr>
          <w:lang w:val="en-US"/>
        </w:rPr>
        <w:t>FORNERO, Elsa; MONTICONE, Chiara. Financial literacy and pension plan participation in Italy. 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Pension</w:t>
      </w:r>
      <w:proofErr w:type="spellEnd"/>
      <w:r>
        <w:t xml:space="preserve"> </w:t>
      </w:r>
      <w:proofErr w:type="spellStart"/>
      <w:r>
        <w:t>Economics</w:t>
      </w:r>
      <w:proofErr w:type="spellEnd"/>
      <w:r>
        <w:t xml:space="preserve"> &amp; </w:t>
      </w:r>
      <w:proofErr w:type="spellStart"/>
      <w:r>
        <w:t>Finance</w:t>
      </w:r>
      <w:proofErr w:type="spellEnd"/>
      <w:r>
        <w:t>, v. 10, n. 4, p. 547-564, 2011.</w:t>
      </w:r>
    </w:p>
    <w:p w14:paraId="189C6643" w14:textId="77777777" w:rsidR="0092470A" w:rsidRDefault="00000000" w:rsidP="001C2FB4">
      <w:pPr>
        <w:spacing w:line="240" w:lineRule="auto"/>
        <w:jc w:val="left"/>
      </w:pPr>
      <w:r>
        <w:t xml:space="preserve">FREITAS, Henrique et al. O método de pesquisa </w:t>
      </w:r>
      <w:proofErr w:type="spellStart"/>
      <w:r>
        <w:t>survey</w:t>
      </w:r>
      <w:proofErr w:type="spellEnd"/>
      <w:r>
        <w:t>. Revista de Administração da Universidade de São Paulo, v. 35, n. 3, 2000.</w:t>
      </w:r>
    </w:p>
    <w:p w14:paraId="430BDC3A" w14:textId="77777777" w:rsidR="0092470A" w:rsidRDefault="0092470A" w:rsidP="001C2FB4">
      <w:pPr>
        <w:spacing w:line="240" w:lineRule="auto"/>
        <w:jc w:val="left"/>
      </w:pPr>
    </w:p>
    <w:p w14:paraId="390C6647" w14:textId="77777777" w:rsidR="0092470A" w:rsidRDefault="00000000" w:rsidP="001C2FB4">
      <w:pPr>
        <w:spacing w:line="240" w:lineRule="auto"/>
        <w:jc w:val="left"/>
      </w:pPr>
      <w:r>
        <w:t>FRAGA, Luana Santos et al. Bem-estar financeiro: Uma análise sob a perspectiva da renda. Revista de Finanças Aplicadas, v. 7, n. 4, p. 1-28, 2017.</w:t>
      </w:r>
    </w:p>
    <w:p w14:paraId="2BBC7707" w14:textId="77777777" w:rsidR="0092470A" w:rsidRDefault="0092470A" w:rsidP="001C2FB4">
      <w:pPr>
        <w:spacing w:line="240" w:lineRule="auto"/>
        <w:jc w:val="left"/>
      </w:pPr>
    </w:p>
    <w:p w14:paraId="782F1B16" w14:textId="77777777" w:rsidR="0092470A" w:rsidRDefault="00000000" w:rsidP="001C2FB4">
      <w:pPr>
        <w:spacing w:line="240" w:lineRule="auto"/>
        <w:jc w:val="left"/>
      </w:pPr>
      <w:bookmarkStart w:id="26" w:name="_Toc129895203"/>
      <w:bookmarkStart w:id="27" w:name="_Toc129895713"/>
      <w:bookmarkEnd w:id="26"/>
      <w:bookmarkEnd w:id="27"/>
      <w:r>
        <w:t xml:space="preserve">GARCIA, Regis; OLAK, Paulo Arnaldo. Controladoria comportamental: constatação empírica de tendências de mudanças no paradigma </w:t>
      </w:r>
      <w:proofErr w:type="spellStart"/>
      <w:r>
        <w:t>decisorial</w:t>
      </w:r>
      <w:proofErr w:type="spellEnd"/>
      <w:r>
        <w:t xml:space="preserve"> quantitativo. In: CONGRESSO DE CONTROLADORIA E CONTABILIDADE DA USP. 2007.</w:t>
      </w:r>
    </w:p>
    <w:p w14:paraId="422F0923" w14:textId="77777777" w:rsidR="0092470A" w:rsidRDefault="0092470A" w:rsidP="001C2FB4">
      <w:pPr>
        <w:spacing w:line="240" w:lineRule="auto"/>
        <w:jc w:val="left"/>
      </w:pPr>
    </w:p>
    <w:p w14:paraId="217E5E28" w14:textId="77777777" w:rsidR="0092470A" w:rsidRDefault="00000000" w:rsidP="001C2FB4">
      <w:pPr>
        <w:spacing w:line="240" w:lineRule="auto"/>
        <w:jc w:val="left"/>
      </w:pPr>
      <w:r>
        <w:t>GONÇALVES, Virgínia Nicolau et al. Quem pensa no futuro poupa mais? O papel mediador do conhecimento financeiro na relação entre orientação para o futuro e segurança financeira pessoal. 2017.</w:t>
      </w:r>
    </w:p>
    <w:p w14:paraId="07EEE13A" w14:textId="77777777" w:rsidR="0092470A" w:rsidRDefault="0092470A" w:rsidP="001C2FB4">
      <w:pPr>
        <w:spacing w:line="240" w:lineRule="auto"/>
        <w:jc w:val="left"/>
      </w:pPr>
    </w:p>
    <w:p w14:paraId="7243267D" w14:textId="77777777" w:rsidR="0092470A" w:rsidRPr="0020059C" w:rsidRDefault="00000000" w:rsidP="001C2FB4">
      <w:pPr>
        <w:spacing w:line="240" w:lineRule="auto"/>
        <w:jc w:val="left"/>
        <w:rPr>
          <w:lang w:val="en-US"/>
        </w:rPr>
      </w:pPr>
      <w:r>
        <w:t xml:space="preserve">HAIR, Joseph F. et al. Análise multivariada de dados. </w:t>
      </w:r>
      <w:r w:rsidRPr="0020059C">
        <w:rPr>
          <w:lang w:val="en-US"/>
        </w:rPr>
        <w:t xml:space="preserve">Bookman </w:t>
      </w:r>
      <w:proofErr w:type="spellStart"/>
      <w:r w:rsidRPr="0020059C">
        <w:rPr>
          <w:lang w:val="en-US"/>
        </w:rPr>
        <w:t>editora</w:t>
      </w:r>
      <w:proofErr w:type="spellEnd"/>
      <w:r w:rsidRPr="0020059C">
        <w:rPr>
          <w:lang w:val="en-US"/>
        </w:rPr>
        <w:t>, 2009.</w:t>
      </w:r>
    </w:p>
    <w:p w14:paraId="15288100" w14:textId="77777777" w:rsidR="0092470A" w:rsidRPr="0020059C" w:rsidRDefault="0092470A" w:rsidP="001C2FB4">
      <w:pPr>
        <w:spacing w:line="240" w:lineRule="auto"/>
        <w:jc w:val="left"/>
        <w:rPr>
          <w:lang w:val="en-US"/>
        </w:rPr>
      </w:pPr>
    </w:p>
    <w:p w14:paraId="4DE98C94" w14:textId="77777777" w:rsidR="0092470A" w:rsidRPr="0020059C" w:rsidRDefault="0092470A" w:rsidP="001C2FB4">
      <w:pPr>
        <w:spacing w:line="240" w:lineRule="auto"/>
        <w:jc w:val="left"/>
        <w:rPr>
          <w:lang w:val="en-US"/>
        </w:rPr>
      </w:pPr>
    </w:p>
    <w:p w14:paraId="13C2F0B8" w14:textId="77777777" w:rsidR="0092470A" w:rsidRPr="0020059C" w:rsidRDefault="00000000" w:rsidP="001C2FB4">
      <w:pPr>
        <w:spacing w:line="240" w:lineRule="auto"/>
        <w:jc w:val="left"/>
        <w:rPr>
          <w:lang w:val="en-US"/>
        </w:rPr>
      </w:pPr>
      <w:r>
        <w:rPr>
          <w:lang w:val="en-US"/>
        </w:rPr>
        <w:lastRenderedPageBreak/>
        <w:t xml:space="preserve">HARRISON, Neil; AGNEW, Steve; SERIDO, Joyce. Attitudes to debt among indebted </w:t>
      </w:r>
      <w:proofErr w:type="spellStart"/>
      <w:r>
        <w:rPr>
          <w:lang w:val="en-US"/>
        </w:rPr>
        <w:t>ndergraduates</w:t>
      </w:r>
      <w:proofErr w:type="spellEnd"/>
      <w:r>
        <w:rPr>
          <w:lang w:val="en-US"/>
        </w:rPr>
        <w:t>: A cross-national exploratory factor analysis. Journal of Economic Psychology, v. 46, p. 62-73, 2015.</w:t>
      </w:r>
    </w:p>
    <w:p w14:paraId="38998C59" w14:textId="77777777" w:rsidR="0092470A" w:rsidRDefault="0092470A" w:rsidP="001C2FB4">
      <w:pPr>
        <w:spacing w:line="240" w:lineRule="auto"/>
        <w:jc w:val="left"/>
        <w:rPr>
          <w:lang w:val="en-US"/>
        </w:rPr>
      </w:pPr>
    </w:p>
    <w:p w14:paraId="75AA1370" w14:textId="77777777" w:rsidR="0092470A" w:rsidRPr="0020059C" w:rsidRDefault="00000000" w:rsidP="001C2FB4">
      <w:pPr>
        <w:spacing w:line="240" w:lineRule="auto"/>
        <w:jc w:val="left"/>
        <w:rPr>
          <w:lang w:val="en-US"/>
        </w:rPr>
      </w:pPr>
      <w:r>
        <w:rPr>
          <w:lang w:val="en-US"/>
        </w:rPr>
        <w:t>HASTINGS, Justine; MITCHELL, Olivia S.; CHYN, Eric. Fees, framing, and financial literacy in the choice of pension manager. Financial literacy: Implications for retirement security and the financial marketplace, v. 101, 2011.</w:t>
      </w:r>
    </w:p>
    <w:p w14:paraId="18B8991D" w14:textId="77777777" w:rsidR="0092470A" w:rsidRDefault="0092470A" w:rsidP="001C2FB4">
      <w:pPr>
        <w:spacing w:line="240" w:lineRule="auto"/>
        <w:jc w:val="left"/>
        <w:rPr>
          <w:lang w:val="en-US"/>
        </w:rPr>
      </w:pPr>
    </w:p>
    <w:p w14:paraId="7CD6B6E3" w14:textId="77777777" w:rsidR="0092470A" w:rsidRPr="0020059C" w:rsidRDefault="00000000" w:rsidP="001C2FB4">
      <w:pPr>
        <w:spacing w:line="240" w:lineRule="auto"/>
        <w:jc w:val="left"/>
        <w:rPr>
          <w:lang w:val="en-US"/>
        </w:rPr>
      </w:pPr>
      <w:r>
        <w:t xml:space="preserve">HERDJIONO, Maria Veronica </w:t>
      </w:r>
      <w:proofErr w:type="spellStart"/>
      <w:r>
        <w:t>Irine</w:t>
      </w:r>
      <w:proofErr w:type="spellEnd"/>
      <w:r>
        <w:t xml:space="preserve">; DAMANIK, Lady </w:t>
      </w:r>
      <w:proofErr w:type="spellStart"/>
      <w:r>
        <w:t>Angela</w:t>
      </w:r>
      <w:proofErr w:type="spellEnd"/>
      <w:r>
        <w:t xml:space="preserve">. </w:t>
      </w:r>
      <w:proofErr w:type="spellStart"/>
      <w:r>
        <w:rPr>
          <w:lang w:val="en-US"/>
        </w:rPr>
        <w:t>Pengaruh</w:t>
      </w:r>
      <w:proofErr w:type="spellEnd"/>
      <w:r>
        <w:rPr>
          <w:lang w:val="en-US"/>
        </w:rPr>
        <w:t xml:space="preserve"> financial attitude, financial knowledge, parental income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financial management behavior. </w:t>
      </w:r>
      <w:proofErr w:type="spellStart"/>
      <w:r>
        <w:rPr>
          <w:lang w:val="en-US"/>
        </w:rPr>
        <w:t>Jurnal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Manajemen</w:t>
      </w:r>
      <w:proofErr w:type="spellEnd"/>
      <w:r>
        <w:rPr>
          <w:lang w:val="en-US"/>
        </w:rPr>
        <w:t xml:space="preserve"> Teori dan </w:t>
      </w:r>
      <w:proofErr w:type="spellStart"/>
      <w:r>
        <w:rPr>
          <w:lang w:val="en-US"/>
        </w:rPr>
        <w:t>Terapan</w:t>
      </w:r>
      <w:proofErr w:type="spellEnd"/>
      <w:r>
        <w:rPr>
          <w:lang w:val="en-US"/>
        </w:rPr>
        <w:t>, v. 9, n. 3, p. 226-241, 2016.</w:t>
      </w:r>
    </w:p>
    <w:p w14:paraId="54331BFF" w14:textId="77777777" w:rsidR="0092470A" w:rsidRDefault="0092470A" w:rsidP="001C2FB4">
      <w:pPr>
        <w:spacing w:line="240" w:lineRule="auto"/>
        <w:jc w:val="left"/>
        <w:rPr>
          <w:lang w:val="en-US"/>
        </w:rPr>
      </w:pPr>
    </w:p>
    <w:p w14:paraId="47C5F774" w14:textId="77777777" w:rsidR="0092470A" w:rsidRPr="0020059C" w:rsidRDefault="00000000" w:rsidP="001C2FB4">
      <w:pPr>
        <w:spacing w:line="240" w:lineRule="auto"/>
        <w:jc w:val="left"/>
        <w:rPr>
          <w:lang w:val="en-US"/>
        </w:rPr>
      </w:pPr>
      <w:r>
        <w:rPr>
          <w:lang w:val="en-US"/>
        </w:rPr>
        <w:t>HILGERT, Marianne A.; HOGARTH, Jeanne M.; BEVERLY, Sondra G. Household financial management: The connection between knowledge and behavior. Fed. Res. Bull., v. 89, p. 309, 2003.</w:t>
      </w:r>
    </w:p>
    <w:p w14:paraId="10B2F39C" w14:textId="77777777" w:rsidR="0092470A" w:rsidRDefault="0092470A" w:rsidP="001C2FB4">
      <w:pPr>
        <w:spacing w:line="240" w:lineRule="auto"/>
        <w:jc w:val="left"/>
        <w:rPr>
          <w:lang w:val="en-US"/>
        </w:rPr>
      </w:pPr>
    </w:p>
    <w:p w14:paraId="3C3872AD" w14:textId="77777777" w:rsidR="0092470A" w:rsidRPr="0020059C" w:rsidRDefault="00000000" w:rsidP="001C2FB4">
      <w:pPr>
        <w:spacing w:line="240" w:lineRule="auto"/>
        <w:jc w:val="left"/>
        <w:rPr>
          <w:lang w:val="en-US"/>
        </w:rPr>
      </w:pPr>
      <w:r>
        <w:rPr>
          <w:lang w:val="en-US"/>
        </w:rPr>
        <w:t xml:space="preserve">HUNG, </w:t>
      </w:r>
      <w:proofErr w:type="spellStart"/>
      <w:r>
        <w:rPr>
          <w:lang w:val="en-US"/>
        </w:rPr>
        <w:t>Woei</w:t>
      </w:r>
      <w:proofErr w:type="spellEnd"/>
      <w:r>
        <w:rPr>
          <w:lang w:val="en-US"/>
        </w:rPr>
        <w:t xml:space="preserve"> et al. Interdisciplinary Journal of Problem-Based Learning. Learning, v. 6, p. 1, 2016.</w:t>
      </w:r>
    </w:p>
    <w:p w14:paraId="5C9429DE" w14:textId="77777777" w:rsidR="0092470A" w:rsidRDefault="0092470A" w:rsidP="001C2FB4">
      <w:pPr>
        <w:spacing w:line="240" w:lineRule="auto"/>
        <w:jc w:val="left"/>
        <w:rPr>
          <w:lang w:val="en-US"/>
        </w:rPr>
      </w:pPr>
    </w:p>
    <w:p w14:paraId="3B170D61" w14:textId="77777777" w:rsidR="0092470A" w:rsidRPr="0020059C" w:rsidRDefault="00000000" w:rsidP="001C2FB4">
      <w:pPr>
        <w:spacing w:line="240" w:lineRule="auto"/>
        <w:jc w:val="left"/>
        <w:rPr>
          <w:lang w:val="en-US"/>
        </w:rPr>
      </w:pPr>
      <w:r>
        <w:rPr>
          <w:lang w:val="en-US"/>
        </w:rPr>
        <w:t>JARVIS, Peter. Learning from everyday life. In: The Routledge international handbook of lifelong learning. Routledge, 2009a. p. 19-30.</w:t>
      </w:r>
    </w:p>
    <w:p w14:paraId="7E691302" w14:textId="77777777" w:rsidR="0092470A" w:rsidRDefault="0092470A" w:rsidP="001C2FB4">
      <w:pPr>
        <w:spacing w:line="240" w:lineRule="auto"/>
        <w:jc w:val="left"/>
        <w:rPr>
          <w:lang w:val="en-US"/>
        </w:rPr>
      </w:pPr>
    </w:p>
    <w:p w14:paraId="200B2C97" w14:textId="77777777" w:rsidR="0092470A" w:rsidRPr="0020059C" w:rsidRDefault="00000000" w:rsidP="001C2FB4">
      <w:pPr>
        <w:spacing w:line="240" w:lineRule="auto"/>
        <w:jc w:val="left"/>
        <w:rPr>
          <w:lang w:val="en-US"/>
        </w:rPr>
      </w:pPr>
      <w:r>
        <w:rPr>
          <w:lang w:val="en-US"/>
        </w:rPr>
        <w:t>JARVIS, P. Learning to be a person in society. New York: Routledge, 2009b.</w:t>
      </w:r>
    </w:p>
    <w:p w14:paraId="67BA4FE1" w14:textId="77777777" w:rsidR="0092470A" w:rsidRDefault="0092470A" w:rsidP="001C2FB4">
      <w:pPr>
        <w:spacing w:line="240" w:lineRule="auto"/>
        <w:jc w:val="left"/>
        <w:rPr>
          <w:lang w:val="en-US"/>
        </w:rPr>
      </w:pPr>
    </w:p>
    <w:p w14:paraId="71975F53" w14:textId="77777777" w:rsidR="0092470A" w:rsidRPr="0020059C" w:rsidRDefault="00000000" w:rsidP="001C2FB4">
      <w:pPr>
        <w:spacing w:line="240" w:lineRule="auto"/>
        <w:jc w:val="left"/>
        <w:rPr>
          <w:lang w:val="en-US"/>
        </w:rPr>
      </w:pPr>
      <w:r>
        <w:rPr>
          <w:lang w:val="en-US"/>
        </w:rPr>
        <w:t>JARVIS, P. Towards a comprehensive theory of human learning. London: Routledge, 2006.</w:t>
      </w:r>
    </w:p>
    <w:p w14:paraId="5730E544" w14:textId="77777777" w:rsidR="0092470A" w:rsidRDefault="0092470A" w:rsidP="001C2FB4">
      <w:pPr>
        <w:spacing w:line="240" w:lineRule="auto"/>
        <w:jc w:val="left"/>
        <w:rPr>
          <w:lang w:val="en-US"/>
        </w:rPr>
      </w:pPr>
    </w:p>
    <w:p w14:paraId="09D8541F" w14:textId="77777777" w:rsidR="0092470A" w:rsidRPr="0020059C" w:rsidRDefault="00000000" w:rsidP="001C2FB4">
      <w:pPr>
        <w:spacing w:line="240" w:lineRule="auto"/>
        <w:jc w:val="left"/>
        <w:rPr>
          <w:lang w:val="en-US"/>
        </w:rPr>
      </w:pPr>
      <w:bookmarkStart w:id="28" w:name="_Toc129895204"/>
      <w:bookmarkStart w:id="29" w:name="_Toc129895714"/>
      <w:bookmarkEnd w:id="28"/>
      <w:bookmarkEnd w:id="29"/>
      <w:r>
        <w:rPr>
          <w:lang w:val="en-US"/>
        </w:rPr>
        <w:t>JORGENSEN, Bryce L.; SAVLA, Jyoti. Financial literacy of young adults: The importance of parental socialization. Family relations, v. 59, n. 4, p. 465-478, 2010.</w:t>
      </w:r>
    </w:p>
    <w:p w14:paraId="4B1FEAC0" w14:textId="77777777" w:rsidR="0092470A" w:rsidRDefault="0092470A" w:rsidP="001C2FB4">
      <w:pPr>
        <w:spacing w:line="240" w:lineRule="auto"/>
        <w:jc w:val="left"/>
        <w:rPr>
          <w:lang w:val="en-US"/>
        </w:rPr>
      </w:pPr>
    </w:p>
    <w:p w14:paraId="227D9826" w14:textId="77777777" w:rsidR="0092470A" w:rsidRPr="0020059C" w:rsidRDefault="00000000" w:rsidP="001C2FB4">
      <w:pPr>
        <w:spacing w:line="240" w:lineRule="auto"/>
        <w:jc w:val="left"/>
        <w:rPr>
          <w:lang w:val="en-US"/>
        </w:rPr>
      </w:pPr>
      <w:bookmarkStart w:id="30" w:name="_Toc129895205"/>
      <w:bookmarkStart w:id="31" w:name="_Toc129895715"/>
      <w:bookmarkEnd w:id="30"/>
      <w:bookmarkEnd w:id="31"/>
      <w:r>
        <w:rPr>
          <w:lang w:val="en-US"/>
        </w:rPr>
        <w:t>KAHNEMAN, DANIEL; TVERSKY, Amos. Prospect theory: An analysis of decision under risk. </w:t>
      </w:r>
      <w:proofErr w:type="spellStart"/>
      <w:r>
        <w:rPr>
          <w:lang w:val="en-US"/>
        </w:rPr>
        <w:t>Econometrica</w:t>
      </w:r>
      <w:proofErr w:type="spellEnd"/>
      <w:r>
        <w:rPr>
          <w:lang w:val="en-US"/>
        </w:rPr>
        <w:t>, v. 47, n. 2, p. 363-391, 1979.</w:t>
      </w:r>
    </w:p>
    <w:p w14:paraId="4742BFD2" w14:textId="77777777" w:rsidR="0092470A" w:rsidRDefault="0092470A" w:rsidP="001C2FB4">
      <w:pPr>
        <w:spacing w:line="240" w:lineRule="auto"/>
        <w:jc w:val="left"/>
        <w:rPr>
          <w:lang w:val="en-US"/>
        </w:rPr>
      </w:pPr>
    </w:p>
    <w:p w14:paraId="66C5C935" w14:textId="77777777" w:rsidR="0092470A" w:rsidRPr="0020059C" w:rsidRDefault="00000000" w:rsidP="001C2FB4">
      <w:pPr>
        <w:spacing w:line="240" w:lineRule="auto"/>
        <w:jc w:val="left"/>
        <w:rPr>
          <w:lang w:val="en-US"/>
        </w:rPr>
      </w:pPr>
      <w:r>
        <w:rPr>
          <w:lang w:val="en-US"/>
        </w:rPr>
        <w:t>KEESE, Matthias; SCHMITZ, Hendrik. Broke, ill, and obese: The effect of household debt on health. Ruhr Economic Paper, n. 234, 2011.</w:t>
      </w:r>
    </w:p>
    <w:p w14:paraId="4CC4E200" w14:textId="77777777" w:rsidR="0092470A" w:rsidRDefault="0092470A" w:rsidP="001C2FB4">
      <w:pPr>
        <w:spacing w:line="240" w:lineRule="auto"/>
        <w:jc w:val="left"/>
        <w:rPr>
          <w:lang w:val="en-US"/>
        </w:rPr>
      </w:pPr>
    </w:p>
    <w:p w14:paraId="381EFB7C" w14:textId="77777777" w:rsidR="0092470A" w:rsidRPr="0020059C" w:rsidRDefault="00000000" w:rsidP="001C2FB4">
      <w:pPr>
        <w:spacing w:line="240" w:lineRule="auto"/>
        <w:jc w:val="left"/>
        <w:rPr>
          <w:lang w:val="en-US"/>
        </w:rPr>
      </w:pPr>
      <w:r>
        <w:rPr>
          <w:lang w:val="en-US"/>
        </w:rPr>
        <w:t xml:space="preserve">KIM, </w:t>
      </w:r>
      <w:proofErr w:type="spellStart"/>
      <w:r>
        <w:rPr>
          <w:lang w:val="en-US"/>
        </w:rPr>
        <w:t>Haejeong</w:t>
      </w:r>
      <w:proofErr w:type="spellEnd"/>
      <w:r>
        <w:rPr>
          <w:lang w:val="en-US"/>
        </w:rPr>
        <w:t>; DEVANEY, Sharon A. The determinants of outstanding balances among credit card revolvers. Financial Counseling and Planning, v. 12, n. 1, p. 67-77, 2001.</w:t>
      </w:r>
    </w:p>
    <w:p w14:paraId="17A28397" w14:textId="77777777" w:rsidR="0092470A" w:rsidRDefault="0092470A" w:rsidP="001C2FB4">
      <w:pPr>
        <w:spacing w:line="240" w:lineRule="auto"/>
        <w:jc w:val="left"/>
        <w:rPr>
          <w:lang w:val="en-US"/>
        </w:rPr>
      </w:pPr>
    </w:p>
    <w:p w14:paraId="509EEC88" w14:textId="77777777" w:rsidR="0092470A" w:rsidRDefault="00000000" w:rsidP="001C2FB4">
      <w:pPr>
        <w:spacing w:line="240" w:lineRule="auto"/>
        <w:jc w:val="left"/>
      </w:pPr>
      <w:bookmarkStart w:id="32" w:name="_Toc129895206"/>
      <w:bookmarkStart w:id="33" w:name="_Toc129895716"/>
      <w:r>
        <w:rPr>
          <w:lang w:val="en-US"/>
        </w:rPr>
        <w:t>KÖBBERLING, Veronika; WAKKER, Peter P. An index of loss aversion. </w:t>
      </w:r>
      <w:bookmarkEnd w:id="32"/>
      <w:bookmarkEnd w:id="33"/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Economic </w:t>
      </w:r>
      <w:proofErr w:type="spellStart"/>
      <w:r>
        <w:t>Theory</w:t>
      </w:r>
      <w:proofErr w:type="spellEnd"/>
      <w:r>
        <w:t>, v. 122, n. 1, p. 119-131, 2005.</w:t>
      </w:r>
    </w:p>
    <w:p w14:paraId="7BE4EB7A" w14:textId="77777777" w:rsidR="0092470A" w:rsidRDefault="0092470A" w:rsidP="001C2FB4">
      <w:pPr>
        <w:spacing w:line="240" w:lineRule="auto"/>
        <w:jc w:val="left"/>
      </w:pPr>
    </w:p>
    <w:p w14:paraId="182AB1DE" w14:textId="77777777" w:rsidR="0092470A" w:rsidRDefault="00000000" w:rsidP="001C2FB4">
      <w:pPr>
        <w:spacing w:line="240" w:lineRule="auto"/>
        <w:jc w:val="left"/>
      </w:pPr>
      <w:bookmarkStart w:id="34" w:name="_Toc129895207"/>
      <w:bookmarkStart w:id="35" w:name="_Toc129895717"/>
      <w:bookmarkEnd w:id="34"/>
      <w:bookmarkEnd w:id="35"/>
      <w:r>
        <w:t xml:space="preserve">LEONE, Rodrigo José Guerra; GUIMARÃES, Thiago Cavalcanti. O comportamento financeiro durante e após a crise financeira de 2008 sob a ótica da teoria dos </w:t>
      </w:r>
      <w:r>
        <w:lastRenderedPageBreak/>
        <w:t>prospectos. Revista de Contabilidade do Mestrado em Ciências Contábeis da UERJ, v. 17, n. 3, p. 119-140, 2013.</w:t>
      </w:r>
    </w:p>
    <w:p w14:paraId="38F63F95" w14:textId="77777777" w:rsidR="0092470A" w:rsidRDefault="0092470A" w:rsidP="001C2FB4">
      <w:pPr>
        <w:spacing w:line="240" w:lineRule="auto"/>
        <w:jc w:val="left"/>
      </w:pPr>
    </w:p>
    <w:p w14:paraId="59F1F7DE" w14:textId="77777777" w:rsidR="0092470A" w:rsidRPr="0020059C" w:rsidRDefault="00000000" w:rsidP="001C2FB4">
      <w:pPr>
        <w:spacing w:line="240" w:lineRule="auto"/>
        <w:jc w:val="left"/>
        <w:rPr>
          <w:lang w:val="en-US"/>
        </w:rPr>
      </w:pPr>
      <w:r>
        <w:rPr>
          <w:lang w:val="en-US"/>
        </w:rPr>
        <w:t>LUSARDI, Annamaria; MITCHELL, Olivia S. Financial literacy and retirement planning in the United States. Journal of pension economics &amp; finance, v. 10, n. 4, p. 509-525, 2011a.</w:t>
      </w:r>
    </w:p>
    <w:p w14:paraId="32BED717" w14:textId="77777777" w:rsidR="0092470A" w:rsidRDefault="0092470A" w:rsidP="001C2FB4">
      <w:pPr>
        <w:spacing w:line="240" w:lineRule="auto"/>
        <w:jc w:val="left"/>
        <w:rPr>
          <w:lang w:val="en-US"/>
        </w:rPr>
      </w:pPr>
    </w:p>
    <w:p w14:paraId="5E4E6638" w14:textId="77777777" w:rsidR="0092470A" w:rsidRPr="0020059C" w:rsidRDefault="00000000" w:rsidP="001C2FB4">
      <w:pPr>
        <w:spacing w:line="240" w:lineRule="auto"/>
        <w:jc w:val="left"/>
        <w:rPr>
          <w:lang w:val="en-US"/>
        </w:rPr>
      </w:pPr>
      <w:r>
        <w:rPr>
          <w:lang w:val="en-US"/>
        </w:rPr>
        <w:t>LUSARDI, Annamaria; MITCHELL, Olivia S. Financial literacy around the world: an overview. Journal of pension economics &amp; finance, v. 10, n. 4, p. 497-508, 2011b.</w:t>
      </w:r>
    </w:p>
    <w:p w14:paraId="00B45C85" w14:textId="77777777" w:rsidR="0092470A" w:rsidRDefault="00000000" w:rsidP="001C2FB4">
      <w:pPr>
        <w:spacing w:line="240" w:lineRule="auto"/>
        <w:jc w:val="left"/>
      </w:pPr>
      <w:r>
        <w:rPr>
          <w:lang w:val="en-US"/>
        </w:rPr>
        <w:t xml:space="preserve">LUSARDI, Annamaria; TUFANO, Peter. Debt literacy, financial experiences, and </w:t>
      </w:r>
      <w:proofErr w:type="spellStart"/>
      <w:r>
        <w:rPr>
          <w:lang w:val="en-US"/>
        </w:rPr>
        <w:t>overindebtedness</w:t>
      </w:r>
      <w:proofErr w:type="spellEnd"/>
      <w:r>
        <w:rPr>
          <w:lang w:val="en-US"/>
        </w:rPr>
        <w:t>. 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Pension</w:t>
      </w:r>
      <w:proofErr w:type="spellEnd"/>
      <w:r>
        <w:t xml:space="preserve"> </w:t>
      </w:r>
      <w:proofErr w:type="spellStart"/>
      <w:r>
        <w:t>Economics</w:t>
      </w:r>
      <w:proofErr w:type="spellEnd"/>
      <w:r>
        <w:t xml:space="preserve"> &amp; </w:t>
      </w:r>
      <w:proofErr w:type="spellStart"/>
      <w:r>
        <w:t>Finance</w:t>
      </w:r>
      <w:proofErr w:type="spellEnd"/>
      <w:r>
        <w:t>, v. 14, n. 4, p. 332-368, 2015.</w:t>
      </w:r>
    </w:p>
    <w:p w14:paraId="224E1C8E" w14:textId="77777777" w:rsidR="0092470A" w:rsidRDefault="0092470A" w:rsidP="001C2FB4">
      <w:pPr>
        <w:spacing w:line="240" w:lineRule="auto"/>
        <w:jc w:val="left"/>
      </w:pPr>
    </w:p>
    <w:p w14:paraId="29AA3CF2" w14:textId="77777777" w:rsidR="0092470A" w:rsidRDefault="00000000" w:rsidP="001C2FB4">
      <w:pPr>
        <w:spacing w:line="240" w:lineRule="auto"/>
        <w:jc w:val="left"/>
      </w:pPr>
      <w:r>
        <w:t>MARTINS, G. A. Estatística geral e aplicada. 4 Ed. São Paulo: Atlas, 2011.</w:t>
      </w:r>
    </w:p>
    <w:p w14:paraId="02F0C83A" w14:textId="77777777" w:rsidR="0092470A" w:rsidRDefault="0092470A" w:rsidP="001C2FB4">
      <w:pPr>
        <w:spacing w:line="240" w:lineRule="auto"/>
        <w:jc w:val="left"/>
      </w:pPr>
    </w:p>
    <w:p w14:paraId="6A3E0CA8" w14:textId="77777777" w:rsidR="0092470A" w:rsidRDefault="00000000" w:rsidP="001C2FB4">
      <w:pPr>
        <w:spacing w:line="240" w:lineRule="auto"/>
        <w:jc w:val="left"/>
      </w:pPr>
      <w:r>
        <w:t xml:space="preserve">MARTINS, Isabel; FONSECA, Lina. Uma abordagem à Educação Financeira com alunos do 3º ano de escolaridade. Revista De </w:t>
      </w:r>
      <w:proofErr w:type="spellStart"/>
      <w:r>
        <w:t>Estudios</w:t>
      </w:r>
      <w:proofErr w:type="spellEnd"/>
      <w:r>
        <w:t xml:space="preserve"> E </w:t>
      </w:r>
      <w:proofErr w:type="spellStart"/>
      <w:r>
        <w:t>Investigación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Psicología</w:t>
      </w:r>
      <w:proofErr w:type="spellEnd"/>
      <w:r>
        <w:t xml:space="preserve"> Y </w:t>
      </w:r>
      <w:proofErr w:type="spellStart"/>
      <w:r>
        <w:t>Educación</w:t>
      </w:r>
      <w:proofErr w:type="spellEnd"/>
      <w:r>
        <w:t>, p. 031-035, 2017.</w:t>
      </w:r>
    </w:p>
    <w:p w14:paraId="69787856" w14:textId="77777777" w:rsidR="0092470A" w:rsidRDefault="0092470A" w:rsidP="001C2FB4">
      <w:pPr>
        <w:spacing w:line="240" w:lineRule="auto"/>
        <w:jc w:val="left"/>
      </w:pPr>
    </w:p>
    <w:p w14:paraId="4DAD7899" w14:textId="77777777" w:rsidR="0092470A" w:rsidRDefault="00000000" w:rsidP="001C2FB4">
      <w:pPr>
        <w:spacing w:line="240" w:lineRule="auto"/>
        <w:jc w:val="left"/>
      </w:pPr>
      <w:r>
        <w:t>MATTA, Rodrigo Octávio Beton. Oferta e demanda de informação financeira pessoal: o Programa de Educação Financeira do Banco Central do Brasil e os universitários do Distrito Federal. 2007.</w:t>
      </w:r>
    </w:p>
    <w:p w14:paraId="12F85B01" w14:textId="77777777" w:rsidR="0092470A" w:rsidRDefault="0092470A" w:rsidP="001C2FB4">
      <w:pPr>
        <w:spacing w:line="240" w:lineRule="auto"/>
        <w:jc w:val="left"/>
      </w:pPr>
    </w:p>
    <w:p w14:paraId="5CC7EB89" w14:textId="77777777" w:rsidR="0092470A" w:rsidRDefault="00000000" w:rsidP="001C2FB4">
      <w:pPr>
        <w:spacing w:line="240" w:lineRule="auto"/>
        <w:jc w:val="left"/>
      </w:pPr>
      <w:bookmarkStart w:id="36" w:name="_Toc129895209"/>
      <w:bookmarkStart w:id="37" w:name="_Toc129895719"/>
      <w:bookmarkEnd w:id="36"/>
      <w:bookmarkEnd w:id="37"/>
      <w:r>
        <w:t>MELLO, Roque Marconi. Gestão financeira pessoal de funcionários com emprego estável: funcionários do Banco X SA. 2011.</w:t>
      </w:r>
    </w:p>
    <w:p w14:paraId="7CA3CD1E" w14:textId="77777777" w:rsidR="0092470A" w:rsidRDefault="0092470A" w:rsidP="001C2FB4">
      <w:pPr>
        <w:spacing w:line="240" w:lineRule="auto"/>
        <w:jc w:val="left"/>
      </w:pPr>
    </w:p>
    <w:p w14:paraId="3300FCBF" w14:textId="77777777" w:rsidR="0092470A" w:rsidRPr="0020059C" w:rsidRDefault="00000000" w:rsidP="001C2FB4">
      <w:pPr>
        <w:spacing w:line="240" w:lineRule="auto"/>
        <w:jc w:val="left"/>
        <w:rPr>
          <w:lang w:val="en-US"/>
        </w:rPr>
      </w:pPr>
      <w:r>
        <w:rPr>
          <w:lang w:val="en-US"/>
        </w:rPr>
        <w:t>MERRIAM, S. B. Adult Learning Theory: Evolution and Future Directions. PAACE Journal of Lifelong Learning, v. 26, p. 21–37, 2017.</w:t>
      </w:r>
    </w:p>
    <w:p w14:paraId="47ED072C" w14:textId="77777777" w:rsidR="0092470A" w:rsidRDefault="0092470A" w:rsidP="001C2FB4">
      <w:pPr>
        <w:spacing w:line="240" w:lineRule="auto"/>
        <w:jc w:val="left"/>
        <w:rPr>
          <w:lang w:val="en-US"/>
        </w:rPr>
      </w:pPr>
    </w:p>
    <w:p w14:paraId="6B391061" w14:textId="77777777" w:rsidR="0092470A" w:rsidRPr="0020059C" w:rsidRDefault="00000000" w:rsidP="001C2FB4">
      <w:pPr>
        <w:spacing w:line="240" w:lineRule="auto"/>
        <w:jc w:val="left"/>
        <w:rPr>
          <w:lang w:val="en-US"/>
        </w:rPr>
      </w:pPr>
      <w:r>
        <w:rPr>
          <w:lang w:val="en-US"/>
        </w:rPr>
        <w:t>MERRIAM, S. B. Beyond Andragogy: New Directions in Adult Learning Theory. Adult Educa</w:t>
      </w:r>
      <w:r>
        <w:rPr>
          <w:lang w:val="en-US"/>
        </w:rPr>
        <w:softHyphen/>
        <w:t>tion Research Conference. Anais...Chicago: New Prairie Press, 2009.</w:t>
      </w:r>
    </w:p>
    <w:p w14:paraId="07363A93" w14:textId="77777777" w:rsidR="0092470A" w:rsidRDefault="0092470A" w:rsidP="001C2FB4">
      <w:pPr>
        <w:spacing w:line="240" w:lineRule="auto"/>
        <w:jc w:val="left"/>
        <w:rPr>
          <w:lang w:val="en-US"/>
        </w:rPr>
      </w:pPr>
    </w:p>
    <w:p w14:paraId="4671CB14" w14:textId="77777777" w:rsidR="0092470A" w:rsidRDefault="00000000" w:rsidP="001C2FB4">
      <w:pPr>
        <w:spacing w:line="240" w:lineRule="auto"/>
        <w:jc w:val="left"/>
      </w:pPr>
      <w:bookmarkStart w:id="38" w:name="_Toc129895210"/>
      <w:bookmarkStart w:id="39" w:name="_Toc129895720"/>
      <w:r>
        <w:rPr>
          <w:lang w:val="en-US"/>
        </w:rPr>
        <w:t xml:space="preserve">MOURA, Ana Grisanti de et al. </w:t>
      </w:r>
      <w:bookmarkEnd w:id="38"/>
      <w:bookmarkEnd w:id="39"/>
      <w:r>
        <w:t>As Relações entre Materialismo, Atitude ao Endividamento, Vulnerabilidade Social e Contratação de Dívida para Consumo: um estudo empírico envolvendo famílias de baixa renda no município de São Paulo. Encontro de Marketing, Rio de Janeiro, p. 1-30, 2006.</w:t>
      </w:r>
    </w:p>
    <w:p w14:paraId="1688A884" w14:textId="77777777" w:rsidR="0092470A" w:rsidRDefault="0092470A" w:rsidP="001C2FB4">
      <w:pPr>
        <w:spacing w:line="240" w:lineRule="auto"/>
        <w:jc w:val="left"/>
      </w:pPr>
    </w:p>
    <w:p w14:paraId="13B59929" w14:textId="77777777" w:rsidR="0092470A" w:rsidRPr="0020059C" w:rsidRDefault="00000000" w:rsidP="001C2FB4">
      <w:pPr>
        <w:spacing w:line="240" w:lineRule="auto"/>
        <w:jc w:val="left"/>
        <w:rPr>
          <w:lang w:val="en-US"/>
        </w:rPr>
      </w:pPr>
      <w:r>
        <w:t xml:space="preserve">NORVILITIS, Jill M. et al. </w:t>
      </w:r>
      <w:r>
        <w:rPr>
          <w:lang w:val="en-US"/>
        </w:rPr>
        <w:t>Personality factors, money attitudes, financial knowledge, and credit‐card debt in college students 1. Journal of applied social psychology, v. 36, n. 6, p. 1395-1413, 2006.</w:t>
      </w:r>
    </w:p>
    <w:p w14:paraId="38C17F21" w14:textId="77777777" w:rsidR="0092470A" w:rsidRDefault="0092470A" w:rsidP="001C2FB4">
      <w:pPr>
        <w:spacing w:line="240" w:lineRule="auto"/>
        <w:jc w:val="left"/>
        <w:rPr>
          <w:lang w:val="en-US"/>
        </w:rPr>
      </w:pPr>
    </w:p>
    <w:p w14:paraId="7236E888" w14:textId="77777777" w:rsidR="0092470A" w:rsidRDefault="00000000" w:rsidP="001C2FB4">
      <w:pPr>
        <w:spacing w:line="240" w:lineRule="auto"/>
        <w:jc w:val="left"/>
      </w:pPr>
      <w:r>
        <w:rPr>
          <w:lang w:val="en-US"/>
        </w:rPr>
        <w:t>OECD BETTER LIFE INITIATIVE et al. How’s Life? 2017: Measuring Well-being. </w:t>
      </w:r>
      <w:proofErr w:type="spellStart"/>
      <w:r>
        <w:t>Dostupné</w:t>
      </w:r>
      <w:proofErr w:type="spellEnd"/>
      <w:r>
        <w:t xml:space="preserve"> z http://www. </w:t>
      </w:r>
      <w:proofErr w:type="spellStart"/>
      <w:r>
        <w:t>ifuturo</w:t>
      </w:r>
      <w:proofErr w:type="spellEnd"/>
      <w:r>
        <w:t xml:space="preserve">. </w:t>
      </w:r>
      <w:proofErr w:type="spellStart"/>
      <w:r>
        <w:t>org</w:t>
      </w:r>
      <w:proofErr w:type="spellEnd"/>
      <w:r>
        <w:t>/</w:t>
      </w:r>
      <w:proofErr w:type="spellStart"/>
      <w:r>
        <w:t>documentacion</w:t>
      </w:r>
      <w:proofErr w:type="spellEnd"/>
      <w:r>
        <w:t>/</w:t>
      </w:r>
      <w:proofErr w:type="spellStart"/>
      <w:r>
        <w:t>hows</w:t>
      </w:r>
      <w:proofErr w:type="spellEnd"/>
      <w:r>
        <w:t>% 20life, v. 202015, 2017.</w:t>
      </w:r>
    </w:p>
    <w:p w14:paraId="3F83978D" w14:textId="77777777" w:rsidR="0092470A" w:rsidRDefault="0092470A" w:rsidP="001C2FB4">
      <w:pPr>
        <w:spacing w:line="240" w:lineRule="auto"/>
        <w:jc w:val="left"/>
      </w:pPr>
    </w:p>
    <w:p w14:paraId="3659D6A9" w14:textId="77777777" w:rsidR="0092470A" w:rsidRPr="0020059C" w:rsidRDefault="00000000" w:rsidP="001C2FB4">
      <w:pPr>
        <w:spacing w:line="240" w:lineRule="auto"/>
        <w:jc w:val="left"/>
        <w:rPr>
          <w:lang w:val="en-US"/>
        </w:rPr>
      </w:pPr>
      <w:r>
        <w:lastRenderedPageBreak/>
        <w:t xml:space="preserve">ORGANIZAÇÃO PARA A COOPERAÇÃO E DESENVOLVIMENTO ECONÔMICO - OCDE. </w:t>
      </w:r>
      <w:r>
        <w:rPr>
          <w:lang w:val="en-US"/>
        </w:rPr>
        <w:t xml:space="preserve">Recommendation on Principles and Good Practices for Financial Education and Awareness. Recommendation of the Council. </w:t>
      </w:r>
      <w:proofErr w:type="gramStart"/>
      <w:r>
        <w:rPr>
          <w:lang w:val="en-US"/>
        </w:rPr>
        <w:t>Jul,</w:t>
      </w:r>
      <w:proofErr w:type="gramEnd"/>
      <w:r>
        <w:rPr>
          <w:lang w:val="en-US"/>
        </w:rPr>
        <w:t xml:space="preserve"> 2005.</w:t>
      </w:r>
    </w:p>
    <w:p w14:paraId="2F8CF473" w14:textId="77777777" w:rsidR="0092470A" w:rsidRDefault="0092470A" w:rsidP="001C2FB4">
      <w:pPr>
        <w:spacing w:line="240" w:lineRule="auto"/>
        <w:jc w:val="left"/>
        <w:rPr>
          <w:lang w:val="en-US"/>
        </w:rPr>
      </w:pPr>
    </w:p>
    <w:p w14:paraId="4D8ABE90" w14:textId="77777777" w:rsidR="0092470A" w:rsidRPr="0020059C" w:rsidRDefault="00000000" w:rsidP="001C2FB4">
      <w:pPr>
        <w:spacing w:line="240" w:lineRule="auto"/>
        <w:jc w:val="left"/>
        <w:rPr>
          <w:lang w:val="en-US"/>
        </w:rPr>
      </w:pPr>
      <w:r>
        <w:rPr>
          <w:lang w:val="en-US"/>
        </w:rPr>
        <w:t>OTERO, Manuel Souto; MCCOSHAN, Andrew; JUNGE, Kerstin. European Inventory on Validation of non-formal and informal learning. ECOTEC Research and Consulting Limited, Birmingham, 2005.</w:t>
      </w:r>
    </w:p>
    <w:p w14:paraId="5EBD6B89" w14:textId="77777777" w:rsidR="0092470A" w:rsidRDefault="0092470A" w:rsidP="001C2FB4">
      <w:pPr>
        <w:spacing w:line="240" w:lineRule="auto"/>
        <w:jc w:val="left"/>
        <w:rPr>
          <w:lang w:val="en-US"/>
        </w:rPr>
      </w:pPr>
    </w:p>
    <w:p w14:paraId="23D33CB7" w14:textId="77777777" w:rsidR="0092470A" w:rsidRPr="0020059C" w:rsidRDefault="00000000" w:rsidP="001C2FB4">
      <w:pPr>
        <w:spacing w:line="240" w:lineRule="auto"/>
        <w:jc w:val="left"/>
        <w:rPr>
          <w:lang w:val="en-US"/>
        </w:rPr>
      </w:pPr>
      <w:r>
        <w:rPr>
          <w:lang w:val="en-US"/>
        </w:rPr>
        <w:t xml:space="preserve">PANDEY, Asheesh et al. Catch them young: Impact of financial socialization, financial </w:t>
      </w:r>
      <w:proofErr w:type="gramStart"/>
      <w:r>
        <w:rPr>
          <w:lang w:val="en-US"/>
        </w:rPr>
        <w:t>literacy</w:t>
      </w:r>
      <w:proofErr w:type="gramEnd"/>
      <w:r>
        <w:rPr>
          <w:lang w:val="en-US"/>
        </w:rPr>
        <w:t xml:space="preserve"> and attitude towards money on financial well‐being of young adults. International Journal of Consumer Studies, v. 44, n. 6, p. 531-541, 2020.</w:t>
      </w:r>
    </w:p>
    <w:p w14:paraId="79CCF911" w14:textId="77777777" w:rsidR="0092470A" w:rsidRDefault="0092470A" w:rsidP="001C2FB4">
      <w:pPr>
        <w:spacing w:line="240" w:lineRule="auto"/>
        <w:jc w:val="left"/>
        <w:rPr>
          <w:lang w:val="en-US"/>
        </w:rPr>
      </w:pPr>
    </w:p>
    <w:p w14:paraId="477BF10B" w14:textId="77777777" w:rsidR="0092470A" w:rsidRPr="0020059C" w:rsidRDefault="00000000" w:rsidP="001C2FB4">
      <w:pPr>
        <w:spacing w:line="240" w:lineRule="auto"/>
        <w:jc w:val="left"/>
        <w:rPr>
          <w:lang w:val="en-US"/>
        </w:rPr>
      </w:pPr>
      <w:r>
        <w:rPr>
          <w:lang w:val="en-US"/>
        </w:rPr>
        <w:t xml:space="preserve">PANKOW, Debra. Financial values, </w:t>
      </w:r>
      <w:proofErr w:type="gramStart"/>
      <w:r>
        <w:rPr>
          <w:lang w:val="en-US"/>
        </w:rPr>
        <w:t>attitudes</w:t>
      </w:r>
      <w:proofErr w:type="gramEnd"/>
      <w:r>
        <w:rPr>
          <w:lang w:val="en-US"/>
        </w:rPr>
        <w:t xml:space="preserve"> and goals. 2003.</w:t>
      </w:r>
    </w:p>
    <w:p w14:paraId="78DB142D" w14:textId="77777777" w:rsidR="0092470A" w:rsidRDefault="0092470A" w:rsidP="001C2FB4">
      <w:pPr>
        <w:spacing w:line="240" w:lineRule="auto"/>
        <w:jc w:val="left"/>
        <w:rPr>
          <w:lang w:val="en-US"/>
        </w:rPr>
      </w:pPr>
    </w:p>
    <w:p w14:paraId="07A1F2BE" w14:textId="77777777" w:rsidR="0092470A" w:rsidRPr="0020059C" w:rsidRDefault="00000000" w:rsidP="001C2FB4">
      <w:pPr>
        <w:spacing w:line="240" w:lineRule="auto"/>
        <w:jc w:val="left"/>
        <w:rPr>
          <w:lang w:val="en-US"/>
        </w:rPr>
      </w:pPr>
      <w:r>
        <w:rPr>
          <w:lang w:val="en-US"/>
        </w:rPr>
        <w:t>PERMANA, Jihan Zakiyah; LUTFI, Lutfi. Financial Literacy, Financial Attitude, and Household Financial Behavior. </w:t>
      </w:r>
      <w:proofErr w:type="spellStart"/>
      <w:r>
        <w:rPr>
          <w:lang w:val="en-US"/>
        </w:rPr>
        <w:t>Jurnal</w:t>
      </w:r>
      <w:proofErr w:type="spellEnd"/>
      <w:r>
        <w:rPr>
          <w:lang w:val="en-US"/>
        </w:rPr>
        <w:t xml:space="preserve"> Maksipreneur: </w:t>
      </w:r>
      <w:proofErr w:type="spellStart"/>
      <w:r>
        <w:rPr>
          <w:lang w:val="en-US"/>
        </w:rPr>
        <w:t>Manajemen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Koperasi</w:t>
      </w:r>
      <w:proofErr w:type="spellEnd"/>
      <w:r>
        <w:rPr>
          <w:lang w:val="en-US"/>
        </w:rPr>
        <w:t>, dan Entrepreneurship, v. 12, n. 1, p. 273-287, 2022.</w:t>
      </w:r>
    </w:p>
    <w:p w14:paraId="6AEA282E" w14:textId="77777777" w:rsidR="0092470A" w:rsidRDefault="0092470A" w:rsidP="001C2FB4">
      <w:pPr>
        <w:spacing w:line="240" w:lineRule="auto"/>
        <w:jc w:val="left"/>
        <w:rPr>
          <w:lang w:val="en-US"/>
        </w:rPr>
      </w:pPr>
    </w:p>
    <w:p w14:paraId="34145FA7" w14:textId="77777777" w:rsidR="0092470A" w:rsidRPr="0020059C" w:rsidRDefault="00000000" w:rsidP="001C2FB4">
      <w:pPr>
        <w:spacing w:line="240" w:lineRule="auto"/>
        <w:jc w:val="left"/>
        <w:rPr>
          <w:lang w:val="en-US"/>
        </w:rPr>
      </w:pPr>
      <w:bookmarkStart w:id="40" w:name="_Toc129895212"/>
      <w:bookmarkStart w:id="41" w:name="_Toc129895722"/>
      <w:bookmarkEnd w:id="40"/>
      <w:bookmarkEnd w:id="41"/>
      <w:r>
        <w:rPr>
          <w:lang w:val="en-US"/>
        </w:rPr>
        <w:t>PERRY, Vanessa G.; MORRIS, Marlene D. Who is in control? The role of self‐perception, knowledge, and income in explaining consumer financial behavior. Journal of consumer affairs, v. 39, n. 2, p. 299-313, 2005.</w:t>
      </w:r>
    </w:p>
    <w:p w14:paraId="0CA655B9" w14:textId="77777777" w:rsidR="0092470A" w:rsidRDefault="0092470A" w:rsidP="001C2FB4">
      <w:pPr>
        <w:spacing w:line="240" w:lineRule="auto"/>
        <w:jc w:val="left"/>
        <w:rPr>
          <w:lang w:val="en-US"/>
        </w:rPr>
      </w:pPr>
    </w:p>
    <w:p w14:paraId="64335BB1" w14:textId="77777777" w:rsidR="0092470A" w:rsidRDefault="00000000" w:rsidP="001C2FB4">
      <w:pPr>
        <w:spacing w:line="240" w:lineRule="auto"/>
        <w:jc w:val="left"/>
      </w:pPr>
      <w:r>
        <w:rPr>
          <w:lang w:val="en-US"/>
        </w:rPr>
        <w:t xml:space="preserve">PICCINI, </w:t>
      </w:r>
      <w:proofErr w:type="spellStart"/>
      <w:r>
        <w:rPr>
          <w:lang w:val="en-US"/>
        </w:rPr>
        <w:t>Ruberlan</w:t>
      </w:r>
      <w:proofErr w:type="spellEnd"/>
      <w:r>
        <w:rPr>
          <w:lang w:val="en-US"/>
        </w:rPr>
        <w:t xml:space="preserve"> Alex Bilha; PINZETTA, Gilberto. </w:t>
      </w:r>
      <w:r>
        <w:t>Planejamento financeiro pessoal e familiar. Unoesc &amp; Ciência-ACSA, v. 5, n. 1, p. 95-102, 2014.</w:t>
      </w:r>
    </w:p>
    <w:p w14:paraId="21518C10" w14:textId="77777777" w:rsidR="0092470A" w:rsidRDefault="0092470A" w:rsidP="001C2FB4">
      <w:pPr>
        <w:spacing w:line="240" w:lineRule="auto"/>
        <w:jc w:val="left"/>
      </w:pPr>
    </w:p>
    <w:p w14:paraId="507717D4" w14:textId="77777777" w:rsidR="0092470A" w:rsidRDefault="00000000" w:rsidP="001C2FB4">
      <w:pPr>
        <w:spacing w:line="240" w:lineRule="auto"/>
        <w:jc w:val="left"/>
      </w:pPr>
      <w:r>
        <w:t>PORTAL DO MILITAR. In: site da Força Aérea Brasileira. Disponível em:</w:t>
      </w:r>
      <w:r>
        <w:rPr>
          <w:color w:val="111111"/>
        </w:rPr>
        <w:t>&lt;</w:t>
      </w:r>
      <w:hyperlink r:id="rId13">
        <w:r>
          <w:rPr>
            <w:rStyle w:val="LinkdaInternet"/>
            <w:color w:val="111111"/>
            <w:u w:val="none"/>
          </w:rPr>
          <w:t>https://apl1.sti.fab.mil.br/portal/faces/ticotico.xhtml</w:t>
        </w:r>
      </w:hyperlink>
      <w:r>
        <w:t>&gt;. Acesso em 08 de março de 2023 - restrito ao efetivo.</w:t>
      </w:r>
    </w:p>
    <w:p w14:paraId="03DA0DF0" w14:textId="77777777" w:rsidR="0092470A" w:rsidRDefault="0092470A" w:rsidP="001C2FB4">
      <w:pPr>
        <w:spacing w:line="240" w:lineRule="auto"/>
        <w:jc w:val="left"/>
      </w:pPr>
    </w:p>
    <w:p w14:paraId="5F557592" w14:textId="77777777" w:rsidR="0092470A" w:rsidRDefault="00000000" w:rsidP="001C2FB4">
      <w:pPr>
        <w:spacing w:line="240" w:lineRule="auto"/>
        <w:jc w:val="left"/>
      </w:pPr>
      <w:r>
        <w:t xml:space="preserve">POTRICH, Ani Caroline </w:t>
      </w:r>
      <w:proofErr w:type="spellStart"/>
      <w:r>
        <w:t>Grigion</w:t>
      </w:r>
      <w:proofErr w:type="spellEnd"/>
      <w:r>
        <w:t xml:space="preserve">; VIEIRA, </w:t>
      </w:r>
      <w:proofErr w:type="spellStart"/>
      <w:r>
        <w:t>Kelmara</w:t>
      </w:r>
      <w:proofErr w:type="spellEnd"/>
      <w:r>
        <w:t xml:space="preserve"> Mendes; CERETTA, Paulo Sergio. Nível de alfabetização financeira dos estudantes universitários: afinal, o que é relevante? Revista Eletrônica de Ciência Administrativa, v. 12, n. 3, p. 315-334, 2013.</w:t>
      </w:r>
    </w:p>
    <w:p w14:paraId="6C8C4385" w14:textId="77777777" w:rsidR="0092470A" w:rsidRDefault="0092470A" w:rsidP="001C2FB4">
      <w:pPr>
        <w:spacing w:line="240" w:lineRule="auto"/>
        <w:jc w:val="left"/>
      </w:pPr>
    </w:p>
    <w:p w14:paraId="5C072B38" w14:textId="77777777" w:rsidR="0092470A" w:rsidRDefault="00000000" w:rsidP="001C2FB4">
      <w:pPr>
        <w:spacing w:line="240" w:lineRule="auto"/>
        <w:jc w:val="left"/>
      </w:pPr>
      <w:bookmarkStart w:id="42" w:name="_Toc129895214"/>
      <w:bookmarkStart w:id="43" w:name="_Toc129895724"/>
      <w:r>
        <w:t xml:space="preserve">PRITCHARD, Mary E.; MYERS, Barbara </w:t>
      </w:r>
      <w:proofErr w:type="spellStart"/>
      <w:r>
        <w:t>Kimes</w:t>
      </w:r>
      <w:proofErr w:type="spellEnd"/>
      <w:r>
        <w:t xml:space="preserve">. </w:t>
      </w:r>
      <w:r>
        <w:rPr>
          <w:lang w:val="en-US"/>
        </w:rPr>
        <w:t>Consumer Education: A Partnership between Schools and Families. </w:t>
      </w:r>
      <w:bookmarkEnd w:id="42"/>
      <w:bookmarkEnd w:id="43"/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Consumer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>, v. 10, p. 38-43, 1992.</w:t>
      </w:r>
    </w:p>
    <w:p w14:paraId="1A11DE62" w14:textId="77777777" w:rsidR="0092470A" w:rsidRDefault="0092470A" w:rsidP="001C2FB4">
      <w:pPr>
        <w:spacing w:line="240" w:lineRule="auto"/>
        <w:jc w:val="left"/>
      </w:pPr>
    </w:p>
    <w:p w14:paraId="3A8D23AD" w14:textId="77777777" w:rsidR="0092470A" w:rsidRDefault="00000000" w:rsidP="001C2FB4">
      <w:pPr>
        <w:spacing w:line="240" w:lineRule="auto"/>
        <w:jc w:val="left"/>
      </w:pPr>
      <w:bookmarkStart w:id="44" w:name="_Toc129895215"/>
      <w:bookmarkStart w:id="45" w:name="_Toc129895725"/>
      <w:bookmarkEnd w:id="44"/>
      <w:bookmarkEnd w:id="45"/>
      <w:r>
        <w:t xml:space="preserve">SANTOS, José </w:t>
      </w:r>
      <w:proofErr w:type="spellStart"/>
      <w:r>
        <w:t>Odálio</w:t>
      </w:r>
      <w:proofErr w:type="spellEnd"/>
      <w:r>
        <w:t xml:space="preserve"> dos; BARROS, Carlos Augusto Silva. O que determina a tomada de decisão financeira: razão ou emoção? Revista Brasileira de Gestão de Negócios, v. 13, p. 07-20, 2011.</w:t>
      </w:r>
    </w:p>
    <w:p w14:paraId="539E8807" w14:textId="77777777" w:rsidR="0092470A" w:rsidRDefault="0092470A" w:rsidP="001C2FB4">
      <w:pPr>
        <w:spacing w:line="240" w:lineRule="auto"/>
        <w:jc w:val="left"/>
      </w:pPr>
    </w:p>
    <w:p w14:paraId="03D548C4" w14:textId="77777777" w:rsidR="0092470A" w:rsidRDefault="00000000" w:rsidP="001C2FB4">
      <w:pPr>
        <w:spacing w:line="240" w:lineRule="auto"/>
        <w:jc w:val="left"/>
      </w:pPr>
      <w:r>
        <w:t xml:space="preserve">SAVOIA, José Roberto Ferreira; SAITO, André </w:t>
      </w:r>
      <w:proofErr w:type="spellStart"/>
      <w:r>
        <w:t>Taue</w:t>
      </w:r>
      <w:proofErr w:type="spellEnd"/>
      <w:r>
        <w:t>; SANTANA, Flávia de Angelis. Paradigmas da educação financeira no Brasil. Revista de Administração pública, v. 41, p. 1121-1141, 2007.</w:t>
      </w:r>
    </w:p>
    <w:p w14:paraId="285540FA" w14:textId="77777777" w:rsidR="0092470A" w:rsidRDefault="0092470A" w:rsidP="001C2FB4">
      <w:pPr>
        <w:spacing w:line="240" w:lineRule="auto"/>
        <w:jc w:val="left"/>
      </w:pPr>
    </w:p>
    <w:p w14:paraId="69AA6C04" w14:textId="77777777" w:rsidR="0092470A" w:rsidRPr="0020059C" w:rsidRDefault="00000000" w:rsidP="001C2FB4">
      <w:pPr>
        <w:spacing w:line="240" w:lineRule="auto"/>
        <w:jc w:val="left"/>
        <w:rPr>
          <w:lang w:val="en-US"/>
        </w:rPr>
      </w:pPr>
      <w:r>
        <w:lastRenderedPageBreak/>
        <w:t xml:space="preserve">SEGUNDO COMANDO AÉREO REGIONAL. In: site da Força Aérea Brasileira. Disponível em:  &lt;https://www2.fab.mil.br/comar2/index.php/unidades-subordinadas/74-unidades-sobordinadas&gt;. </w:t>
      </w:r>
      <w:proofErr w:type="spellStart"/>
      <w:r>
        <w:rPr>
          <w:lang w:val="en-US"/>
        </w:rPr>
        <w:t>Acesso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18 de </w:t>
      </w:r>
      <w:proofErr w:type="spellStart"/>
      <w:r>
        <w:rPr>
          <w:lang w:val="en-US"/>
        </w:rPr>
        <w:t>setembro</w:t>
      </w:r>
      <w:proofErr w:type="spellEnd"/>
      <w:r>
        <w:rPr>
          <w:lang w:val="en-US"/>
        </w:rPr>
        <w:t xml:space="preserve"> de 2022. </w:t>
      </w:r>
      <w:proofErr w:type="spellStart"/>
      <w:r>
        <w:rPr>
          <w:lang w:val="en-US"/>
        </w:rPr>
        <w:t>Brasil</w:t>
      </w:r>
      <w:proofErr w:type="spellEnd"/>
      <w:r>
        <w:rPr>
          <w:lang w:val="en-US"/>
        </w:rPr>
        <w:t>, 2022.</w:t>
      </w:r>
    </w:p>
    <w:p w14:paraId="49FED44E" w14:textId="77777777" w:rsidR="0092470A" w:rsidRDefault="0092470A" w:rsidP="001C2FB4">
      <w:pPr>
        <w:spacing w:line="240" w:lineRule="auto"/>
        <w:jc w:val="left"/>
        <w:rPr>
          <w:lang w:val="en-US"/>
        </w:rPr>
      </w:pPr>
    </w:p>
    <w:p w14:paraId="5023A208" w14:textId="77777777" w:rsidR="0092470A" w:rsidRPr="0020059C" w:rsidRDefault="00000000" w:rsidP="001C2FB4">
      <w:pPr>
        <w:spacing w:line="240" w:lineRule="auto"/>
        <w:jc w:val="left"/>
        <w:rPr>
          <w:lang w:val="en-US"/>
        </w:rPr>
      </w:pPr>
      <w:bookmarkStart w:id="46" w:name="_Toc129895216"/>
      <w:bookmarkStart w:id="47" w:name="_Toc129895726"/>
      <w:bookmarkEnd w:id="46"/>
      <w:bookmarkEnd w:id="47"/>
      <w:r>
        <w:rPr>
          <w:lang w:val="en-US"/>
        </w:rPr>
        <w:t xml:space="preserve">SHIM, </w:t>
      </w:r>
      <w:proofErr w:type="spellStart"/>
      <w:r>
        <w:rPr>
          <w:lang w:val="en-US"/>
        </w:rPr>
        <w:t>Soyeon</w:t>
      </w:r>
      <w:proofErr w:type="spellEnd"/>
      <w:r>
        <w:rPr>
          <w:lang w:val="en-US"/>
        </w:rPr>
        <w:t xml:space="preserve"> et al. financial socialization of first-year college students: The roles of parents, work, and education. Journal of youth and adolescence, v. 39, p. 1457-1470, 2010.</w:t>
      </w:r>
    </w:p>
    <w:p w14:paraId="020BE3C1" w14:textId="77777777" w:rsidR="0092470A" w:rsidRDefault="0092470A" w:rsidP="001C2FB4">
      <w:pPr>
        <w:spacing w:line="240" w:lineRule="auto"/>
        <w:jc w:val="left"/>
        <w:rPr>
          <w:lang w:val="en-US"/>
        </w:rPr>
      </w:pPr>
    </w:p>
    <w:p w14:paraId="1D2D043C" w14:textId="77777777" w:rsidR="0092470A" w:rsidRDefault="00000000" w:rsidP="001C2FB4">
      <w:pPr>
        <w:spacing w:line="240" w:lineRule="auto"/>
        <w:jc w:val="left"/>
      </w:pPr>
      <w:r>
        <w:rPr>
          <w:lang w:val="en-US"/>
        </w:rPr>
        <w:t xml:space="preserve">SHOCKEY, Susan Smith. Low-wealth adults' financial literacy, money management behaviors, and associated factors, including critical thinking. </w:t>
      </w:r>
      <w:r>
        <w:t xml:space="preserve">The Ohio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>, 2002.</w:t>
      </w:r>
    </w:p>
    <w:p w14:paraId="63083036" w14:textId="77777777" w:rsidR="0092470A" w:rsidRDefault="0092470A" w:rsidP="001C2FB4">
      <w:pPr>
        <w:spacing w:line="240" w:lineRule="auto"/>
        <w:jc w:val="left"/>
      </w:pPr>
    </w:p>
    <w:p w14:paraId="4C2E8439" w14:textId="77777777" w:rsidR="0092470A" w:rsidRDefault="00000000" w:rsidP="001C2FB4">
      <w:pPr>
        <w:spacing w:line="240" w:lineRule="auto"/>
        <w:jc w:val="left"/>
      </w:pPr>
      <w:r>
        <w:t>SILVA, S. B. C. N. Alfabetização econômica, hábitos de consumo e atitudes em direção ao endividamento de estudantes de pedagogia. 2008. 318 f. Tese. Universidade Estadual de Campinas, Campinas, 2008.</w:t>
      </w:r>
    </w:p>
    <w:p w14:paraId="2F935B2B" w14:textId="77777777" w:rsidR="0092470A" w:rsidRDefault="0092470A" w:rsidP="001C2FB4">
      <w:pPr>
        <w:spacing w:line="240" w:lineRule="auto"/>
        <w:jc w:val="left"/>
      </w:pPr>
    </w:p>
    <w:p w14:paraId="431D6001" w14:textId="77777777" w:rsidR="0092470A" w:rsidRPr="0020059C" w:rsidRDefault="00000000" w:rsidP="001C2FB4">
      <w:pPr>
        <w:spacing w:line="240" w:lineRule="auto"/>
        <w:jc w:val="left"/>
        <w:rPr>
          <w:lang w:val="en-US"/>
        </w:rPr>
      </w:pPr>
      <w:r>
        <w:t xml:space="preserve">SKAGERLUND, Kenny et al. </w:t>
      </w:r>
      <w:r>
        <w:rPr>
          <w:lang w:val="en-US"/>
        </w:rPr>
        <w:t>Financial literacy and the role of numeracy–How individuals’ attitude and affinity with numbers influence financial literacy. Journal of behavioral and experimental economics, v. 74, p. 18-25, 2018.</w:t>
      </w:r>
    </w:p>
    <w:p w14:paraId="58F8E8F8" w14:textId="77777777" w:rsidR="0092470A" w:rsidRDefault="0092470A" w:rsidP="001C2FB4">
      <w:pPr>
        <w:spacing w:line="240" w:lineRule="auto"/>
        <w:jc w:val="left"/>
        <w:rPr>
          <w:lang w:val="en-US"/>
        </w:rPr>
      </w:pPr>
    </w:p>
    <w:p w14:paraId="600E4D6E" w14:textId="77777777" w:rsidR="0092470A" w:rsidRDefault="0092470A" w:rsidP="001C2FB4">
      <w:pPr>
        <w:spacing w:line="240" w:lineRule="auto"/>
        <w:jc w:val="left"/>
        <w:rPr>
          <w:lang w:val="en-US"/>
        </w:rPr>
      </w:pPr>
    </w:p>
    <w:p w14:paraId="1FBD5EE9" w14:textId="77777777" w:rsidR="0092470A" w:rsidRPr="0020059C" w:rsidRDefault="00000000" w:rsidP="001C2FB4">
      <w:pPr>
        <w:spacing w:line="240" w:lineRule="auto"/>
        <w:jc w:val="left"/>
        <w:rPr>
          <w:lang w:val="en-US"/>
        </w:rPr>
      </w:pPr>
      <w:r>
        <w:rPr>
          <w:lang w:val="en-US"/>
        </w:rPr>
        <w:t>STRIMEL, Greg et al. Integrating and monitoring informal learning in education and training. Techniques: Connecting Education &amp; Careers, v. 89, n. 3, p. 48-54, 2014.</w:t>
      </w:r>
    </w:p>
    <w:p w14:paraId="3EEEE457" w14:textId="77777777" w:rsidR="0092470A" w:rsidRPr="0020059C" w:rsidRDefault="0092470A" w:rsidP="001C2FB4">
      <w:pPr>
        <w:spacing w:line="240" w:lineRule="auto"/>
        <w:jc w:val="left"/>
        <w:rPr>
          <w:lang w:val="en-US"/>
        </w:rPr>
      </w:pPr>
    </w:p>
    <w:p w14:paraId="6DBAB352" w14:textId="77777777" w:rsidR="0092470A" w:rsidRPr="0020059C" w:rsidRDefault="00000000" w:rsidP="001C2FB4">
      <w:pPr>
        <w:spacing w:line="240" w:lineRule="auto"/>
        <w:jc w:val="left"/>
        <w:rPr>
          <w:lang w:val="en-US"/>
        </w:rPr>
      </w:pPr>
      <w:r>
        <w:rPr>
          <w:lang w:val="en-US"/>
        </w:rPr>
        <w:t>STRÖMBÄCK, Camilla et al. Does self-control predict financial behavior and financial well-</w:t>
      </w:r>
      <w:proofErr w:type="gramStart"/>
      <w:r>
        <w:rPr>
          <w:lang w:val="en-US"/>
        </w:rPr>
        <w:t>being?.</w:t>
      </w:r>
      <w:proofErr w:type="gramEnd"/>
      <w:r>
        <w:rPr>
          <w:lang w:val="en-US"/>
        </w:rPr>
        <w:t> Journal of Behavioral and Experimental Finance, v. 14, p. 30-38, 2017.</w:t>
      </w:r>
    </w:p>
    <w:p w14:paraId="2E7E4933" w14:textId="77777777" w:rsidR="0092470A" w:rsidRDefault="0092470A" w:rsidP="001C2FB4">
      <w:pPr>
        <w:spacing w:line="240" w:lineRule="auto"/>
        <w:jc w:val="left"/>
        <w:rPr>
          <w:lang w:val="en-US"/>
        </w:rPr>
      </w:pPr>
    </w:p>
    <w:p w14:paraId="3DCAFF78" w14:textId="77777777" w:rsidR="0092470A" w:rsidRDefault="00000000" w:rsidP="001C2FB4">
      <w:pPr>
        <w:spacing w:line="240" w:lineRule="auto"/>
        <w:jc w:val="left"/>
      </w:pPr>
      <w:bookmarkStart w:id="48" w:name="_Toc129895217"/>
      <w:bookmarkStart w:id="49" w:name="_Toc129895727"/>
      <w:r>
        <w:rPr>
          <w:lang w:val="en-US"/>
        </w:rPr>
        <w:t xml:space="preserve">SUNSTEIN, Cass; THALER, Richard; LINO, MARCELLO. </w:t>
      </w:r>
      <w:bookmarkEnd w:id="48"/>
      <w:bookmarkEnd w:id="49"/>
      <w:r>
        <w:t xml:space="preserve">NUDGE: o empurrão para a escolha certa. Trad. Marcelo </w:t>
      </w:r>
      <w:proofErr w:type="spellStart"/>
      <w:r>
        <w:t>Linnus</w:t>
      </w:r>
      <w:proofErr w:type="spellEnd"/>
      <w:r>
        <w:t xml:space="preserve">. </w:t>
      </w:r>
      <w:proofErr w:type="spellStart"/>
      <w:r>
        <w:t>Sãop</w:t>
      </w:r>
      <w:proofErr w:type="spellEnd"/>
      <w:r>
        <w:t xml:space="preserve"> Paulo: Campus, p. 412, 2008.</w:t>
      </w:r>
    </w:p>
    <w:p w14:paraId="2FB7858C" w14:textId="77777777" w:rsidR="0092470A" w:rsidRDefault="0092470A" w:rsidP="001C2FB4">
      <w:pPr>
        <w:spacing w:line="240" w:lineRule="auto"/>
        <w:jc w:val="left"/>
      </w:pPr>
    </w:p>
    <w:p w14:paraId="2E8B155E" w14:textId="77777777" w:rsidR="0092470A" w:rsidRDefault="00000000" w:rsidP="001C2FB4">
      <w:pPr>
        <w:spacing w:line="240" w:lineRule="auto"/>
        <w:jc w:val="left"/>
      </w:pPr>
      <w:r>
        <w:t>TEIXEIRA, Ricardo Luiz Perez; SILVA, Priscilla Chantal Duarte; DE ARAÚJO BRITO, Max Leandro. Aplicabilidade de metodologias ativas de aprendizagem baseada em problemas em cursos de graduação em engenharia. Humanidades &amp; Inovação, v. 6, n. 8, p. 138-147, 2019.</w:t>
      </w:r>
    </w:p>
    <w:p w14:paraId="28BF71E5" w14:textId="77777777" w:rsidR="0092470A" w:rsidRDefault="0092470A" w:rsidP="001C2FB4">
      <w:pPr>
        <w:spacing w:line="240" w:lineRule="auto"/>
        <w:jc w:val="left"/>
      </w:pPr>
    </w:p>
    <w:p w14:paraId="53812140" w14:textId="77777777" w:rsidR="0092470A" w:rsidRDefault="00000000" w:rsidP="001C2FB4">
      <w:pPr>
        <w:spacing w:line="240" w:lineRule="auto"/>
        <w:jc w:val="left"/>
      </w:pPr>
      <w:bookmarkStart w:id="50" w:name="_Toc129895219"/>
      <w:bookmarkStart w:id="51" w:name="_Toc129895729"/>
      <w:bookmarkEnd w:id="50"/>
      <w:bookmarkEnd w:id="51"/>
      <w:r>
        <w:t xml:space="preserve">VIANA FILHO, Hernani Velloso. Opa, meu dinheiro não é capim. Salvador: </w:t>
      </w:r>
      <w:proofErr w:type="spellStart"/>
      <w:r>
        <w:t>Idéia</w:t>
      </w:r>
      <w:proofErr w:type="spellEnd"/>
      <w:r>
        <w:t xml:space="preserve"> Livre, 2003.</w:t>
      </w:r>
    </w:p>
    <w:p w14:paraId="1BE583E5" w14:textId="77777777" w:rsidR="0092470A" w:rsidRDefault="0092470A" w:rsidP="001C2FB4">
      <w:pPr>
        <w:spacing w:line="240" w:lineRule="auto"/>
        <w:jc w:val="left"/>
      </w:pPr>
    </w:p>
    <w:p w14:paraId="4F01B465" w14:textId="77777777" w:rsidR="0092470A" w:rsidRPr="0020059C" w:rsidRDefault="00000000" w:rsidP="001C2FB4">
      <w:pPr>
        <w:spacing w:line="240" w:lineRule="auto"/>
        <w:jc w:val="left"/>
        <w:rPr>
          <w:lang w:val="en-US"/>
        </w:rPr>
      </w:pPr>
      <w:r>
        <w:t xml:space="preserve">VITT, Lois A. et al. </w:t>
      </w:r>
      <w:r>
        <w:rPr>
          <w:lang w:val="en-US"/>
        </w:rPr>
        <w:t xml:space="preserve">Personal finance and the rush to competence: Financial literacy education in the US. Institute for Socio-Financial Studies Working Paper, http://www. </w:t>
      </w:r>
      <w:proofErr w:type="spellStart"/>
      <w:r>
        <w:rPr>
          <w:lang w:val="en-US"/>
        </w:rPr>
        <w:t>isfs</w:t>
      </w:r>
      <w:proofErr w:type="spellEnd"/>
      <w:r>
        <w:rPr>
          <w:lang w:val="en-US"/>
        </w:rPr>
        <w:t>. org/</w:t>
      </w:r>
      <w:proofErr w:type="spellStart"/>
      <w:r>
        <w:rPr>
          <w:lang w:val="en-US"/>
        </w:rPr>
        <w:t>documentspdfs</w:t>
      </w:r>
      <w:proofErr w:type="spellEnd"/>
      <w:r>
        <w:rPr>
          <w:lang w:val="en-US"/>
        </w:rPr>
        <w:t>/rep-</w:t>
      </w:r>
      <w:proofErr w:type="spellStart"/>
      <w:r>
        <w:rPr>
          <w:lang w:val="en-US"/>
        </w:rPr>
        <w:t>finliteracy</w:t>
      </w:r>
      <w:proofErr w:type="spellEnd"/>
      <w:r>
        <w:rPr>
          <w:lang w:val="en-US"/>
        </w:rPr>
        <w:t>. pdf, 2000.</w:t>
      </w:r>
    </w:p>
    <w:p w14:paraId="0F72561E" w14:textId="77777777" w:rsidR="0092470A" w:rsidRDefault="0092470A" w:rsidP="001C2FB4">
      <w:pPr>
        <w:spacing w:line="240" w:lineRule="auto"/>
        <w:jc w:val="left"/>
        <w:rPr>
          <w:lang w:val="en-US"/>
        </w:rPr>
      </w:pPr>
    </w:p>
    <w:p w14:paraId="305E850E" w14:textId="77777777" w:rsidR="0092470A" w:rsidRDefault="00000000" w:rsidP="001C2FB4">
      <w:pPr>
        <w:spacing w:line="240" w:lineRule="auto"/>
        <w:jc w:val="left"/>
      </w:pPr>
      <w:r>
        <w:t xml:space="preserve">WISNIEWSKI, Marina Luiza Gaspar. A importância da educação financeira na gestão das finanças pessoais: uma ênfase na popularização do mercado de capitais brasileiro. Revista </w:t>
      </w:r>
      <w:proofErr w:type="spellStart"/>
      <w:r>
        <w:t>Intersaberes</w:t>
      </w:r>
      <w:proofErr w:type="spellEnd"/>
      <w:r>
        <w:t>, v. 6, n. 11, p. 155-170, 2011.</w:t>
      </w:r>
    </w:p>
    <w:p w14:paraId="352340DB" w14:textId="77777777" w:rsidR="0092470A" w:rsidRDefault="0092470A" w:rsidP="001C2FB4">
      <w:pPr>
        <w:spacing w:line="240" w:lineRule="auto"/>
        <w:jc w:val="left"/>
      </w:pPr>
    </w:p>
    <w:p w14:paraId="247BD213" w14:textId="77777777" w:rsidR="0092470A" w:rsidRPr="0020059C" w:rsidRDefault="00000000" w:rsidP="001C2FB4">
      <w:pPr>
        <w:spacing w:line="240" w:lineRule="auto"/>
        <w:jc w:val="left"/>
        <w:rPr>
          <w:lang w:val="en-US"/>
        </w:rPr>
      </w:pPr>
      <w:r>
        <w:lastRenderedPageBreak/>
        <w:t>WOOLDRIDGE, Jeffrey M. Introdução à econometria. </w:t>
      </w:r>
      <w:r>
        <w:rPr>
          <w:lang w:val="en-US"/>
        </w:rPr>
        <w:t>São Paulo: Thomson Learning, 2019.</w:t>
      </w:r>
    </w:p>
    <w:p w14:paraId="3D36E570" w14:textId="77777777" w:rsidR="0092470A" w:rsidRDefault="0092470A" w:rsidP="001C2FB4">
      <w:pPr>
        <w:spacing w:line="240" w:lineRule="auto"/>
        <w:jc w:val="left"/>
        <w:rPr>
          <w:lang w:val="en-US"/>
        </w:rPr>
      </w:pPr>
    </w:p>
    <w:p w14:paraId="7E0CDEEA" w14:textId="77777777" w:rsidR="0092470A" w:rsidRDefault="00000000" w:rsidP="001C2FB4">
      <w:pPr>
        <w:spacing w:line="240" w:lineRule="auto"/>
        <w:jc w:val="left"/>
      </w:pPr>
      <w:r>
        <w:rPr>
          <w:lang w:val="en-US"/>
        </w:rPr>
        <w:t>XIAO, Jing Jian; O'NEILL, Barbara. Consumer financial education and financial capability. International Journal of Consumer Studies, v. 40, n. 6, p. 712-721, 2016.</w:t>
      </w:r>
    </w:p>
    <w:p w14:paraId="4ED0A00F" w14:textId="77777777" w:rsidR="0092470A" w:rsidRDefault="0092470A" w:rsidP="001C2FB4">
      <w:pPr>
        <w:spacing w:line="240" w:lineRule="auto"/>
        <w:jc w:val="left"/>
        <w:rPr>
          <w:spacing w:val="-2"/>
        </w:rPr>
      </w:pPr>
    </w:p>
    <w:p w14:paraId="34992C67" w14:textId="77777777" w:rsidR="0092470A" w:rsidRDefault="0092470A" w:rsidP="0020059C"/>
    <w:sectPr w:rsidR="0092470A">
      <w:headerReference w:type="default" r:id="rId14"/>
      <w:footerReference w:type="default" r:id="rId15"/>
      <w:pgSz w:w="11906" w:h="16838"/>
      <w:pgMar w:top="1414" w:right="1134" w:bottom="1134" w:left="1701" w:header="709" w:footer="709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09FFB" w14:textId="77777777" w:rsidR="00F53B23" w:rsidRDefault="00F53B23">
      <w:pPr>
        <w:spacing w:line="240" w:lineRule="auto"/>
      </w:pPr>
      <w:r>
        <w:separator/>
      </w:r>
    </w:p>
  </w:endnote>
  <w:endnote w:type="continuationSeparator" w:id="0">
    <w:p w14:paraId="53D9991C" w14:textId="77777777" w:rsidR="00F53B23" w:rsidRDefault="00F53B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Math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 L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Roboto Black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442849"/>
    </w:sdtPr>
    <w:sdtContent>
      <w:p w14:paraId="7B0878AE" w14:textId="77777777" w:rsidR="0092470A" w:rsidRDefault="00000000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27</w:t>
        </w:r>
        <w:r>
          <w:fldChar w:fldCharType="end"/>
        </w:r>
      </w:p>
    </w:sdtContent>
  </w:sdt>
  <w:p w14:paraId="0F0A990F" w14:textId="77777777" w:rsidR="0092470A" w:rsidRDefault="0092470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D45E7" w14:textId="77777777" w:rsidR="00F53B23" w:rsidRDefault="00F53B23">
      <w:pPr>
        <w:spacing w:line="240" w:lineRule="auto"/>
      </w:pPr>
      <w:r>
        <w:separator/>
      </w:r>
    </w:p>
  </w:footnote>
  <w:footnote w:type="continuationSeparator" w:id="0">
    <w:p w14:paraId="54D35DD9" w14:textId="77777777" w:rsidR="00F53B23" w:rsidRDefault="00F53B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A61B7" w14:textId="77777777" w:rsidR="0092470A" w:rsidRDefault="00000000">
    <w:pPr>
      <w:pStyle w:val="Cabealho"/>
      <w:tabs>
        <w:tab w:val="left" w:pos="1416"/>
        <w:tab w:val="left" w:pos="2124"/>
        <w:tab w:val="left" w:pos="2832"/>
        <w:tab w:val="left" w:pos="3540"/>
      </w:tabs>
      <w:jc w:val="left"/>
      <w:rPr>
        <w:szCs w:val="20"/>
      </w:rPr>
    </w:pPr>
    <w:r>
      <w:rPr>
        <w:noProof/>
      </w:rPr>
      <w:drawing>
        <wp:anchor distT="0" distB="4445" distL="114300" distR="123190" simplePos="0" relativeHeight="28" behindDoc="0" locked="0" layoutInCell="1" allowOverlap="1" wp14:anchorId="6C2F76C6" wp14:editId="73EC6950">
          <wp:simplePos x="0" y="0"/>
          <wp:positionH relativeFrom="column">
            <wp:posOffset>-22860</wp:posOffset>
          </wp:positionH>
          <wp:positionV relativeFrom="paragraph">
            <wp:posOffset>-250190</wp:posOffset>
          </wp:positionV>
          <wp:extent cx="5687060" cy="624205"/>
          <wp:effectExtent l="0" t="0" r="0" b="0"/>
          <wp:wrapTight wrapText="bothSides">
            <wp:wrapPolygon edited="0">
              <wp:start x="-63" y="0"/>
              <wp:lineTo x="-63" y="21002"/>
              <wp:lineTo x="21553" y="21002"/>
              <wp:lineTo x="21553" y="0"/>
              <wp:lineTo x="-63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87060" cy="624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Cs w:val="20"/>
      </w:rPr>
      <w:tab/>
    </w:r>
    <w:r>
      <w:rPr>
        <w:szCs w:val="20"/>
      </w:rPr>
      <w:tab/>
    </w:r>
  </w:p>
  <w:p w14:paraId="62A3AB68" w14:textId="77777777" w:rsidR="0092470A" w:rsidRDefault="0092470A">
    <w:pPr>
      <w:pStyle w:val="Cabealho"/>
      <w:jc w:val="center"/>
      <w:rPr>
        <w:szCs w:val="20"/>
      </w:rPr>
    </w:pPr>
  </w:p>
  <w:p w14:paraId="3BF38D46" w14:textId="77777777" w:rsidR="0092470A" w:rsidRDefault="0092470A">
    <w:pPr>
      <w:pStyle w:val="Cabealho"/>
      <w:jc w:val="center"/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00C66"/>
    <w:multiLevelType w:val="multilevel"/>
    <w:tmpl w:val="BB64A27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6AA1F13"/>
    <w:multiLevelType w:val="multilevel"/>
    <w:tmpl w:val="80E8E090"/>
    <w:lvl w:ilvl="0">
      <w:start w:val="1"/>
      <w:numFmt w:val="decimal"/>
      <w:lvlText w:val="%1)"/>
      <w:lvlJc w:val="left"/>
      <w:pPr>
        <w:ind w:left="1211" w:hanging="360"/>
      </w:pPr>
      <w:rPr>
        <w:rFonts w:eastAsia="CambriaMath"/>
        <w:sz w:val="24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num w:numId="1" w16cid:durableId="886332010">
    <w:abstractNumId w:val="1"/>
  </w:num>
  <w:num w:numId="2" w16cid:durableId="550772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0A"/>
    <w:rsid w:val="001C2FB4"/>
    <w:rsid w:val="0020059C"/>
    <w:rsid w:val="00347A61"/>
    <w:rsid w:val="003A4AC2"/>
    <w:rsid w:val="00481099"/>
    <w:rsid w:val="006A3600"/>
    <w:rsid w:val="007C27B0"/>
    <w:rsid w:val="007E2EF9"/>
    <w:rsid w:val="008747FF"/>
    <w:rsid w:val="0092249A"/>
    <w:rsid w:val="0092470A"/>
    <w:rsid w:val="009657BF"/>
    <w:rsid w:val="00B57463"/>
    <w:rsid w:val="00B85799"/>
    <w:rsid w:val="00CE51A6"/>
    <w:rsid w:val="00D1030F"/>
    <w:rsid w:val="00E67CD8"/>
    <w:rsid w:val="00EB0118"/>
    <w:rsid w:val="00F5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FCF68"/>
  <w15:docId w15:val="{BAEA5AF4-37E0-44DE-97ED-3EA743A99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uiPriority="29" w:qFormat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799"/>
    <w:pPr>
      <w:tabs>
        <w:tab w:val="left" w:pos="851"/>
      </w:tabs>
      <w:spacing w:line="360" w:lineRule="auto"/>
      <w:jc w:val="both"/>
    </w:pPr>
    <w:rPr>
      <w:rFonts w:ascii="Roboto Lt" w:hAnsi="Roboto Lt"/>
      <w:color w:val="00000A"/>
      <w:sz w:val="24"/>
      <w:szCs w:val="22"/>
      <w:lang w:eastAsia="pt-BR" w:bidi="ar-SA"/>
    </w:rPr>
  </w:style>
  <w:style w:type="paragraph" w:styleId="Ttulo1">
    <w:name w:val="heading 1"/>
    <w:basedOn w:val="Normal"/>
    <w:autoRedefine/>
    <w:uiPriority w:val="9"/>
    <w:qFormat/>
    <w:rsid w:val="00B57463"/>
    <w:pPr>
      <w:keepNext/>
      <w:keepLines/>
      <w:spacing w:before="240" w:after="240" w:line="240" w:lineRule="auto"/>
      <w:jc w:val="right"/>
      <w:outlineLvl w:val="0"/>
    </w:pPr>
    <w:rPr>
      <w:rFonts w:ascii="Roboto Black" w:eastAsiaTheme="majorEastAsia" w:hAnsi="Roboto Black" w:cstheme="majorBidi"/>
      <w:b/>
      <w:bCs/>
      <w:color w:val="C00000"/>
      <w:sz w:val="28"/>
      <w:szCs w:val="28"/>
    </w:rPr>
  </w:style>
  <w:style w:type="paragraph" w:styleId="Ttulo2">
    <w:name w:val="heading 2"/>
    <w:basedOn w:val="Normal"/>
    <w:autoRedefine/>
    <w:uiPriority w:val="9"/>
    <w:unhideWhenUsed/>
    <w:qFormat/>
    <w:rsid w:val="001C2FB4"/>
    <w:pPr>
      <w:keepNext/>
      <w:keepLines/>
      <w:pBdr>
        <w:bottom w:val="single" w:sz="18" w:space="1" w:color="auto"/>
      </w:pBdr>
      <w:spacing w:before="240" w:after="240" w:line="240" w:lineRule="auto"/>
      <w:jc w:val="right"/>
      <w:outlineLvl w:val="1"/>
    </w:pPr>
    <w:rPr>
      <w:rFonts w:ascii="Roboto Black" w:eastAsia="Arial" w:hAnsi="Roboto Black" w:cstheme="majorBidi"/>
      <w:bCs/>
      <w:caps/>
      <w:color w:val="C00000"/>
      <w:szCs w:val="26"/>
    </w:rPr>
  </w:style>
  <w:style w:type="paragraph" w:styleId="Ttulo3">
    <w:name w:val="heading 3"/>
    <w:basedOn w:val="Normal"/>
    <w:autoRedefine/>
    <w:uiPriority w:val="9"/>
    <w:unhideWhenUsed/>
    <w:qFormat/>
    <w:rsid w:val="0020059C"/>
    <w:pPr>
      <w:keepNext/>
      <w:keepLines/>
      <w:spacing w:before="240" w:after="240" w:line="240" w:lineRule="auto"/>
      <w:jc w:val="left"/>
      <w:outlineLvl w:val="2"/>
    </w:pPr>
    <w:rPr>
      <w:rFonts w:eastAsiaTheme="majorEastAsia" w:cstheme="majorBidi"/>
      <w:bCs/>
      <w:color w:val="00000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uiPriority w:val="99"/>
    <w:qFormat/>
  </w:style>
  <w:style w:type="character" w:customStyle="1" w:styleId="RodapChar">
    <w:name w:val="Rodapé Char"/>
    <w:basedOn w:val="Fontepargpadro"/>
    <w:uiPriority w:val="99"/>
    <w:qFormat/>
  </w:style>
  <w:style w:type="character" w:customStyle="1" w:styleId="TextodebaloChar">
    <w:name w:val="Texto de balão Char"/>
    <w:basedOn w:val="Fontepargpadro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uiPriority w:val="9"/>
    <w:qFormat/>
    <w:rsid w:val="0020059C"/>
    <w:rPr>
      <w:rFonts w:ascii="Roboto Black" w:hAnsi="Roboto Black" w:cstheme="majorBidi"/>
      <w:b/>
      <w:bCs/>
      <w:sz w:val="24"/>
      <w:szCs w:val="28"/>
    </w:rPr>
  </w:style>
  <w:style w:type="character" w:customStyle="1" w:styleId="Ttulo2Char">
    <w:name w:val="Título 2 Char"/>
    <w:basedOn w:val="Fontepargpadro"/>
    <w:uiPriority w:val="9"/>
    <w:qFormat/>
    <w:rPr>
      <w:rFonts w:ascii="Times New Roman" w:eastAsia="Arial" w:hAnsi="Times New Roman" w:cstheme="majorBidi"/>
      <w:bCs/>
      <w:caps/>
      <w:sz w:val="24"/>
      <w:szCs w:val="26"/>
    </w:rPr>
  </w:style>
  <w:style w:type="character" w:customStyle="1" w:styleId="CitaoChar">
    <w:name w:val="Citação Char"/>
    <w:basedOn w:val="Fontepargpadro"/>
    <w:uiPriority w:val="29"/>
    <w:qFormat/>
    <w:rPr>
      <w:rFonts w:ascii="Times New Roman" w:eastAsia="Arial" w:hAnsi="Times New Roman"/>
      <w:iCs/>
      <w:color w:val="000000" w:themeColor="text1"/>
    </w:rPr>
  </w:style>
  <w:style w:type="character" w:customStyle="1" w:styleId="Ttulo3Char">
    <w:name w:val="Título 3 Char"/>
    <w:basedOn w:val="Fontepargpadro"/>
    <w:uiPriority w:val="9"/>
    <w:qFormat/>
    <w:rPr>
      <w:rFonts w:ascii="Times New Roman" w:eastAsiaTheme="majorEastAsia" w:hAnsi="Times New Roman" w:cstheme="majorBidi"/>
      <w:b/>
      <w:bCs/>
      <w:sz w:val="24"/>
    </w:rPr>
  </w:style>
  <w:style w:type="character" w:customStyle="1" w:styleId="LinkdaInternet">
    <w:name w:val="Link da Internet"/>
    <w:rPr>
      <w:color w:val="000080"/>
      <w:u w:val="single"/>
      <w:lang/>
    </w:rPr>
  </w:style>
  <w:style w:type="character" w:customStyle="1" w:styleId="A0">
    <w:name w:val="A0"/>
    <w:qFormat/>
    <w:rPr>
      <w:color w:val="221E1F"/>
      <w:sz w:val="18"/>
      <w:szCs w:val="18"/>
    </w:rPr>
  </w:style>
  <w:style w:type="character" w:customStyle="1" w:styleId="ListLabel39">
    <w:name w:val="ListLabel 39"/>
    <w:qFormat/>
    <w:rPr>
      <w:rFonts w:ascii="Times New Roman" w:eastAsia="CambriaMath" w:hAnsi="Times New Roman"/>
      <w:sz w:val="24"/>
    </w:rPr>
  </w:style>
  <w:style w:type="character" w:customStyle="1" w:styleId="ListLabel40">
    <w:name w:val="ListLabel 40"/>
    <w:qFormat/>
    <w:rPr>
      <w:rFonts w:eastAsia="CambriaMath"/>
      <w:sz w:val="24"/>
    </w:rPr>
  </w:style>
  <w:style w:type="character" w:customStyle="1" w:styleId="ListLabel41">
    <w:name w:val="ListLabel 41"/>
    <w:qFormat/>
    <w:rPr>
      <w:rFonts w:eastAsia="CambriaMath"/>
      <w:sz w:val="24"/>
    </w:rPr>
  </w:style>
  <w:style w:type="character" w:customStyle="1" w:styleId="ListLabel42">
    <w:name w:val="ListLabel 42"/>
    <w:qFormat/>
    <w:rPr>
      <w:rFonts w:eastAsia="CambriaMath"/>
      <w:sz w:val="24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uiPriority w:val="99"/>
    <w:unhideWhenUsed/>
    <w:qFormat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uiPriority w:val="99"/>
    <w:unhideWhenUsed/>
    <w:qFormat/>
    <w:pPr>
      <w:tabs>
        <w:tab w:val="center" w:pos="4252"/>
        <w:tab w:val="right" w:pos="8504"/>
      </w:tabs>
      <w:spacing w:line="240" w:lineRule="auto"/>
    </w:pPr>
  </w:style>
  <w:style w:type="paragraph" w:styleId="Textodebalo">
    <w:name w:val="Balloon Text"/>
    <w:basedOn w:val="Normal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Citao">
    <w:name w:val="Quote"/>
    <w:basedOn w:val="Normal"/>
    <w:uiPriority w:val="29"/>
    <w:qFormat/>
    <w:pPr>
      <w:spacing w:line="240" w:lineRule="auto"/>
      <w:ind w:left="2268"/>
    </w:pPr>
    <w:rPr>
      <w:rFonts w:eastAsia="Arial"/>
      <w:iCs/>
      <w:color w:val="000000" w:themeColor="text1"/>
      <w:sz w:val="22"/>
    </w:rPr>
  </w:style>
  <w:style w:type="paragraph" w:customStyle="1" w:styleId="Reviso1">
    <w:name w:val="Revisão1"/>
    <w:uiPriority w:val="99"/>
    <w:semiHidden/>
    <w:qFormat/>
    <w:rPr>
      <w:rFonts w:ascii="Times New Roman" w:hAnsi="Times New Roman"/>
      <w:color w:val="00000A"/>
      <w:sz w:val="24"/>
      <w:szCs w:val="22"/>
      <w:lang w:eastAsia="pt-BR" w:bidi="ar-SA"/>
    </w:rPr>
  </w:style>
  <w:style w:type="paragraph" w:styleId="PargrafodaLista">
    <w:name w:val="List Paragraph"/>
    <w:basedOn w:val="Normal"/>
    <w:uiPriority w:val="34"/>
    <w:qFormat/>
    <w:pPr>
      <w:spacing w:line="240" w:lineRule="auto"/>
      <w:ind w:left="720"/>
      <w:contextualSpacing/>
      <w:jc w:val="left"/>
    </w:pPr>
    <w:rPr>
      <w:rFonts w:eastAsia="Times New Roman" w:cs="Times New Roman"/>
      <w:szCs w:val="24"/>
    </w:rPr>
  </w:style>
  <w:style w:type="paragraph" w:customStyle="1" w:styleId="Texto">
    <w:name w:val="Texto"/>
    <w:basedOn w:val="Normal"/>
    <w:qFormat/>
    <w:pPr>
      <w:suppressAutoHyphens/>
      <w:ind w:firstLine="851"/>
    </w:pPr>
    <w:rPr>
      <w:rFonts w:ascii="Arial" w:eastAsia="Calibri" w:hAnsi="Arial" w:cs="Arial"/>
      <w:lang w:eastAsia="zh-CN"/>
    </w:rPr>
  </w:style>
  <w:style w:type="paragraph" w:customStyle="1" w:styleId="Naturezadotrabalho">
    <w:name w:val="Natureza do trabalho"/>
    <w:basedOn w:val="Normal"/>
    <w:qFormat/>
    <w:pPr>
      <w:spacing w:line="240" w:lineRule="auto"/>
      <w:ind w:left="4536"/>
    </w:pPr>
    <w:rPr>
      <w:sz w:val="20"/>
    </w:rPr>
  </w:style>
  <w:style w:type="paragraph" w:customStyle="1" w:styleId="WW-Legenda">
    <w:name w:val="WW-Legenda"/>
    <w:basedOn w:val="Normal"/>
    <w:next w:val="Texto"/>
    <w:qFormat/>
    <w:pPr>
      <w:spacing w:before="120" w:after="120" w:line="240" w:lineRule="auto"/>
    </w:pPr>
    <w:rPr>
      <w:bCs/>
      <w:sz w:val="20"/>
      <w:szCs w:val="18"/>
    </w:rPr>
  </w:style>
  <w:style w:type="paragraph" w:customStyle="1" w:styleId="Capa-Folhaderosto">
    <w:name w:val="Capa-Folha de rosto"/>
    <w:basedOn w:val="Normal"/>
    <w:qFormat/>
    <w:rPr>
      <w:caps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1C2FB4"/>
    <w:pPr>
      <w:numPr>
        <w:ilvl w:val="1"/>
      </w:numPr>
      <w:spacing w:after="240" w:line="240" w:lineRule="auto"/>
      <w:jc w:val="right"/>
    </w:pPr>
    <w:rPr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1C2FB4"/>
    <w:rPr>
      <w:rFonts w:ascii="Roboto" w:hAnsi="Roboto"/>
      <w:color w:val="5A5A5A" w:themeColor="text1" w:themeTint="A5"/>
      <w:spacing w:val="15"/>
      <w:sz w:val="22"/>
      <w:szCs w:val="22"/>
      <w:lang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.br/citations?user=LaXJcpkAAAAJ&amp;hl=pt-BR&amp;oi=sra" TargetMode="External"/><Relationship Id="rId13" Type="http://schemas.openxmlformats.org/officeDocument/2006/relationships/hyperlink" Target="https://apl1.sti.fab.mil.br/portal/faces/ticotico.x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x.doi.org/10.2139/ssrn.1948627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/Users/paula/OneDrive/Desktop/RelatorioInqueritoLiteraciaFinanceira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sinonimos.com.br/inconciliabilidad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0407A-7026-416C-A74A-E651B0828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30</Pages>
  <Words>9366</Words>
  <Characters>50578</Characters>
  <Application>Microsoft Office Word</Application>
  <DocSecurity>0</DocSecurity>
  <Lines>421</Lines>
  <Paragraphs>119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UFRN</Company>
  <LinksUpToDate>false</LinksUpToDate>
  <CharactersWithSpaces>59825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Periodicos-PC02</dc:creator>
  <dc:description/>
  <cp:lastModifiedBy>Nícolas Vitorino</cp:lastModifiedBy>
  <cp:revision>13</cp:revision>
  <cp:lastPrinted>2024-03-13T12:32:00Z</cp:lastPrinted>
  <dcterms:created xsi:type="dcterms:W3CDTF">2024-03-13T11:24:00Z</dcterms:created>
  <dcterms:modified xsi:type="dcterms:W3CDTF">2024-03-13T15:34:00Z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UFRN</vt:lpwstr>
  </property>
  <property fmtid="{D5CDD505-2E9C-101B-9397-08002B2CF9AE}" pid="3" name="DocSecurity">
    <vt:i4>0</vt:i4>
  </property>
  <property fmtid="{D5CDD505-2E9C-101B-9397-08002B2CF9AE}" pid="4" name="ICV">
    <vt:lpwstr>1A47CF4BCDEE46B788D17D5BBF132072</vt:lpwstr>
  </property>
  <property fmtid="{D5CDD505-2E9C-101B-9397-08002B2CF9AE}" pid="5" name="KSOProductBuildVer">
    <vt:lpwstr>1046-11.2.0.11537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</Properties>
</file>