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EF02" w14:textId="7E1F531D" w:rsidR="004442F4" w:rsidRPr="00E06427" w:rsidRDefault="009F70BC" w:rsidP="0078763F">
      <w:pPr>
        <w:spacing w:line="240" w:lineRule="auto"/>
        <w:jc w:val="center"/>
        <w:rPr>
          <w:rFonts w:eastAsia="Arial" w:cs="Times New Roman"/>
          <w:bCs/>
          <w:szCs w:val="24"/>
        </w:rPr>
      </w:pPr>
      <w:r w:rsidRPr="00E06427">
        <w:rPr>
          <w:rFonts w:eastAsia="Arial" w:cs="Times New Roman"/>
          <w:bCs/>
          <w:szCs w:val="24"/>
        </w:rPr>
        <w:t xml:space="preserve">GT </w:t>
      </w:r>
      <w:r w:rsidR="00E06427" w:rsidRPr="00E06427">
        <w:rPr>
          <w:rFonts w:eastAsia="Arial" w:cs="Times New Roman"/>
          <w:bCs/>
          <w:szCs w:val="24"/>
        </w:rPr>
        <w:t>- ESTRATÉGIA E GESTÃO ORGANIZACIONAL</w:t>
      </w:r>
    </w:p>
    <w:p w14:paraId="4D31E123" w14:textId="77777777" w:rsidR="004442F4" w:rsidRPr="00E06427" w:rsidRDefault="004442F4" w:rsidP="0078763F">
      <w:pPr>
        <w:spacing w:line="240" w:lineRule="auto"/>
        <w:jc w:val="center"/>
        <w:rPr>
          <w:rFonts w:eastAsia="Arial" w:cs="Times New Roman"/>
          <w:b/>
          <w:szCs w:val="24"/>
        </w:rPr>
      </w:pPr>
    </w:p>
    <w:p w14:paraId="0D96EB83" w14:textId="05FDFE2D" w:rsidR="004442F4" w:rsidRPr="00E06427" w:rsidRDefault="00CB4AD4" w:rsidP="00E06427">
      <w:pPr>
        <w:pStyle w:val="Ttulo"/>
      </w:pPr>
      <w:r w:rsidRPr="00E06427">
        <w:t xml:space="preserve">AS METODOLOGIAS ATIVAS </w:t>
      </w:r>
      <w:r w:rsidR="009709D4" w:rsidRPr="00E06427">
        <w:t xml:space="preserve">E A AVALIAÇÃO </w:t>
      </w:r>
      <w:r w:rsidR="0044189F" w:rsidRPr="00E06427">
        <w:t xml:space="preserve">DA </w:t>
      </w:r>
      <w:r w:rsidR="001D0128" w:rsidRPr="00E06427">
        <w:t>Q</w:t>
      </w:r>
      <w:r w:rsidR="009B0D10" w:rsidRPr="00E06427">
        <w:t>UALIDADE NO ENSINO SUPERIOR</w:t>
      </w:r>
      <w:r w:rsidR="00936992" w:rsidRPr="00E06427">
        <w:t xml:space="preserve"> EM ADMINISTRAÇÃO</w:t>
      </w:r>
      <w:r w:rsidR="009B0D10" w:rsidRPr="00E06427">
        <w:t xml:space="preserve">: </w:t>
      </w:r>
      <w:r w:rsidR="00023034" w:rsidRPr="00E06427">
        <w:t>uma revisão sistematizada da literatura</w:t>
      </w:r>
    </w:p>
    <w:p w14:paraId="26D2B413" w14:textId="4615611A" w:rsidR="00374979" w:rsidRPr="00023034" w:rsidRDefault="00374979" w:rsidP="00E06427">
      <w:pPr>
        <w:spacing w:line="240" w:lineRule="auto"/>
        <w:jc w:val="right"/>
        <w:rPr>
          <w:rFonts w:eastAsia="Arial" w:cs="Times New Roman"/>
          <w:szCs w:val="24"/>
        </w:rPr>
      </w:pPr>
      <w:r w:rsidRPr="00023034">
        <w:rPr>
          <w:rFonts w:cs="Times New Roman"/>
          <w:szCs w:val="24"/>
        </w:rPr>
        <w:t>Pio Marinheiro de Souza Neto</w:t>
      </w:r>
      <w:r w:rsidR="00E06427" w:rsidRPr="00023034">
        <w:rPr>
          <w:rFonts w:cs="Times New Roman"/>
          <w:szCs w:val="24"/>
        </w:rPr>
        <w:t xml:space="preserve">, </w:t>
      </w:r>
      <w:r w:rsidRPr="00023034">
        <w:rPr>
          <w:rFonts w:cs="Times New Roman"/>
          <w:szCs w:val="24"/>
        </w:rPr>
        <w:t>Max Leandro de Araújo Brito</w:t>
      </w:r>
      <w:r w:rsidR="008E0E06" w:rsidRPr="00023034">
        <w:rPr>
          <w:rFonts w:cs="Times New Roman"/>
          <w:szCs w:val="24"/>
        </w:rPr>
        <w:t xml:space="preserve"> </w:t>
      </w:r>
    </w:p>
    <w:p w14:paraId="53AC354F" w14:textId="77777777" w:rsidR="00374979" w:rsidRPr="00E06427" w:rsidRDefault="00374979" w:rsidP="0078763F">
      <w:pPr>
        <w:spacing w:line="240" w:lineRule="auto"/>
        <w:jc w:val="center"/>
        <w:rPr>
          <w:rFonts w:eastAsia="Arial" w:cs="Times New Roman"/>
          <w:b/>
          <w:szCs w:val="24"/>
        </w:rPr>
      </w:pPr>
    </w:p>
    <w:p w14:paraId="68897942" w14:textId="77777777" w:rsidR="00702154" w:rsidRPr="00E06427" w:rsidRDefault="00702154" w:rsidP="0078763F">
      <w:pPr>
        <w:spacing w:line="240" w:lineRule="auto"/>
        <w:jc w:val="center"/>
        <w:rPr>
          <w:rFonts w:eastAsia="Arial" w:cs="Times New Roman"/>
          <w:b/>
          <w:szCs w:val="24"/>
          <w:u w:val="single"/>
        </w:rPr>
      </w:pPr>
    </w:p>
    <w:p w14:paraId="4741087C" w14:textId="77777777" w:rsidR="004442F4" w:rsidRPr="00E06427" w:rsidRDefault="009F70BC">
      <w:pPr>
        <w:spacing w:line="240" w:lineRule="auto"/>
        <w:rPr>
          <w:rFonts w:eastAsia="Arial" w:cs="Times New Roman"/>
          <w:b/>
          <w:caps/>
          <w:szCs w:val="24"/>
        </w:rPr>
      </w:pPr>
      <w:r w:rsidRPr="00E06427">
        <w:rPr>
          <w:rFonts w:eastAsia="Arial" w:cs="Times New Roman"/>
          <w:b/>
          <w:caps/>
          <w:szCs w:val="24"/>
        </w:rPr>
        <w:t>Resumo</w:t>
      </w:r>
    </w:p>
    <w:p w14:paraId="24EF58D6" w14:textId="77777777" w:rsidR="004442F4" w:rsidRPr="00E06427" w:rsidRDefault="004442F4">
      <w:pPr>
        <w:spacing w:line="240" w:lineRule="auto"/>
        <w:rPr>
          <w:rFonts w:eastAsia="Arial" w:cs="Times New Roman"/>
          <w:szCs w:val="24"/>
        </w:rPr>
      </w:pPr>
    </w:p>
    <w:p w14:paraId="621B56D0" w14:textId="5339924D" w:rsidR="00F77D40" w:rsidRPr="00E06427" w:rsidRDefault="00B25032" w:rsidP="00CD59BC">
      <w:pPr>
        <w:spacing w:line="240" w:lineRule="auto"/>
        <w:rPr>
          <w:rFonts w:cs="Times New Roman"/>
          <w:sz w:val="22"/>
          <w:shd w:val="clear" w:color="auto" w:fill="FFFFFF"/>
        </w:rPr>
      </w:pPr>
      <w:r w:rsidRPr="00E06427">
        <w:rPr>
          <w:rFonts w:eastAsia="Arial" w:cs="Times New Roman"/>
          <w:sz w:val="22"/>
        </w:rPr>
        <w:t xml:space="preserve">No ensino superior, um dos desafios é estabelecer uma avaliação de qualidade que assegure a conformidade com a legislação atual e proporcione aos estudantes conhecimentos e práticas relevantes para o mercado. </w:t>
      </w:r>
      <w:r w:rsidR="0026299A" w:rsidRPr="00E06427">
        <w:rPr>
          <w:rFonts w:eastAsia="Arial" w:cs="Times New Roman"/>
          <w:sz w:val="22"/>
        </w:rPr>
        <w:t xml:space="preserve">Estudar a </w:t>
      </w:r>
      <w:r w:rsidR="00EA42E6" w:rsidRPr="00E06427">
        <w:rPr>
          <w:rFonts w:eastAsia="Arial" w:cs="Times New Roman"/>
          <w:sz w:val="22"/>
        </w:rPr>
        <w:t xml:space="preserve">qualidade do ensino superior torna-se essencial já que </w:t>
      </w:r>
      <w:r w:rsidR="007E1290" w:rsidRPr="00E06427">
        <w:rPr>
          <w:rFonts w:eastAsia="Arial" w:cs="Times New Roman"/>
          <w:sz w:val="22"/>
        </w:rPr>
        <w:t>p</w:t>
      </w:r>
      <w:r w:rsidR="00682733" w:rsidRPr="00E06427">
        <w:rPr>
          <w:rFonts w:eastAsia="Arial" w:cs="Times New Roman"/>
          <w:sz w:val="22"/>
        </w:rPr>
        <w:t>esquisas apontam deficiências na formação de administradores, destacando a lacuna entre a formação prometida pelos cursos e as demandas do mercado</w:t>
      </w:r>
      <w:r w:rsidR="00F2527E" w:rsidRPr="00E06427">
        <w:rPr>
          <w:rFonts w:eastAsia="Arial" w:cs="Times New Roman"/>
          <w:sz w:val="22"/>
        </w:rPr>
        <w:t xml:space="preserve">. </w:t>
      </w:r>
      <w:r w:rsidR="0043157E" w:rsidRPr="00E06427">
        <w:rPr>
          <w:rFonts w:eastAsia="Arial" w:cs="Times New Roman"/>
          <w:sz w:val="22"/>
        </w:rPr>
        <w:t>Neste contexto, este estudo</w:t>
      </w:r>
      <w:r w:rsidR="00251FAE" w:rsidRPr="00E06427">
        <w:rPr>
          <w:rFonts w:eastAsia="Arial" w:cs="Times New Roman"/>
          <w:sz w:val="22"/>
        </w:rPr>
        <w:t xml:space="preserve"> </w:t>
      </w:r>
      <w:r w:rsidR="00590550" w:rsidRPr="00E06427">
        <w:rPr>
          <w:rFonts w:eastAsia="Arial" w:cs="Times New Roman"/>
          <w:sz w:val="22"/>
        </w:rPr>
        <w:t xml:space="preserve">tem como </w:t>
      </w:r>
      <w:r w:rsidR="00251FAE" w:rsidRPr="00E06427">
        <w:rPr>
          <w:rFonts w:eastAsia="Arial" w:cs="Times New Roman"/>
          <w:sz w:val="22"/>
        </w:rPr>
        <w:t>objetiv</w:t>
      </w:r>
      <w:r w:rsidR="001522F4" w:rsidRPr="00E06427">
        <w:rPr>
          <w:rFonts w:eastAsia="Arial" w:cs="Times New Roman"/>
          <w:sz w:val="22"/>
        </w:rPr>
        <w:t>o</w:t>
      </w:r>
      <w:r w:rsidR="00251FAE" w:rsidRPr="00E06427">
        <w:rPr>
          <w:rFonts w:eastAsia="Arial" w:cs="Times New Roman"/>
          <w:sz w:val="22"/>
        </w:rPr>
        <w:t xml:space="preserve"> </w:t>
      </w:r>
      <w:r w:rsidR="00251FAE" w:rsidRPr="00E06427">
        <w:rPr>
          <w:rFonts w:eastAsia="Arial" w:cs="Times New Roman"/>
          <w:spacing w:val="-2"/>
          <w:sz w:val="22"/>
        </w:rPr>
        <w:t>analisar os tipos de abordagens utilizadas na avaliação do</w:t>
      </w:r>
      <w:r w:rsidR="001522F4" w:rsidRPr="00E06427">
        <w:rPr>
          <w:rFonts w:eastAsia="Arial" w:cs="Times New Roman"/>
          <w:spacing w:val="-2"/>
          <w:sz w:val="22"/>
        </w:rPr>
        <w:t xml:space="preserve"> </w:t>
      </w:r>
      <w:r w:rsidR="00B2099E" w:rsidRPr="00E06427">
        <w:rPr>
          <w:rFonts w:eastAsia="Arial" w:cs="Times New Roman"/>
          <w:spacing w:val="-2"/>
          <w:sz w:val="22"/>
        </w:rPr>
        <w:t>ensino superior</w:t>
      </w:r>
      <w:r w:rsidR="00B73656" w:rsidRPr="00E06427">
        <w:rPr>
          <w:rFonts w:eastAsia="Arial" w:cs="Times New Roman"/>
          <w:spacing w:val="-2"/>
          <w:sz w:val="22"/>
        </w:rPr>
        <w:t xml:space="preserve"> de a</w:t>
      </w:r>
      <w:r w:rsidR="00251FAE" w:rsidRPr="00E06427">
        <w:rPr>
          <w:rFonts w:eastAsia="Arial" w:cs="Times New Roman"/>
          <w:spacing w:val="-2"/>
          <w:sz w:val="22"/>
        </w:rPr>
        <w:t xml:space="preserve">dministração </w:t>
      </w:r>
      <w:r w:rsidR="00B22531" w:rsidRPr="00E06427">
        <w:rPr>
          <w:rFonts w:eastAsia="Arial" w:cs="Times New Roman"/>
          <w:spacing w:val="-2"/>
          <w:sz w:val="22"/>
        </w:rPr>
        <w:t xml:space="preserve">através de uma </w:t>
      </w:r>
      <w:r w:rsidR="00251FAE" w:rsidRPr="00E06427">
        <w:rPr>
          <w:rFonts w:eastAsia="Arial" w:cs="Times New Roman"/>
          <w:spacing w:val="-2"/>
          <w:sz w:val="22"/>
        </w:rPr>
        <w:t>revisão sistematizada da literatura (RSL)</w:t>
      </w:r>
      <w:r w:rsidR="00590550" w:rsidRPr="00E06427">
        <w:rPr>
          <w:rFonts w:eastAsia="Arial" w:cs="Times New Roman"/>
          <w:spacing w:val="-2"/>
          <w:sz w:val="22"/>
        </w:rPr>
        <w:t>. A metodologia s</w:t>
      </w:r>
      <w:r w:rsidR="000B3D92" w:rsidRPr="00E06427">
        <w:rPr>
          <w:rFonts w:eastAsia="Arial" w:cs="Times New Roman"/>
          <w:spacing w:val="-2"/>
          <w:sz w:val="22"/>
        </w:rPr>
        <w:t xml:space="preserve">eguiu </w:t>
      </w:r>
      <w:r w:rsidR="00E15CD5" w:rsidRPr="00E06427">
        <w:rPr>
          <w:rFonts w:cs="Times New Roman"/>
          <w:sz w:val="22"/>
          <w:shd w:val="clear" w:color="auto" w:fill="FFFFFF"/>
        </w:rPr>
        <w:t xml:space="preserve">o fluxograma sugerido pela declaração </w:t>
      </w:r>
      <w:proofErr w:type="spellStart"/>
      <w:r w:rsidR="00E15CD5" w:rsidRPr="00E06427">
        <w:rPr>
          <w:rFonts w:cs="Times New Roman"/>
          <w:i/>
          <w:iCs/>
          <w:sz w:val="22"/>
          <w:shd w:val="clear" w:color="auto" w:fill="FFFFFF"/>
        </w:rPr>
        <w:t>Preferred</w:t>
      </w:r>
      <w:proofErr w:type="spellEnd"/>
      <w:r w:rsidR="00E15CD5" w:rsidRPr="00E06427">
        <w:rPr>
          <w:rFonts w:cs="Times New Roman"/>
          <w:i/>
          <w:iCs/>
          <w:sz w:val="22"/>
        </w:rPr>
        <w:t xml:space="preserve"> </w:t>
      </w:r>
      <w:proofErr w:type="spellStart"/>
      <w:r w:rsidR="00E15CD5" w:rsidRPr="00E06427">
        <w:rPr>
          <w:rFonts w:cs="Times New Roman"/>
          <w:i/>
          <w:iCs/>
          <w:sz w:val="22"/>
        </w:rPr>
        <w:t>Reporting</w:t>
      </w:r>
      <w:proofErr w:type="spellEnd"/>
      <w:r w:rsidR="00E15CD5" w:rsidRPr="00E06427">
        <w:rPr>
          <w:rFonts w:cs="Times New Roman"/>
          <w:i/>
          <w:iCs/>
          <w:sz w:val="22"/>
        </w:rPr>
        <w:t xml:space="preserve"> </w:t>
      </w:r>
      <w:proofErr w:type="spellStart"/>
      <w:r w:rsidR="00E15CD5" w:rsidRPr="00E06427">
        <w:rPr>
          <w:rFonts w:cs="Times New Roman"/>
          <w:i/>
          <w:iCs/>
          <w:sz w:val="22"/>
        </w:rPr>
        <w:t>Items</w:t>
      </w:r>
      <w:proofErr w:type="spellEnd"/>
      <w:r w:rsidR="00E15CD5" w:rsidRPr="00E06427">
        <w:rPr>
          <w:rFonts w:cs="Times New Roman"/>
          <w:i/>
          <w:iCs/>
          <w:sz w:val="22"/>
        </w:rPr>
        <w:t xml:space="preserve"> for </w:t>
      </w:r>
      <w:proofErr w:type="spellStart"/>
      <w:r w:rsidR="00E15CD5" w:rsidRPr="00E06427">
        <w:rPr>
          <w:rFonts w:cs="Times New Roman"/>
          <w:i/>
          <w:iCs/>
          <w:sz w:val="22"/>
        </w:rPr>
        <w:t>Systematic</w:t>
      </w:r>
      <w:proofErr w:type="spellEnd"/>
      <w:r w:rsidR="00E15CD5" w:rsidRPr="00E06427">
        <w:rPr>
          <w:rFonts w:cs="Times New Roman"/>
          <w:i/>
          <w:iCs/>
          <w:sz w:val="22"/>
        </w:rPr>
        <w:t xml:space="preserve"> reviews </w:t>
      </w:r>
      <w:proofErr w:type="spellStart"/>
      <w:r w:rsidR="00E15CD5" w:rsidRPr="00E06427">
        <w:rPr>
          <w:rFonts w:cs="Times New Roman"/>
          <w:i/>
          <w:iCs/>
          <w:sz w:val="22"/>
        </w:rPr>
        <w:t>and</w:t>
      </w:r>
      <w:proofErr w:type="spellEnd"/>
      <w:r w:rsidR="00E15CD5" w:rsidRPr="00E06427">
        <w:rPr>
          <w:rFonts w:cs="Times New Roman"/>
          <w:i/>
          <w:iCs/>
          <w:sz w:val="22"/>
        </w:rPr>
        <w:t xml:space="preserve"> Meta-</w:t>
      </w:r>
      <w:proofErr w:type="spellStart"/>
      <w:r w:rsidR="00E15CD5" w:rsidRPr="00E06427">
        <w:rPr>
          <w:rFonts w:cs="Times New Roman"/>
          <w:i/>
          <w:iCs/>
          <w:sz w:val="22"/>
        </w:rPr>
        <w:t>Analyses</w:t>
      </w:r>
      <w:proofErr w:type="spellEnd"/>
      <w:r w:rsidR="00E15CD5" w:rsidRPr="00E06427">
        <w:rPr>
          <w:rFonts w:cs="Times New Roman"/>
          <w:i/>
          <w:iCs/>
          <w:sz w:val="22"/>
        </w:rPr>
        <w:t xml:space="preserve"> – </w:t>
      </w:r>
      <w:r w:rsidR="00E15CD5" w:rsidRPr="00E06427">
        <w:rPr>
          <w:rFonts w:cs="Times New Roman"/>
          <w:i/>
          <w:iCs/>
          <w:sz w:val="22"/>
          <w:shd w:val="clear" w:color="auto" w:fill="FFFFFF"/>
        </w:rPr>
        <w:t xml:space="preserve">PRISMA </w:t>
      </w:r>
      <w:r w:rsidR="00791CD1" w:rsidRPr="00E06427">
        <w:rPr>
          <w:rFonts w:cs="Times New Roman"/>
          <w:sz w:val="22"/>
          <w:shd w:val="clear" w:color="auto" w:fill="FFFFFF"/>
        </w:rPr>
        <w:t>analisou</w:t>
      </w:r>
      <w:r w:rsidR="00791CD1" w:rsidRPr="00E06427">
        <w:rPr>
          <w:rFonts w:cs="Times New Roman"/>
          <w:i/>
          <w:iCs/>
          <w:sz w:val="22"/>
          <w:shd w:val="clear" w:color="auto" w:fill="FFFFFF"/>
        </w:rPr>
        <w:t xml:space="preserve"> </w:t>
      </w:r>
      <w:r w:rsidR="00C51ACD" w:rsidRPr="00E06427">
        <w:rPr>
          <w:rFonts w:cs="Times New Roman"/>
          <w:sz w:val="22"/>
          <w:shd w:val="clear" w:color="auto" w:fill="FFFFFF"/>
        </w:rPr>
        <w:t>a</w:t>
      </w:r>
      <w:r w:rsidR="00791CD1" w:rsidRPr="00E06427">
        <w:rPr>
          <w:rFonts w:cs="Times New Roman"/>
          <w:sz w:val="22"/>
          <w:shd w:val="clear" w:color="auto" w:fill="FFFFFF"/>
        </w:rPr>
        <w:t>s</w:t>
      </w:r>
      <w:r w:rsidR="00C51ACD" w:rsidRPr="00E06427">
        <w:rPr>
          <w:rFonts w:cs="Times New Roman"/>
          <w:sz w:val="22"/>
          <w:shd w:val="clear" w:color="auto" w:fill="FFFFFF"/>
        </w:rPr>
        <w:t xml:space="preserve"> base</w:t>
      </w:r>
      <w:r w:rsidR="00AC17B3" w:rsidRPr="00E06427">
        <w:rPr>
          <w:rFonts w:cs="Times New Roman"/>
          <w:sz w:val="22"/>
          <w:shd w:val="clear" w:color="auto" w:fill="FFFFFF"/>
        </w:rPr>
        <w:t>s</w:t>
      </w:r>
      <w:r w:rsidR="00C51ACD" w:rsidRPr="00E06427">
        <w:rPr>
          <w:rFonts w:cs="Times New Roman"/>
          <w:sz w:val="22"/>
          <w:shd w:val="clear" w:color="auto" w:fill="FFFFFF"/>
        </w:rPr>
        <w:t xml:space="preserve"> de dados do repositório </w:t>
      </w:r>
      <w:r w:rsidR="0094141C" w:rsidRPr="00E06427">
        <w:rPr>
          <w:rFonts w:cs="Times New Roman"/>
          <w:sz w:val="22"/>
          <w:shd w:val="clear" w:color="auto" w:fill="FFFFFF"/>
        </w:rPr>
        <w:t>de teses e dissertações da CAPES</w:t>
      </w:r>
      <w:r w:rsidR="006D4660" w:rsidRPr="00E06427">
        <w:rPr>
          <w:rFonts w:cs="Times New Roman"/>
          <w:sz w:val="22"/>
          <w:shd w:val="clear" w:color="auto" w:fill="FFFFFF"/>
        </w:rPr>
        <w:t xml:space="preserve">, </w:t>
      </w:r>
      <w:r w:rsidR="00A461E4" w:rsidRPr="00E06427">
        <w:rPr>
          <w:rFonts w:cs="Times New Roman"/>
          <w:i/>
          <w:iCs/>
          <w:sz w:val="22"/>
          <w:shd w:val="clear" w:color="auto" w:fill="FFFFFF"/>
        </w:rPr>
        <w:t xml:space="preserve">Web </w:t>
      </w:r>
      <w:proofErr w:type="spellStart"/>
      <w:r w:rsidR="00A461E4" w:rsidRPr="00E06427">
        <w:rPr>
          <w:rFonts w:cs="Times New Roman"/>
          <w:i/>
          <w:iCs/>
          <w:sz w:val="22"/>
          <w:shd w:val="clear" w:color="auto" w:fill="FFFFFF"/>
        </w:rPr>
        <w:t>of</w:t>
      </w:r>
      <w:proofErr w:type="spellEnd"/>
      <w:r w:rsidR="00A461E4" w:rsidRPr="00E06427">
        <w:rPr>
          <w:rFonts w:cs="Times New Roman"/>
          <w:i/>
          <w:iCs/>
          <w:sz w:val="22"/>
          <w:shd w:val="clear" w:color="auto" w:fill="FFFFFF"/>
        </w:rPr>
        <w:t xml:space="preserve"> Science</w:t>
      </w:r>
      <w:r w:rsidR="00A461E4" w:rsidRPr="00E06427">
        <w:rPr>
          <w:rFonts w:cs="Times New Roman"/>
          <w:sz w:val="22"/>
          <w:shd w:val="clear" w:color="auto" w:fill="FFFFFF"/>
        </w:rPr>
        <w:t xml:space="preserve">, </w:t>
      </w:r>
      <w:r w:rsidR="00A461E4" w:rsidRPr="00E06427">
        <w:rPr>
          <w:rFonts w:cs="Times New Roman"/>
          <w:i/>
          <w:iCs/>
          <w:sz w:val="22"/>
          <w:shd w:val="clear" w:color="auto" w:fill="FFFFFF"/>
        </w:rPr>
        <w:t>Scopus</w:t>
      </w:r>
      <w:r w:rsidR="006D4660" w:rsidRPr="00E06427">
        <w:rPr>
          <w:rFonts w:cs="Times New Roman"/>
          <w:i/>
          <w:iCs/>
          <w:sz w:val="22"/>
          <w:shd w:val="clear" w:color="auto" w:fill="FFFFFF"/>
        </w:rPr>
        <w:t xml:space="preserve">, e </w:t>
      </w:r>
      <w:r w:rsidR="00A461E4" w:rsidRPr="00E06427">
        <w:rPr>
          <w:rFonts w:cs="Times New Roman"/>
          <w:i/>
          <w:iCs/>
          <w:sz w:val="22"/>
          <w:shd w:val="clear" w:color="auto" w:fill="FFFFFF"/>
        </w:rPr>
        <w:t>Science Direct</w:t>
      </w:r>
      <w:r w:rsidR="006D4660" w:rsidRPr="00E06427">
        <w:rPr>
          <w:rFonts w:cs="Times New Roman"/>
          <w:i/>
          <w:iCs/>
          <w:sz w:val="22"/>
          <w:shd w:val="clear" w:color="auto" w:fill="FFFFFF"/>
        </w:rPr>
        <w:t>,</w:t>
      </w:r>
      <w:r w:rsidR="003651D2" w:rsidRPr="00E06427">
        <w:rPr>
          <w:rFonts w:cs="Times New Roman"/>
          <w:sz w:val="22"/>
          <w:shd w:val="clear" w:color="auto" w:fill="FFFFFF"/>
        </w:rPr>
        <w:t xml:space="preserve"> selecion</w:t>
      </w:r>
      <w:r w:rsidR="00D41060" w:rsidRPr="00E06427">
        <w:rPr>
          <w:rFonts w:cs="Times New Roman"/>
          <w:sz w:val="22"/>
          <w:shd w:val="clear" w:color="auto" w:fill="FFFFFF"/>
        </w:rPr>
        <w:t xml:space="preserve">ando </w:t>
      </w:r>
      <w:r w:rsidR="00D85481" w:rsidRPr="00E06427">
        <w:rPr>
          <w:rFonts w:cs="Times New Roman"/>
          <w:sz w:val="22"/>
          <w:shd w:val="clear" w:color="auto" w:fill="FFFFFF"/>
        </w:rPr>
        <w:t xml:space="preserve">pesquisas publicadas entre </w:t>
      </w:r>
      <w:r w:rsidR="00C353E5" w:rsidRPr="00E06427">
        <w:rPr>
          <w:rFonts w:cs="Times New Roman"/>
          <w:sz w:val="22"/>
          <w:shd w:val="clear" w:color="auto" w:fill="FFFFFF"/>
        </w:rPr>
        <w:t xml:space="preserve">2018 e 2022. </w:t>
      </w:r>
      <w:r w:rsidR="00224EF1" w:rsidRPr="00E06427">
        <w:rPr>
          <w:rFonts w:cs="Times New Roman"/>
          <w:sz w:val="22"/>
          <w:shd w:val="clear" w:color="auto" w:fill="FFFFFF"/>
        </w:rPr>
        <w:t>Os resultados mostram</w:t>
      </w:r>
      <w:r w:rsidR="00DE6F32" w:rsidRPr="00E06427">
        <w:rPr>
          <w:rFonts w:cs="Times New Roman"/>
          <w:sz w:val="22"/>
          <w:shd w:val="clear" w:color="auto" w:fill="FFFFFF"/>
        </w:rPr>
        <w:t xml:space="preserve"> </w:t>
      </w:r>
      <w:r w:rsidR="00B35F1D" w:rsidRPr="00E06427">
        <w:rPr>
          <w:rFonts w:cs="Times New Roman"/>
          <w:sz w:val="22"/>
          <w:shd w:val="clear" w:color="auto" w:fill="FFFFFF"/>
        </w:rPr>
        <w:t xml:space="preserve">que </w:t>
      </w:r>
      <w:r w:rsidR="00DE6F32" w:rsidRPr="00E06427">
        <w:rPr>
          <w:rFonts w:cs="Times New Roman"/>
          <w:sz w:val="22"/>
          <w:shd w:val="clear" w:color="auto" w:fill="FFFFFF"/>
        </w:rPr>
        <w:t xml:space="preserve">as abordagens utilizadas são a </w:t>
      </w:r>
      <w:r w:rsidR="00F77D40" w:rsidRPr="00E06427">
        <w:rPr>
          <w:rFonts w:cs="Times New Roman"/>
          <w:sz w:val="22"/>
          <w:shd w:val="clear" w:color="auto" w:fill="FFFFFF"/>
        </w:rPr>
        <w:t>qualidade como aptidão para o propósito; qualidade como transformadora; qualidade como limiar; qualidade como aprimoramento, e qualidade como valor para o dinheiro</w:t>
      </w:r>
      <w:r w:rsidR="003C4D9F" w:rsidRPr="00E06427">
        <w:rPr>
          <w:rFonts w:cs="Times New Roman"/>
          <w:sz w:val="22"/>
          <w:shd w:val="clear" w:color="auto" w:fill="FFFFFF"/>
        </w:rPr>
        <w:t xml:space="preserve">. </w:t>
      </w:r>
      <w:r w:rsidR="00C94251" w:rsidRPr="00E06427">
        <w:rPr>
          <w:rFonts w:cs="Times New Roman"/>
          <w:sz w:val="22"/>
          <w:shd w:val="clear" w:color="auto" w:fill="FFFFFF"/>
        </w:rPr>
        <w:t xml:space="preserve">O curso de administração </w:t>
      </w:r>
      <w:r w:rsidR="00AC17B3" w:rsidRPr="00E06427">
        <w:rPr>
          <w:rFonts w:cs="Times New Roman"/>
          <w:sz w:val="22"/>
          <w:shd w:val="clear" w:color="auto" w:fill="FFFFFF"/>
        </w:rPr>
        <w:t xml:space="preserve">avaliado </w:t>
      </w:r>
      <w:r w:rsidR="00C94251" w:rsidRPr="00E06427">
        <w:rPr>
          <w:rFonts w:cs="Times New Roman"/>
          <w:sz w:val="22"/>
          <w:shd w:val="clear" w:color="auto" w:fill="FFFFFF"/>
        </w:rPr>
        <w:t>u</w:t>
      </w:r>
      <w:r w:rsidR="00F77D40" w:rsidRPr="00E06427">
        <w:rPr>
          <w:rFonts w:cs="Times New Roman"/>
          <w:sz w:val="22"/>
          <w:shd w:val="clear" w:color="auto" w:fill="FFFFFF"/>
        </w:rPr>
        <w:t>tiliz</w:t>
      </w:r>
      <w:r w:rsidR="00E577CF" w:rsidRPr="00E06427">
        <w:rPr>
          <w:rFonts w:cs="Times New Roman"/>
          <w:sz w:val="22"/>
          <w:shd w:val="clear" w:color="auto" w:fill="FFFFFF"/>
        </w:rPr>
        <w:t xml:space="preserve">ou as </w:t>
      </w:r>
      <w:r w:rsidR="00F77D40" w:rsidRPr="00E06427">
        <w:rPr>
          <w:rFonts w:cs="Times New Roman"/>
          <w:sz w:val="22"/>
          <w:shd w:val="clear" w:color="auto" w:fill="FFFFFF"/>
        </w:rPr>
        <w:t>abordage</w:t>
      </w:r>
      <w:r w:rsidR="00E577CF" w:rsidRPr="00E06427">
        <w:rPr>
          <w:rFonts w:cs="Times New Roman"/>
          <w:sz w:val="22"/>
          <w:shd w:val="clear" w:color="auto" w:fill="FFFFFF"/>
        </w:rPr>
        <w:t>ns</w:t>
      </w:r>
      <w:r w:rsidR="00F77D40" w:rsidRPr="00E06427">
        <w:rPr>
          <w:rFonts w:cs="Times New Roman"/>
          <w:sz w:val="22"/>
          <w:shd w:val="clear" w:color="auto" w:fill="FFFFFF"/>
        </w:rPr>
        <w:t xml:space="preserve"> da qualidade como aptidão</w:t>
      </w:r>
      <w:r w:rsidR="00CE224B" w:rsidRPr="00E06427">
        <w:rPr>
          <w:rFonts w:cs="Times New Roman"/>
          <w:sz w:val="22"/>
          <w:shd w:val="clear" w:color="auto" w:fill="FFFFFF"/>
        </w:rPr>
        <w:t xml:space="preserve"> </w:t>
      </w:r>
      <w:r w:rsidR="00516E96" w:rsidRPr="00E06427">
        <w:rPr>
          <w:rFonts w:cs="Times New Roman"/>
          <w:sz w:val="22"/>
          <w:shd w:val="clear" w:color="auto" w:fill="FFFFFF"/>
        </w:rPr>
        <w:t xml:space="preserve">e </w:t>
      </w:r>
      <w:r w:rsidR="00F77D40" w:rsidRPr="00E06427">
        <w:rPr>
          <w:rFonts w:cs="Times New Roman"/>
          <w:sz w:val="22"/>
          <w:shd w:val="clear" w:color="auto" w:fill="FFFFFF"/>
        </w:rPr>
        <w:t>abordagem transformadora com indicadores institucionais, de desempenho dos estudantes e de apoio estudantil</w:t>
      </w:r>
      <w:r w:rsidR="002434FF" w:rsidRPr="00E06427">
        <w:rPr>
          <w:rFonts w:cs="Times New Roman"/>
          <w:sz w:val="22"/>
          <w:shd w:val="clear" w:color="auto" w:fill="FFFFFF"/>
        </w:rPr>
        <w:t xml:space="preserve">. </w:t>
      </w:r>
      <w:r w:rsidR="00306991" w:rsidRPr="00E06427">
        <w:rPr>
          <w:rFonts w:cs="Times New Roman"/>
          <w:sz w:val="22"/>
          <w:shd w:val="clear" w:color="auto" w:fill="FFFFFF"/>
        </w:rPr>
        <w:t>Mesmo existindo estudos que consideravam as metodologias como critérios de avaliação, as</w:t>
      </w:r>
      <w:r w:rsidR="003A7440" w:rsidRPr="00E06427">
        <w:rPr>
          <w:rFonts w:cs="Times New Roman"/>
          <w:sz w:val="22"/>
          <w:shd w:val="clear" w:color="auto" w:fill="FFFFFF"/>
        </w:rPr>
        <w:t xml:space="preserve"> metodologias</w:t>
      </w:r>
      <w:r w:rsidR="00306991" w:rsidRPr="00E06427">
        <w:rPr>
          <w:rFonts w:cs="Times New Roman"/>
          <w:sz w:val="22"/>
          <w:shd w:val="clear" w:color="auto" w:fill="FFFFFF"/>
        </w:rPr>
        <w:t xml:space="preserve"> ativas</w:t>
      </w:r>
      <w:r w:rsidR="003A7440" w:rsidRPr="00E06427">
        <w:rPr>
          <w:rFonts w:cs="Times New Roman"/>
          <w:sz w:val="22"/>
          <w:shd w:val="clear" w:color="auto" w:fill="FFFFFF"/>
        </w:rPr>
        <w:t xml:space="preserve"> não foram adotadas </w:t>
      </w:r>
      <w:r w:rsidR="00442E9C" w:rsidRPr="00E06427">
        <w:rPr>
          <w:rFonts w:cs="Times New Roman"/>
          <w:sz w:val="22"/>
          <w:shd w:val="clear" w:color="auto" w:fill="FFFFFF"/>
        </w:rPr>
        <w:t>como indicador</w:t>
      </w:r>
      <w:r w:rsidR="008866ED" w:rsidRPr="00E06427">
        <w:rPr>
          <w:rFonts w:cs="Times New Roman"/>
          <w:sz w:val="22"/>
          <w:shd w:val="clear" w:color="auto" w:fill="FFFFFF"/>
        </w:rPr>
        <w:t xml:space="preserve"> de avaliação</w:t>
      </w:r>
      <w:r w:rsidR="00F77D40" w:rsidRPr="00E06427">
        <w:rPr>
          <w:rFonts w:cs="Times New Roman"/>
          <w:sz w:val="22"/>
          <w:shd w:val="clear" w:color="auto" w:fill="FFFFFF"/>
        </w:rPr>
        <w:t xml:space="preserve">. </w:t>
      </w:r>
      <w:r w:rsidR="00442E9C" w:rsidRPr="00E06427">
        <w:rPr>
          <w:rFonts w:cs="Times New Roman"/>
          <w:sz w:val="22"/>
          <w:shd w:val="clear" w:color="auto" w:fill="FFFFFF"/>
        </w:rPr>
        <w:t xml:space="preserve">Ficou consignado também que a </w:t>
      </w:r>
      <w:r w:rsidR="00F75D57" w:rsidRPr="00E06427">
        <w:rPr>
          <w:rFonts w:cs="Times New Roman"/>
          <w:sz w:val="22"/>
          <w:shd w:val="clear" w:color="auto" w:fill="FFFFFF"/>
        </w:rPr>
        <w:t xml:space="preserve">qualidade no ensino superior é um conceito complexo e abstrato que pode assumir </w:t>
      </w:r>
      <w:r w:rsidR="00953864" w:rsidRPr="00E06427">
        <w:rPr>
          <w:rFonts w:cs="Times New Roman"/>
          <w:sz w:val="22"/>
          <w:shd w:val="clear" w:color="auto" w:fill="FFFFFF"/>
        </w:rPr>
        <w:t xml:space="preserve">múltiplas dimensões dependentes de perspectivas </w:t>
      </w:r>
      <w:r w:rsidR="00FD7519" w:rsidRPr="00E06427">
        <w:rPr>
          <w:rFonts w:cs="Times New Roman"/>
          <w:sz w:val="22"/>
          <w:shd w:val="clear" w:color="auto" w:fill="FFFFFF"/>
        </w:rPr>
        <w:t>contextuais.</w:t>
      </w:r>
    </w:p>
    <w:p w14:paraId="05DAC772" w14:textId="77777777" w:rsidR="00FD7519" w:rsidRPr="00E06427" w:rsidRDefault="00FD7519" w:rsidP="00CD59BC">
      <w:pPr>
        <w:spacing w:line="240" w:lineRule="auto"/>
        <w:rPr>
          <w:rFonts w:eastAsia="Arial" w:cs="Times New Roman"/>
          <w:sz w:val="22"/>
        </w:rPr>
      </w:pPr>
    </w:p>
    <w:p w14:paraId="1724F538" w14:textId="0902C378" w:rsidR="00115B21" w:rsidRPr="00E06427" w:rsidRDefault="009F70BC" w:rsidP="00CD59BC">
      <w:pPr>
        <w:spacing w:line="240" w:lineRule="auto"/>
        <w:rPr>
          <w:rFonts w:eastAsia="Arial" w:cs="Times New Roman"/>
          <w:sz w:val="22"/>
        </w:rPr>
      </w:pPr>
      <w:r w:rsidRPr="00E06427">
        <w:rPr>
          <w:rFonts w:eastAsia="Arial" w:cs="Times New Roman"/>
          <w:b/>
          <w:sz w:val="22"/>
        </w:rPr>
        <w:t xml:space="preserve">Palavras-chave: </w:t>
      </w:r>
      <w:r w:rsidR="00011CFA" w:rsidRPr="00E06427">
        <w:rPr>
          <w:rFonts w:eastAsia="Arial" w:cs="Times New Roman"/>
          <w:bCs/>
          <w:sz w:val="22"/>
        </w:rPr>
        <w:t xml:space="preserve">Ensino </w:t>
      </w:r>
      <w:r w:rsidR="00011CFA" w:rsidRPr="00E06427">
        <w:rPr>
          <w:rFonts w:eastAsia="Arial" w:cs="Times New Roman"/>
          <w:sz w:val="22"/>
        </w:rPr>
        <w:t xml:space="preserve">Superior. </w:t>
      </w:r>
      <w:r w:rsidR="00FD67B4" w:rsidRPr="00E06427">
        <w:rPr>
          <w:rFonts w:eastAsia="Arial" w:cs="Times New Roman"/>
          <w:sz w:val="22"/>
        </w:rPr>
        <w:t xml:space="preserve">Avaliação da </w:t>
      </w:r>
      <w:r w:rsidR="00011CFA" w:rsidRPr="00E06427">
        <w:rPr>
          <w:rFonts w:eastAsia="Arial" w:cs="Times New Roman"/>
          <w:sz w:val="22"/>
        </w:rPr>
        <w:t xml:space="preserve">Qualidade. </w:t>
      </w:r>
      <w:r w:rsidR="008744CF" w:rsidRPr="00E06427">
        <w:rPr>
          <w:rFonts w:eastAsia="Arial" w:cs="Times New Roman"/>
          <w:sz w:val="22"/>
        </w:rPr>
        <w:t>Indicadores</w:t>
      </w:r>
      <w:r w:rsidR="00AF57E0" w:rsidRPr="00E06427">
        <w:rPr>
          <w:rFonts w:eastAsia="Arial" w:cs="Times New Roman"/>
          <w:sz w:val="22"/>
        </w:rPr>
        <w:t>. Metodologias Ativas.</w:t>
      </w:r>
    </w:p>
    <w:p w14:paraId="1B4329E1" w14:textId="77777777" w:rsidR="00AF57E0" w:rsidRPr="00E06427" w:rsidRDefault="00AF57E0" w:rsidP="003F334F">
      <w:pPr>
        <w:spacing w:line="240" w:lineRule="auto"/>
        <w:rPr>
          <w:rFonts w:eastAsia="Arial" w:cs="Times New Roman"/>
          <w:sz w:val="22"/>
        </w:rPr>
      </w:pPr>
    </w:p>
    <w:p w14:paraId="568BFAC6" w14:textId="21286558" w:rsidR="00115B21" w:rsidRPr="00023034" w:rsidRDefault="009F70BC" w:rsidP="00023034">
      <w:pPr>
        <w:pStyle w:val="Ttulo1"/>
      </w:pPr>
      <w:r w:rsidRPr="00E06427">
        <w:t xml:space="preserve">1 INTRODUÇÃO </w:t>
      </w:r>
    </w:p>
    <w:p w14:paraId="62CF1A01" w14:textId="75165C97" w:rsidR="00387B5F" w:rsidRPr="00E06427" w:rsidRDefault="001B01B2" w:rsidP="00C01F54">
      <w:pPr>
        <w:ind w:firstLine="851"/>
        <w:rPr>
          <w:rFonts w:eastAsia="Arial" w:cs="Times New Roman"/>
          <w:spacing w:val="-2"/>
          <w:szCs w:val="24"/>
        </w:rPr>
      </w:pPr>
      <w:r w:rsidRPr="00E06427">
        <w:rPr>
          <w:rFonts w:eastAsia="Arial" w:cs="Times New Roman"/>
          <w:spacing w:val="-2"/>
          <w:szCs w:val="24"/>
        </w:rPr>
        <w:t>Um dos g</w:t>
      </w:r>
      <w:r w:rsidR="00077EED" w:rsidRPr="00E06427">
        <w:rPr>
          <w:rFonts w:eastAsia="Arial" w:cs="Times New Roman"/>
          <w:spacing w:val="-2"/>
          <w:szCs w:val="24"/>
        </w:rPr>
        <w:t>rande</w:t>
      </w:r>
      <w:r w:rsidRPr="00E06427">
        <w:rPr>
          <w:rFonts w:eastAsia="Arial" w:cs="Times New Roman"/>
          <w:spacing w:val="-2"/>
          <w:szCs w:val="24"/>
        </w:rPr>
        <w:t>s</w:t>
      </w:r>
      <w:r w:rsidR="00077EED" w:rsidRPr="00E06427">
        <w:rPr>
          <w:rFonts w:eastAsia="Arial" w:cs="Times New Roman"/>
          <w:spacing w:val="-2"/>
          <w:szCs w:val="24"/>
        </w:rPr>
        <w:t xml:space="preserve"> desafio</w:t>
      </w:r>
      <w:r w:rsidRPr="00E06427">
        <w:rPr>
          <w:rFonts w:eastAsia="Arial" w:cs="Times New Roman"/>
          <w:spacing w:val="-2"/>
          <w:szCs w:val="24"/>
        </w:rPr>
        <w:t>s</w:t>
      </w:r>
      <w:r w:rsidR="00077EED" w:rsidRPr="00E06427">
        <w:rPr>
          <w:rFonts w:eastAsia="Arial" w:cs="Times New Roman"/>
          <w:spacing w:val="-2"/>
          <w:szCs w:val="24"/>
        </w:rPr>
        <w:t xml:space="preserve"> do ensino superior </w:t>
      </w:r>
      <w:r w:rsidRPr="00E06427">
        <w:rPr>
          <w:rFonts w:eastAsia="Arial" w:cs="Times New Roman"/>
          <w:spacing w:val="-2"/>
          <w:szCs w:val="24"/>
        </w:rPr>
        <w:t>é garantir uma avaliação d</w:t>
      </w:r>
      <w:r w:rsidR="0018005C" w:rsidRPr="00E06427">
        <w:rPr>
          <w:rFonts w:eastAsia="Arial" w:cs="Times New Roman"/>
          <w:spacing w:val="-2"/>
          <w:szCs w:val="24"/>
        </w:rPr>
        <w:t xml:space="preserve">a qualidade que garanta </w:t>
      </w:r>
      <w:r w:rsidR="0030574C" w:rsidRPr="00E06427">
        <w:rPr>
          <w:rFonts w:eastAsia="Arial" w:cs="Times New Roman"/>
          <w:spacing w:val="-2"/>
          <w:szCs w:val="24"/>
        </w:rPr>
        <w:t xml:space="preserve">a oferta de curso </w:t>
      </w:r>
      <w:r w:rsidR="00A826EB" w:rsidRPr="00E06427">
        <w:rPr>
          <w:rFonts w:eastAsia="Arial" w:cs="Times New Roman"/>
          <w:spacing w:val="-2"/>
          <w:szCs w:val="24"/>
        </w:rPr>
        <w:t xml:space="preserve">que cumpra e legislação vigente </w:t>
      </w:r>
      <w:r w:rsidR="00DC644A" w:rsidRPr="00E06427">
        <w:rPr>
          <w:rFonts w:eastAsia="Arial" w:cs="Times New Roman"/>
          <w:spacing w:val="-2"/>
          <w:szCs w:val="24"/>
        </w:rPr>
        <w:t>oferecendo conhecimentos</w:t>
      </w:r>
      <w:r w:rsidR="00AA642E" w:rsidRPr="00E06427">
        <w:rPr>
          <w:rFonts w:eastAsia="Arial" w:cs="Times New Roman"/>
          <w:spacing w:val="-2"/>
          <w:szCs w:val="24"/>
        </w:rPr>
        <w:t xml:space="preserve"> e práticas alinhadas com o mercado. </w:t>
      </w:r>
      <w:r w:rsidR="00387B5F" w:rsidRPr="00E06427">
        <w:rPr>
          <w:rFonts w:cs="Times New Roman"/>
          <w:szCs w:val="24"/>
        </w:rPr>
        <w:t>Neste cenário, muitas são as pesquisas acerca das deficiências na formação dos administradores</w:t>
      </w:r>
      <w:r w:rsidR="001E5AEF" w:rsidRPr="00E06427">
        <w:rPr>
          <w:rFonts w:cs="Times New Roman"/>
          <w:szCs w:val="24"/>
        </w:rPr>
        <w:t xml:space="preserve"> em que </w:t>
      </w:r>
      <w:r w:rsidR="00EB38F1" w:rsidRPr="00E06427">
        <w:rPr>
          <w:rFonts w:cs="Times New Roman"/>
          <w:szCs w:val="24"/>
        </w:rPr>
        <w:t>grande parte conclui</w:t>
      </w:r>
      <w:r w:rsidR="00387B5F" w:rsidRPr="00E06427">
        <w:rPr>
          <w:rFonts w:cs="Times New Roman"/>
          <w:szCs w:val="24"/>
        </w:rPr>
        <w:t xml:space="preserve"> existir uma expressiva laguna entre as promessas de formação oferecida pelos cursos </w:t>
      </w:r>
      <w:r w:rsidR="001E5AEF" w:rsidRPr="00E06427">
        <w:rPr>
          <w:rFonts w:cs="Times New Roman"/>
          <w:szCs w:val="24"/>
        </w:rPr>
        <w:t>e</w:t>
      </w:r>
      <w:r w:rsidR="00387B5F" w:rsidRPr="00E06427">
        <w:rPr>
          <w:rFonts w:cs="Times New Roman"/>
          <w:szCs w:val="24"/>
        </w:rPr>
        <w:t xml:space="preserve"> as demandas do mercado ocasionando impactos na empregabilidade dos novos administradores</w:t>
      </w:r>
      <w:r w:rsidR="00221D9E" w:rsidRPr="00E06427">
        <w:rPr>
          <w:rFonts w:cs="Times New Roman"/>
          <w:szCs w:val="24"/>
        </w:rPr>
        <w:t xml:space="preserve"> (ROBLE</w:t>
      </w:r>
      <w:r w:rsidR="003C7185" w:rsidRPr="00E06427">
        <w:rPr>
          <w:rFonts w:cs="Times New Roman"/>
          <w:szCs w:val="24"/>
        </w:rPr>
        <w:t>; AUGUSTO; MORAIS, 2019</w:t>
      </w:r>
      <w:r w:rsidR="00EB38F1" w:rsidRPr="00E06427">
        <w:rPr>
          <w:rFonts w:cs="Times New Roman"/>
          <w:szCs w:val="24"/>
        </w:rPr>
        <w:t>)</w:t>
      </w:r>
      <w:r w:rsidR="00387B5F" w:rsidRPr="00E06427">
        <w:rPr>
          <w:rFonts w:cs="Times New Roman"/>
          <w:szCs w:val="24"/>
        </w:rPr>
        <w:t>.</w:t>
      </w:r>
    </w:p>
    <w:p w14:paraId="04B2CEB9" w14:textId="39A78EA2" w:rsidR="00165D5B" w:rsidRPr="00E06427" w:rsidRDefault="00B0503D" w:rsidP="00B44B99">
      <w:pPr>
        <w:rPr>
          <w:rFonts w:cs="Times New Roman"/>
          <w:szCs w:val="24"/>
        </w:rPr>
      </w:pPr>
      <w:r w:rsidRPr="00E06427">
        <w:rPr>
          <w:rFonts w:eastAsia="Arial" w:cs="Times New Roman"/>
          <w:spacing w:val="-2"/>
          <w:szCs w:val="24"/>
        </w:rPr>
        <w:lastRenderedPageBreak/>
        <w:tab/>
      </w:r>
      <w:r w:rsidR="009A1A40" w:rsidRPr="00E06427">
        <w:rPr>
          <w:rFonts w:eastAsia="Arial" w:cs="Times New Roman"/>
          <w:spacing w:val="-2"/>
          <w:szCs w:val="24"/>
        </w:rPr>
        <w:t xml:space="preserve">De acordo com </w:t>
      </w:r>
      <w:r w:rsidR="00B55880" w:rsidRPr="00E06427">
        <w:rPr>
          <w:rFonts w:eastAsia="Arial" w:cs="Times New Roman"/>
          <w:spacing w:val="-2"/>
          <w:szCs w:val="24"/>
        </w:rPr>
        <w:t>pesquisa do Conselho Federal de Administração (CFA)</w:t>
      </w:r>
      <w:r w:rsidR="008E0484" w:rsidRPr="00E06427">
        <w:rPr>
          <w:rFonts w:eastAsia="Arial" w:cs="Times New Roman"/>
          <w:spacing w:val="-2"/>
          <w:szCs w:val="24"/>
        </w:rPr>
        <w:t xml:space="preserve"> existe </w:t>
      </w:r>
      <w:r w:rsidRPr="00E06427">
        <w:rPr>
          <w:rFonts w:cs="Times New Roman"/>
          <w:szCs w:val="24"/>
        </w:rPr>
        <w:t xml:space="preserve">incongruência </w:t>
      </w:r>
      <w:r w:rsidR="008E0484" w:rsidRPr="00E06427">
        <w:rPr>
          <w:rFonts w:cs="Times New Roman"/>
          <w:szCs w:val="24"/>
        </w:rPr>
        <w:t xml:space="preserve">entre os </w:t>
      </w:r>
      <w:r w:rsidRPr="00E06427">
        <w:rPr>
          <w:rFonts w:cs="Times New Roman"/>
          <w:szCs w:val="24"/>
        </w:rPr>
        <w:t xml:space="preserve">modelos tradicionais de ensino e aprendizagem </w:t>
      </w:r>
      <w:r w:rsidR="008E0484" w:rsidRPr="00E06427">
        <w:rPr>
          <w:rFonts w:cs="Times New Roman"/>
          <w:szCs w:val="24"/>
        </w:rPr>
        <w:t xml:space="preserve">e a </w:t>
      </w:r>
      <w:r w:rsidRPr="00E06427">
        <w:rPr>
          <w:rFonts w:cs="Times New Roman"/>
          <w:szCs w:val="24"/>
        </w:rPr>
        <w:t>promoção da interação entre teoria e prática</w:t>
      </w:r>
      <w:r w:rsidR="00A57886" w:rsidRPr="00E06427">
        <w:rPr>
          <w:rFonts w:cs="Times New Roman"/>
          <w:szCs w:val="24"/>
        </w:rPr>
        <w:t xml:space="preserve"> na formação dos administradores</w:t>
      </w:r>
      <w:r w:rsidR="00C16EFE" w:rsidRPr="00E06427">
        <w:rPr>
          <w:rFonts w:cs="Times New Roman"/>
          <w:szCs w:val="24"/>
        </w:rPr>
        <w:t xml:space="preserve"> (CFA, 2015)</w:t>
      </w:r>
      <w:r w:rsidRPr="00E06427">
        <w:rPr>
          <w:rFonts w:cs="Times New Roman"/>
          <w:szCs w:val="24"/>
        </w:rPr>
        <w:t>.</w:t>
      </w:r>
      <w:r w:rsidR="00B16C2C" w:rsidRPr="00E06427">
        <w:rPr>
          <w:rFonts w:cs="Times New Roman"/>
          <w:szCs w:val="24"/>
        </w:rPr>
        <w:t xml:space="preserve"> Assim sendo,</w:t>
      </w:r>
      <w:r w:rsidR="00440618" w:rsidRPr="00E06427">
        <w:rPr>
          <w:rFonts w:cs="Times New Roman"/>
          <w:szCs w:val="24"/>
        </w:rPr>
        <w:t xml:space="preserve"> a</w:t>
      </w:r>
      <w:r w:rsidR="00255B49" w:rsidRPr="00E06427">
        <w:rPr>
          <w:rFonts w:eastAsia="Arial" w:cs="Times New Roman"/>
          <w:spacing w:val="-2"/>
          <w:szCs w:val="24"/>
        </w:rPr>
        <w:t xml:space="preserve"> avaliação das metodologias adotadas é relevante, pois permite uma compreensão mais abrangente e aprofundada do processo de ensino e aprendizagem, avaliando sua efetividade em oferecer condições para o desenvolvimento de competências alinhadas com as demandas do mercado.</w:t>
      </w:r>
      <w:r w:rsidR="00A976F8" w:rsidRPr="00E06427">
        <w:rPr>
          <w:rFonts w:eastAsia="Arial" w:cs="Times New Roman"/>
          <w:spacing w:val="-2"/>
          <w:szCs w:val="24"/>
        </w:rPr>
        <w:t xml:space="preserve"> </w:t>
      </w:r>
      <w:r w:rsidR="003C2416" w:rsidRPr="00E06427">
        <w:rPr>
          <w:rFonts w:eastAsia="Arial" w:cs="Times New Roman"/>
          <w:spacing w:val="-2"/>
          <w:szCs w:val="24"/>
        </w:rPr>
        <w:t>Neste contexto</w:t>
      </w:r>
      <w:r w:rsidR="00B44B99" w:rsidRPr="00E06427">
        <w:rPr>
          <w:rFonts w:eastAsia="Arial" w:cs="Times New Roman"/>
          <w:spacing w:val="-2"/>
          <w:szCs w:val="24"/>
        </w:rPr>
        <w:t xml:space="preserve">, </w:t>
      </w:r>
      <w:r w:rsidR="00A976F8" w:rsidRPr="00E06427">
        <w:rPr>
          <w:rFonts w:eastAsia="Arial" w:cs="Times New Roman"/>
          <w:spacing w:val="-2"/>
          <w:szCs w:val="24"/>
        </w:rPr>
        <w:t xml:space="preserve">as metodologias ativas são </w:t>
      </w:r>
      <w:r w:rsidR="00165D5B" w:rsidRPr="00E06427">
        <w:rPr>
          <w:rFonts w:cs="Times New Roman"/>
          <w:szCs w:val="24"/>
        </w:rPr>
        <w:t>estratégia</w:t>
      </w:r>
      <w:r w:rsidR="00EA12FD" w:rsidRPr="00E06427">
        <w:rPr>
          <w:rFonts w:cs="Times New Roman"/>
          <w:szCs w:val="24"/>
        </w:rPr>
        <w:t>s</w:t>
      </w:r>
      <w:r w:rsidR="00165D5B" w:rsidRPr="00E06427">
        <w:rPr>
          <w:rFonts w:cs="Times New Roman"/>
          <w:szCs w:val="24"/>
        </w:rPr>
        <w:t xml:space="preserve"> importante</w:t>
      </w:r>
      <w:r w:rsidR="00EA12FD" w:rsidRPr="00E06427">
        <w:rPr>
          <w:rFonts w:cs="Times New Roman"/>
          <w:szCs w:val="24"/>
        </w:rPr>
        <w:t>s</w:t>
      </w:r>
      <w:r w:rsidR="00165D5B" w:rsidRPr="00E06427">
        <w:rPr>
          <w:rFonts w:cs="Times New Roman"/>
          <w:szCs w:val="24"/>
        </w:rPr>
        <w:t xml:space="preserve"> para o desenvolvimento dessas competências</w:t>
      </w:r>
      <w:r w:rsidR="0054363D" w:rsidRPr="00E06427">
        <w:rPr>
          <w:rFonts w:cs="Times New Roman"/>
          <w:szCs w:val="24"/>
        </w:rPr>
        <w:t xml:space="preserve">. </w:t>
      </w:r>
      <w:r w:rsidR="00BA6429" w:rsidRPr="00E06427">
        <w:rPr>
          <w:rFonts w:cs="Times New Roman"/>
          <w:szCs w:val="24"/>
        </w:rPr>
        <w:t xml:space="preserve"> </w:t>
      </w:r>
    </w:p>
    <w:p w14:paraId="5BAFD5DB" w14:textId="36495EB5" w:rsidR="00711179" w:rsidRPr="00E06427" w:rsidRDefault="0060470A" w:rsidP="002372CF">
      <w:pPr>
        <w:rPr>
          <w:rFonts w:eastAsia="Arial" w:cs="Times New Roman"/>
          <w:spacing w:val="-2"/>
          <w:szCs w:val="24"/>
        </w:rPr>
      </w:pPr>
      <w:r w:rsidRPr="00E06427">
        <w:rPr>
          <w:rFonts w:cs="Times New Roman"/>
          <w:szCs w:val="24"/>
        </w:rPr>
        <w:tab/>
        <w:t xml:space="preserve">Avaliando as metodologias </w:t>
      </w:r>
      <w:r w:rsidR="003B0427" w:rsidRPr="00E06427">
        <w:rPr>
          <w:rFonts w:cs="Times New Roman"/>
          <w:szCs w:val="24"/>
        </w:rPr>
        <w:t xml:space="preserve">adotas é possível mensurar se estas são </w:t>
      </w:r>
      <w:r w:rsidR="0052724A" w:rsidRPr="00E06427">
        <w:rPr>
          <w:rFonts w:eastAsia="Arial" w:cs="Times New Roman"/>
          <w:spacing w:val="-2"/>
          <w:szCs w:val="24"/>
        </w:rPr>
        <w:t xml:space="preserve">efetivas na promoção da aprendizagem; </w:t>
      </w:r>
      <w:r w:rsidR="00321FF6" w:rsidRPr="00E06427">
        <w:rPr>
          <w:rFonts w:eastAsia="Arial" w:cs="Times New Roman"/>
          <w:spacing w:val="-2"/>
          <w:szCs w:val="24"/>
        </w:rPr>
        <w:t xml:space="preserve">se estão promovendo </w:t>
      </w:r>
      <w:r w:rsidR="00D71412" w:rsidRPr="00E06427">
        <w:rPr>
          <w:rFonts w:eastAsia="Arial" w:cs="Times New Roman"/>
          <w:spacing w:val="-2"/>
          <w:szCs w:val="24"/>
        </w:rPr>
        <w:t>o</w:t>
      </w:r>
      <w:r w:rsidR="005C3FA1" w:rsidRPr="00E06427">
        <w:rPr>
          <w:rFonts w:eastAsia="Arial" w:cs="Times New Roman"/>
          <w:spacing w:val="-2"/>
          <w:szCs w:val="24"/>
        </w:rPr>
        <w:t xml:space="preserve"> interesse, a motivação e </w:t>
      </w:r>
      <w:r w:rsidR="00666B9E" w:rsidRPr="00E06427">
        <w:rPr>
          <w:rFonts w:eastAsia="Arial" w:cs="Times New Roman"/>
          <w:spacing w:val="-2"/>
          <w:szCs w:val="24"/>
        </w:rPr>
        <w:t xml:space="preserve">o </w:t>
      </w:r>
      <w:r w:rsidR="005C3FA1" w:rsidRPr="00E06427">
        <w:rPr>
          <w:rFonts w:eastAsia="Arial" w:cs="Times New Roman"/>
          <w:spacing w:val="-2"/>
          <w:szCs w:val="24"/>
        </w:rPr>
        <w:t>envolvimento ativo dos alunos</w:t>
      </w:r>
      <w:r w:rsidR="005A10DF" w:rsidRPr="00E06427">
        <w:rPr>
          <w:rFonts w:eastAsia="Arial" w:cs="Times New Roman"/>
          <w:spacing w:val="-2"/>
          <w:szCs w:val="24"/>
        </w:rPr>
        <w:t xml:space="preserve">; </w:t>
      </w:r>
      <w:r w:rsidR="00067859" w:rsidRPr="00E06427">
        <w:rPr>
          <w:rFonts w:eastAsia="Arial" w:cs="Times New Roman"/>
          <w:spacing w:val="-2"/>
          <w:szCs w:val="24"/>
        </w:rPr>
        <w:t>se esta aprendizagem é significativa</w:t>
      </w:r>
      <w:r w:rsidR="005A10DF" w:rsidRPr="00E06427">
        <w:rPr>
          <w:rFonts w:eastAsia="Arial" w:cs="Times New Roman"/>
          <w:spacing w:val="-2"/>
          <w:szCs w:val="24"/>
        </w:rPr>
        <w:t xml:space="preserve">; </w:t>
      </w:r>
      <w:r w:rsidR="00375399" w:rsidRPr="00E06427">
        <w:rPr>
          <w:rFonts w:eastAsia="Arial" w:cs="Times New Roman"/>
          <w:spacing w:val="-2"/>
          <w:szCs w:val="24"/>
        </w:rPr>
        <w:t xml:space="preserve">se </w:t>
      </w:r>
      <w:r w:rsidR="00711179" w:rsidRPr="00E06427">
        <w:rPr>
          <w:rFonts w:eastAsia="Arial" w:cs="Times New Roman"/>
          <w:spacing w:val="-2"/>
          <w:szCs w:val="24"/>
        </w:rPr>
        <w:t>estimulam a participação ativa</w:t>
      </w:r>
      <w:r w:rsidR="00375399" w:rsidRPr="00E06427">
        <w:rPr>
          <w:rFonts w:eastAsia="Arial" w:cs="Times New Roman"/>
          <w:spacing w:val="-2"/>
          <w:szCs w:val="24"/>
        </w:rPr>
        <w:t xml:space="preserve">; </w:t>
      </w:r>
      <w:r w:rsidR="00711179" w:rsidRPr="00E06427">
        <w:rPr>
          <w:rFonts w:eastAsia="Arial" w:cs="Times New Roman"/>
          <w:spacing w:val="-2"/>
          <w:szCs w:val="24"/>
        </w:rPr>
        <w:t>se estão promovendo o interesse, a motivação e o envolvimento ativo no aprendizado</w:t>
      </w:r>
      <w:r w:rsidR="00A75218" w:rsidRPr="00E06427">
        <w:rPr>
          <w:rFonts w:eastAsia="Arial" w:cs="Times New Roman"/>
          <w:spacing w:val="-2"/>
          <w:szCs w:val="24"/>
        </w:rPr>
        <w:t xml:space="preserve">; </w:t>
      </w:r>
      <w:r w:rsidR="00347AA9" w:rsidRPr="00E06427">
        <w:rPr>
          <w:rFonts w:eastAsia="Arial" w:cs="Times New Roman"/>
          <w:spacing w:val="-2"/>
          <w:szCs w:val="24"/>
        </w:rPr>
        <w:t xml:space="preserve">se </w:t>
      </w:r>
      <w:r w:rsidR="00711179" w:rsidRPr="00E06427">
        <w:rPr>
          <w:rFonts w:eastAsia="Arial" w:cs="Times New Roman"/>
          <w:spacing w:val="-2"/>
          <w:szCs w:val="24"/>
        </w:rPr>
        <w:t>incentivam a aplicação prática do conhecimento, a resolução de problemas do mundo real e a reflexão crítica</w:t>
      </w:r>
      <w:r w:rsidR="00A60EA0" w:rsidRPr="00E06427">
        <w:rPr>
          <w:rFonts w:eastAsia="Arial" w:cs="Times New Roman"/>
          <w:spacing w:val="-2"/>
          <w:szCs w:val="24"/>
        </w:rPr>
        <w:t xml:space="preserve">; </w:t>
      </w:r>
      <w:r w:rsidR="00BF6D74" w:rsidRPr="00E06427">
        <w:rPr>
          <w:rFonts w:eastAsia="Arial" w:cs="Times New Roman"/>
          <w:spacing w:val="-2"/>
          <w:szCs w:val="24"/>
        </w:rPr>
        <w:t xml:space="preserve">se </w:t>
      </w:r>
      <w:r w:rsidR="00C4125F" w:rsidRPr="00E06427">
        <w:rPr>
          <w:rFonts w:eastAsia="Arial" w:cs="Times New Roman"/>
          <w:spacing w:val="-2"/>
          <w:szCs w:val="24"/>
        </w:rPr>
        <w:t>e</w:t>
      </w:r>
      <w:r w:rsidR="0007630E" w:rsidRPr="00E06427">
        <w:rPr>
          <w:rFonts w:eastAsia="Arial" w:cs="Times New Roman"/>
          <w:spacing w:val="-2"/>
          <w:szCs w:val="24"/>
        </w:rPr>
        <w:t xml:space="preserve">mpregam </w:t>
      </w:r>
      <w:r w:rsidR="00711179" w:rsidRPr="00E06427">
        <w:rPr>
          <w:rFonts w:eastAsia="Arial" w:cs="Times New Roman"/>
          <w:spacing w:val="-2"/>
          <w:szCs w:val="24"/>
        </w:rPr>
        <w:t>práticas inovadoras, compartilha</w:t>
      </w:r>
      <w:r w:rsidR="00C4125F" w:rsidRPr="00E06427">
        <w:rPr>
          <w:rFonts w:eastAsia="Arial" w:cs="Times New Roman"/>
          <w:spacing w:val="-2"/>
          <w:szCs w:val="24"/>
        </w:rPr>
        <w:t>m</w:t>
      </w:r>
      <w:r w:rsidR="00711179" w:rsidRPr="00E06427">
        <w:rPr>
          <w:rFonts w:eastAsia="Arial" w:cs="Times New Roman"/>
          <w:spacing w:val="-2"/>
          <w:szCs w:val="24"/>
        </w:rPr>
        <w:t xml:space="preserve"> experiências bem-sucedidas e promove</w:t>
      </w:r>
      <w:r w:rsidR="00A56E24" w:rsidRPr="00E06427">
        <w:rPr>
          <w:rFonts w:eastAsia="Arial" w:cs="Times New Roman"/>
          <w:spacing w:val="-2"/>
          <w:szCs w:val="24"/>
        </w:rPr>
        <w:t>m</w:t>
      </w:r>
      <w:r w:rsidR="00711179" w:rsidRPr="00E06427">
        <w:rPr>
          <w:rFonts w:eastAsia="Arial" w:cs="Times New Roman"/>
          <w:spacing w:val="-2"/>
          <w:szCs w:val="24"/>
        </w:rPr>
        <w:t xml:space="preserve"> a adoção de abordagens mais eficientes e alinhadas com </w:t>
      </w:r>
      <w:r w:rsidR="003548B2" w:rsidRPr="00E06427">
        <w:rPr>
          <w:rFonts w:eastAsia="Arial" w:cs="Times New Roman"/>
          <w:spacing w:val="-2"/>
          <w:szCs w:val="24"/>
        </w:rPr>
        <w:t>os contextos</w:t>
      </w:r>
      <w:r w:rsidR="00711179" w:rsidRPr="00E06427">
        <w:rPr>
          <w:rFonts w:eastAsia="Arial" w:cs="Times New Roman"/>
          <w:spacing w:val="-2"/>
          <w:szCs w:val="24"/>
        </w:rPr>
        <w:t xml:space="preserve"> atuais</w:t>
      </w:r>
      <w:r w:rsidR="00C4125F" w:rsidRPr="00E06427">
        <w:rPr>
          <w:rFonts w:eastAsia="Arial" w:cs="Times New Roman"/>
          <w:spacing w:val="-2"/>
          <w:szCs w:val="24"/>
        </w:rPr>
        <w:t xml:space="preserve"> e, se</w:t>
      </w:r>
      <w:r w:rsidR="00911FC3" w:rsidRPr="00E06427">
        <w:rPr>
          <w:rFonts w:eastAsia="Arial" w:cs="Times New Roman"/>
          <w:spacing w:val="-2"/>
          <w:szCs w:val="24"/>
        </w:rPr>
        <w:t xml:space="preserve"> </w:t>
      </w:r>
      <w:r w:rsidR="00711179" w:rsidRPr="00E06427">
        <w:rPr>
          <w:rFonts w:eastAsia="Arial" w:cs="Times New Roman"/>
          <w:spacing w:val="-2"/>
          <w:szCs w:val="24"/>
        </w:rPr>
        <w:t>as instituições de ensino superior est</w:t>
      </w:r>
      <w:r w:rsidR="00A311EE" w:rsidRPr="00E06427">
        <w:rPr>
          <w:rFonts w:eastAsia="Arial" w:cs="Times New Roman"/>
          <w:spacing w:val="-2"/>
          <w:szCs w:val="24"/>
        </w:rPr>
        <w:t>ão</w:t>
      </w:r>
      <w:r w:rsidR="00711179" w:rsidRPr="00E06427">
        <w:rPr>
          <w:rFonts w:eastAsia="Arial" w:cs="Times New Roman"/>
          <w:spacing w:val="-2"/>
          <w:szCs w:val="24"/>
        </w:rPr>
        <w:t xml:space="preserve"> </w:t>
      </w:r>
      <w:r w:rsidR="00A311EE" w:rsidRPr="00E06427">
        <w:rPr>
          <w:rFonts w:eastAsia="Arial" w:cs="Times New Roman"/>
          <w:spacing w:val="-2"/>
          <w:szCs w:val="24"/>
        </w:rPr>
        <w:t xml:space="preserve">adaptando-se </w:t>
      </w:r>
      <w:r w:rsidR="00711179" w:rsidRPr="00E06427">
        <w:rPr>
          <w:rFonts w:eastAsia="Arial" w:cs="Times New Roman"/>
          <w:spacing w:val="-2"/>
          <w:szCs w:val="24"/>
        </w:rPr>
        <w:t>às necessidades em constante mudança.</w:t>
      </w:r>
    </w:p>
    <w:p w14:paraId="1F2AE641" w14:textId="5B3BF391" w:rsidR="00E96244" w:rsidRPr="00E06427" w:rsidRDefault="003A0A0A" w:rsidP="00E96244">
      <w:pPr>
        <w:rPr>
          <w:rFonts w:cs="Times New Roman"/>
          <w:szCs w:val="24"/>
        </w:rPr>
      </w:pPr>
      <w:r w:rsidRPr="00E06427">
        <w:rPr>
          <w:rFonts w:eastAsia="Arial" w:cs="Times New Roman"/>
          <w:spacing w:val="-2"/>
          <w:szCs w:val="24"/>
        </w:rPr>
        <w:tab/>
      </w:r>
      <w:r w:rsidR="00726407" w:rsidRPr="00E06427">
        <w:rPr>
          <w:rFonts w:eastAsia="Arial" w:cs="Times New Roman"/>
          <w:spacing w:val="-2"/>
          <w:szCs w:val="24"/>
        </w:rPr>
        <w:t xml:space="preserve">Para </w:t>
      </w:r>
      <w:proofErr w:type="spellStart"/>
      <w:r w:rsidR="00E96244" w:rsidRPr="00E06427">
        <w:rPr>
          <w:rFonts w:eastAsia="Arial" w:cs="Times New Roman"/>
          <w:spacing w:val="-2"/>
          <w:szCs w:val="24"/>
        </w:rPr>
        <w:t>Bertolin</w:t>
      </w:r>
      <w:proofErr w:type="spellEnd"/>
      <w:r w:rsidR="00E96244" w:rsidRPr="00E06427">
        <w:rPr>
          <w:rFonts w:eastAsia="Arial" w:cs="Times New Roman"/>
          <w:spacing w:val="-2"/>
          <w:szCs w:val="24"/>
        </w:rPr>
        <w:t xml:space="preserve"> (2019, p. 128) “</w:t>
      </w:r>
      <w:r w:rsidR="00E96244" w:rsidRPr="00E06427">
        <w:rPr>
          <w:rFonts w:cs="Times New Roman"/>
          <w:szCs w:val="24"/>
        </w:rPr>
        <w:t>ainda se pode observar uma ampla diversidade e uma certa confusão na utilização conceitual do termo “qualidade” no âmbito da educação superior”</w:t>
      </w:r>
    </w:p>
    <w:p w14:paraId="32824BA6" w14:textId="1B456557" w:rsidR="00D46489" w:rsidRPr="00E06427" w:rsidRDefault="00813D03" w:rsidP="006A4E69">
      <w:pPr>
        <w:rPr>
          <w:rFonts w:eastAsia="Arial" w:cs="Times New Roman"/>
          <w:spacing w:val="-2"/>
          <w:szCs w:val="24"/>
        </w:rPr>
      </w:pPr>
      <w:r w:rsidRPr="00E06427">
        <w:rPr>
          <w:rFonts w:eastAsia="Arial" w:cs="Times New Roman"/>
          <w:spacing w:val="-2"/>
          <w:szCs w:val="24"/>
        </w:rPr>
        <w:t>e</w:t>
      </w:r>
      <w:r w:rsidR="003A0A0A" w:rsidRPr="00E06427">
        <w:rPr>
          <w:rFonts w:eastAsia="Arial" w:cs="Times New Roman"/>
          <w:spacing w:val="-2"/>
          <w:szCs w:val="24"/>
        </w:rPr>
        <w:t xml:space="preserve"> desta forma este </w:t>
      </w:r>
      <w:r w:rsidR="00F5647A" w:rsidRPr="00E06427">
        <w:rPr>
          <w:rFonts w:eastAsia="Arial" w:cs="Times New Roman"/>
          <w:spacing w:val="-2"/>
          <w:szCs w:val="24"/>
        </w:rPr>
        <w:t xml:space="preserve">estudo </w:t>
      </w:r>
      <w:r w:rsidR="00F47B48" w:rsidRPr="00E06427">
        <w:rPr>
          <w:rFonts w:eastAsia="Arial" w:cs="Times New Roman"/>
          <w:spacing w:val="-2"/>
          <w:szCs w:val="24"/>
        </w:rPr>
        <w:t xml:space="preserve">discorre sobre </w:t>
      </w:r>
      <w:r w:rsidR="0099270A" w:rsidRPr="00E06427">
        <w:rPr>
          <w:rFonts w:eastAsia="Arial" w:cs="Times New Roman"/>
          <w:spacing w:val="-2"/>
          <w:szCs w:val="24"/>
        </w:rPr>
        <w:t>o tema d</w:t>
      </w:r>
      <w:r w:rsidR="00F47B48" w:rsidRPr="00E06427">
        <w:rPr>
          <w:rFonts w:eastAsia="Arial" w:cs="Times New Roman"/>
          <w:spacing w:val="-2"/>
          <w:szCs w:val="24"/>
        </w:rPr>
        <w:t>a</w:t>
      </w:r>
      <w:r w:rsidR="004B01A3" w:rsidRPr="00E06427">
        <w:rPr>
          <w:rFonts w:eastAsia="Arial" w:cs="Times New Roman"/>
          <w:spacing w:val="-2"/>
          <w:szCs w:val="24"/>
        </w:rPr>
        <w:t>s metodologias ativas na</w:t>
      </w:r>
      <w:r w:rsidR="00F47B48" w:rsidRPr="00E06427">
        <w:rPr>
          <w:rFonts w:eastAsia="Arial" w:cs="Times New Roman"/>
          <w:spacing w:val="-2"/>
          <w:szCs w:val="24"/>
        </w:rPr>
        <w:t xml:space="preserve"> avaliação da qualidade do ensino superior</w:t>
      </w:r>
      <w:r w:rsidR="003A0A0A" w:rsidRPr="00E06427">
        <w:rPr>
          <w:rFonts w:eastAsia="Arial" w:cs="Times New Roman"/>
          <w:spacing w:val="-2"/>
          <w:szCs w:val="24"/>
        </w:rPr>
        <w:t>, c</w:t>
      </w:r>
      <w:r w:rsidR="00533E61" w:rsidRPr="00E06427">
        <w:rPr>
          <w:rFonts w:eastAsia="Arial" w:cs="Times New Roman"/>
          <w:spacing w:val="-2"/>
          <w:szCs w:val="24"/>
        </w:rPr>
        <w:t>onsiderando que est</w:t>
      </w:r>
      <w:r w:rsidR="00E02896" w:rsidRPr="00E06427">
        <w:rPr>
          <w:rFonts w:eastAsia="Arial" w:cs="Times New Roman"/>
          <w:spacing w:val="-2"/>
          <w:szCs w:val="24"/>
        </w:rPr>
        <w:t>a</w:t>
      </w:r>
      <w:r w:rsidR="00533E61" w:rsidRPr="00E06427">
        <w:rPr>
          <w:rFonts w:eastAsia="Arial" w:cs="Times New Roman"/>
          <w:spacing w:val="-2"/>
          <w:szCs w:val="24"/>
        </w:rPr>
        <w:t xml:space="preserve"> </w:t>
      </w:r>
      <w:r w:rsidR="00A5435E" w:rsidRPr="00E06427">
        <w:rPr>
          <w:rFonts w:eastAsia="Arial" w:cs="Times New Roman"/>
          <w:spacing w:val="-2"/>
          <w:szCs w:val="24"/>
        </w:rPr>
        <w:t>pode ocorre</w:t>
      </w:r>
      <w:r w:rsidR="008C0627" w:rsidRPr="00E06427">
        <w:rPr>
          <w:rFonts w:eastAsia="Arial" w:cs="Times New Roman"/>
          <w:spacing w:val="-2"/>
          <w:szCs w:val="24"/>
        </w:rPr>
        <w:t xml:space="preserve">r com base em múltiplos </w:t>
      </w:r>
      <w:r w:rsidR="00962C6E" w:rsidRPr="00E06427">
        <w:rPr>
          <w:rFonts w:eastAsia="Arial" w:cs="Times New Roman"/>
          <w:spacing w:val="-2"/>
          <w:szCs w:val="24"/>
        </w:rPr>
        <w:t>critérios</w:t>
      </w:r>
      <w:r w:rsidR="00CA16A9" w:rsidRPr="00E06427">
        <w:rPr>
          <w:rFonts w:eastAsia="Arial" w:cs="Times New Roman"/>
          <w:spacing w:val="-2"/>
          <w:szCs w:val="24"/>
        </w:rPr>
        <w:t xml:space="preserve"> e </w:t>
      </w:r>
      <w:r w:rsidR="009A67B9" w:rsidRPr="00E06427">
        <w:rPr>
          <w:rFonts w:eastAsia="Arial" w:cs="Times New Roman"/>
          <w:spacing w:val="-2"/>
          <w:szCs w:val="24"/>
        </w:rPr>
        <w:t>abordagens</w:t>
      </w:r>
      <w:r w:rsidR="00E02896" w:rsidRPr="00E06427">
        <w:rPr>
          <w:rFonts w:eastAsia="Arial" w:cs="Times New Roman"/>
          <w:spacing w:val="-2"/>
          <w:szCs w:val="24"/>
        </w:rPr>
        <w:t xml:space="preserve">, variando </w:t>
      </w:r>
      <w:r w:rsidR="00A2712C" w:rsidRPr="00E06427">
        <w:rPr>
          <w:rFonts w:eastAsia="Arial" w:cs="Times New Roman"/>
          <w:spacing w:val="-2"/>
          <w:szCs w:val="24"/>
        </w:rPr>
        <w:t xml:space="preserve">de </w:t>
      </w:r>
      <w:r w:rsidR="00E32884" w:rsidRPr="00E06427">
        <w:rPr>
          <w:rFonts w:eastAsia="Arial" w:cs="Times New Roman"/>
          <w:spacing w:val="-2"/>
          <w:szCs w:val="24"/>
        </w:rPr>
        <w:t xml:space="preserve">acordo com </w:t>
      </w:r>
      <w:r w:rsidR="00A64671" w:rsidRPr="00E06427">
        <w:rPr>
          <w:rFonts w:eastAsia="Arial" w:cs="Times New Roman"/>
          <w:spacing w:val="-2"/>
          <w:szCs w:val="24"/>
        </w:rPr>
        <w:t xml:space="preserve">a visão </w:t>
      </w:r>
      <w:r w:rsidR="009A67B9" w:rsidRPr="00E06427">
        <w:rPr>
          <w:rFonts w:eastAsia="Arial" w:cs="Times New Roman"/>
          <w:spacing w:val="-2"/>
          <w:szCs w:val="24"/>
        </w:rPr>
        <w:t>dos professores, cursos</w:t>
      </w:r>
      <w:r w:rsidR="00A64671" w:rsidRPr="00E06427">
        <w:rPr>
          <w:rFonts w:eastAsia="Arial" w:cs="Times New Roman"/>
          <w:spacing w:val="-2"/>
          <w:szCs w:val="24"/>
        </w:rPr>
        <w:t>, i</w:t>
      </w:r>
      <w:r w:rsidR="009A67B9" w:rsidRPr="00E06427">
        <w:rPr>
          <w:rFonts w:eastAsia="Arial" w:cs="Times New Roman"/>
          <w:spacing w:val="-2"/>
          <w:szCs w:val="24"/>
        </w:rPr>
        <w:t>nstituições</w:t>
      </w:r>
      <w:r w:rsidR="00A204DD" w:rsidRPr="00E06427">
        <w:rPr>
          <w:rFonts w:eastAsia="Arial" w:cs="Times New Roman"/>
          <w:spacing w:val="-2"/>
          <w:szCs w:val="24"/>
        </w:rPr>
        <w:t xml:space="preserve"> e políticas </w:t>
      </w:r>
      <w:r w:rsidR="00A2712C" w:rsidRPr="00E06427">
        <w:rPr>
          <w:rFonts w:eastAsia="Arial" w:cs="Times New Roman"/>
          <w:spacing w:val="-2"/>
          <w:szCs w:val="24"/>
        </w:rPr>
        <w:t>públicas</w:t>
      </w:r>
      <w:r w:rsidR="00AA1ABB" w:rsidRPr="00E06427">
        <w:rPr>
          <w:rFonts w:eastAsia="Arial" w:cs="Times New Roman"/>
          <w:spacing w:val="-2"/>
          <w:szCs w:val="24"/>
        </w:rPr>
        <w:t>.</w:t>
      </w:r>
    </w:p>
    <w:p w14:paraId="5951CB45" w14:textId="17B6428B" w:rsidR="00285FA4" w:rsidRPr="00E06427" w:rsidRDefault="00A744DA" w:rsidP="001521C4">
      <w:pPr>
        <w:ind w:firstLine="851"/>
        <w:rPr>
          <w:rFonts w:eastAsia="Arial" w:cs="Times New Roman"/>
          <w:spacing w:val="-2"/>
          <w:szCs w:val="24"/>
        </w:rPr>
      </w:pPr>
      <w:r w:rsidRPr="00E06427">
        <w:rPr>
          <w:rFonts w:eastAsia="Arial" w:cs="Times New Roman"/>
          <w:spacing w:val="-2"/>
          <w:szCs w:val="24"/>
        </w:rPr>
        <w:t xml:space="preserve">Na tentativa de </w:t>
      </w:r>
      <w:r w:rsidR="00146F53" w:rsidRPr="00E06427">
        <w:rPr>
          <w:rFonts w:eastAsia="Arial" w:cs="Times New Roman"/>
          <w:spacing w:val="-2"/>
          <w:szCs w:val="24"/>
        </w:rPr>
        <w:t xml:space="preserve">lançar um pouco luz sobre este </w:t>
      </w:r>
      <w:r w:rsidR="00B03767" w:rsidRPr="00E06427">
        <w:rPr>
          <w:rFonts w:eastAsia="Arial" w:cs="Times New Roman"/>
          <w:spacing w:val="-2"/>
          <w:szCs w:val="24"/>
        </w:rPr>
        <w:t xml:space="preserve">tema </w:t>
      </w:r>
      <w:r w:rsidR="00902BAC" w:rsidRPr="00E06427">
        <w:rPr>
          <w:rFonts w:eastAsia="Arial" w:cs="Times New Roman"/>
          <w:spacing w:val="-2"/>
          <w:szCs w:val="24"/>
        </w:rPr>
        <w:t xml:space="preserve">da qualidade no </w:t>
      </w:r>
      <w:r w:rsidR="004B69A1" w:rsidRPr="00E06427">
        <w:rPr>
          <w:rFonts w:eastAsia="Arial" w:cs="Times New Roman"/>
          <w:spacing w:val="-2"/>
          <w:szCs w:val="24"/>
        </w:rPr>
        <w:t xml:space="preserve">ensino superior, </w:t>
      </w:r>
      <w:r w:rsidR="006A4E69" w:rsidRPr="00E06427">
        <w:rPr>
          <w:rFonts w:eastAsia="Arial" w:cs="Times New Roman"/>
          <w:spacing w:val="-2"/>
          <w:szCs w:val="24"/>
        </w:rPr>
        <w:t>e</w:t>
      </w:r>
      <w:r w:rsidR="009927A9" w:rsidRPr="00E06427">
        <w:rPr>
          <w:rFonts w:eastAsia="Arial" w:cs="Times New Roman"/>
          <w:spacing w:val="-2"/>
          <w:szCs w:val="24"/>
        </w:rPr>
        <w:t xml:space="preserve">ste </w:t>
      </w:r>
      <w:r w:rsidR="006A4E69" w:rsidRPr="00E06427">
        <w:rPr>
          <w:rFonts w:eastAsia="Arial" w:cs="Times New Roman"/>
          <w:spacing w:val="-2"/>
          <w:szCs w:val="24"/>
        </w:rPr>
        <w:t xml:space="preserve">artigo </w:t>
      </w:r>
      <w:r w:rsidR="00A524CE" w:rsidRPr="00E06427">
        <w:rPr>
          <w:rFonts w:eastAsia="Arial" w:cs="Times New Roman"/>
          <w:spacing w:val="-2"/>
          <w:szCs w:val="24"/>
        </w:rPr>
        <w:t>tem como o</w:t>
      </w:r>
      <w:r w:rsidR="00285FA4" w:rsidRPr="00E06427">
        <w:rPr>
          <w:rFonts w:eastAsia="Arial" w:cs="Times New Roman"/>
          <w:spacing w:val="-2"/>
          <w:szCs w:val="24"/>
        </w:rPr>
        <w:t>bjetivo</w:t>
      </w:r>
      <w:r w:rsidR="00A524CE" w:rsidRPr="00E06427">
        <w:rPr>
          <w:rFonts w:eastAsia="Arial" w:cs="Times New Roman"/>
          <w:spacing w:val="-2"/>
          <w:szCs w:val="24"/>
        </w:rPr>
        <w:t xml:space="preserve"> </w:t>
      </w:r>
      <w:r w:rsidR="00476A51" w:rsidRPr="00E06427">
        <w:rPr>
          <w:rFonts w:eastAsia="Arial" w:cs="Times New Roman"/>
          <w:spacing w:val="-2"/>
          <w:szCs w:val="24"/>
        </w:rPr>
        <w:t xml:space="preserve">analisar quais </w:t>
      </w:r>
      <w:r w:rsidR="00AB3382" w:rsidRPr="00E06427">
        <w:rPr>
          <w:rFonts w:eastAsia="Arial" w:cs="Times New Roman"/>
          <w:spacing w:val="-2"/>
          <w:szCs w:val="24"/>
        </w:rPr>
        <w:t>o</w:t>
      </w:r>
      <w:r w:rsidR="00476A51" w:rsidRPr="00E06427">
        <w:rPr>
          <w:rFonts w:eastAsia="Arial" w:cs="Times New Roman"/>
          <w:spacing w:val="-2"/>
          <w:szCs w:val="24"/>
        </w:rPr>
        <w:t xml:space="preserve">s </w:t>
      </w:r>
      <w:r w:rsidR="00D22309" w:rsidRPr="00E06427">
        <w:rPr>
          <w:rFonts w:eastAsia="Arial" w:cs="Times New Roman"/>
          <w:spacing w:val="-2"/>
          <w:szCs w:val="24"/>
        </w:rPr>
        <w:t xml:space="preserve">tipos de </w:t>
      </w:r>
      <w:r w:rsidR="00476A51" w:rsidRPr="00E06427">
        <w:rPr>
          <w:rFonts w:eastAsia="Arial" w:cs="Times New Roman"/>
          <w:spacing w:val="-2"/>
          <w:szCs w:val="24"/>
        </w:rPr>
        <w:t>abordagens</w:t>
      </w:r>
      <w:r w:rsidR="00D22309" w:rsidRPr="00E06427">
        <w:rPr>
          <w:rFonts w:eastAsia="Arial" w:cs="Times New Roman"/>
          <w:spacing w:val="-2"/>
          <w:szCs w:val="24"/>
        </w:rPr>
        <w:t xml:space="preserve"> utilizadas na avaliação do</w:t>
      </w:r>
      <w:r w:rsidR="00DE57F8" w:rsidRPr="00E06427">
        <w:rPr>
          <w:rFonts w:eastAsia="Arial" w:cs="Times New Roman"/>
          <w:spacing w:val="-2"/>
          <w:szCs w:val="24"/>
        </w:rPr>
        <w:t xml:space="preserve">s cursos </w:t>
      </w:r>
      <w:r w:rsidR="00892F04" w:rsidRPr="00E06427">
        <w:rPr>
          <w:rFonts w:eastAsia="Arial" w:cs="Times New Roman"/>
          <w:spacing w:val="-2"/>
          <w:szCs w:val="24"/>
        </w:rPr>
        <w:t>superiores de administração</w:t>
      </w:r>
      <w:r w:rsidR="00476A51" w:rsidRPr="00E06427">
        <w:rPr>
          <w:rFonts w:eastAsia="Arial" w:cs="Times New Roman"/>
          <w:spacing w:val="-2"/>
          <w:szCs w:val="24"/>
        </w:rPr>
        <w:t xml:space="preserve"> </w:t>
      </w:r>
      <w:r w:rsidR="006A4E69" w:rsidRPr="00E06427">
        <w:rPr>
          <w:rFonts w:eastAsia="Arial" w:cs="Times New Roman"/>
          <w:spacing w:val="-2"/>
          <w:szCs w:val="24"/>
        </w:rPr>
        <w:t xml:space="preserve">e para tanto </w:t>
      </w:r>
      <w:r w:rsidR="00892F04" w:rsidRPr="00E06427">
        <w:rPr>
          <w:rFonts w:eastAsia="Arial" w:cs="Times New Roman"/>
          <w:spacing w:val="-2"/>
          <w:szCs w:val="24"/>
        </w:rPr>
        <w:t>realiza uma revisão sistematizada da literatura (RSL) sobre o tema.</w:t>
      </w:r>
    </w:p>
    <w:p w14:paraId="7163EAF1" w14:textId="17FB9414" w:rsidR="00F56F10" w:rsidRPr="00E06427" w:rsidRDefault="00C050BB" w:rsidP="00C167DB">
      <w:pPr>
        <w:ind w:firstLine="851"/>
        <w:rPr>
          <w:rFonts w:eastAsia="Arial" w:cs="Times New Roman"/>
          <w:spacing w:val="-2"/>
          <w:szCs w:val="24"/>
        </w:rPr>
      </w:pPr>
      <w:r w:rsidRPr="00E06427">
        <w:rPr>
          <w:rFonts w:eastAsia="Arial" w:cs="Times New Roman"/>
          <w:spacing w:val="-2"/>
          <w:szCs w:val="24"/>
        </w:rPr>
        <w:t>Para atingir</w:t>
      </w:r>
      <w:r w:rsidR="00BF0CC5" w:rsidRPr="00E06427">
        <w:rPr>
          <w:rFonts w:eastAsia="Arial" w:cs="Times New Roman"/>
          <w:spacing w:val="-2"/>
          <w:szCs w:val="24"/>
        </w:rPr>
        <w:t xml:space="preserve"> seu objetivo principal</w:t>
      </w:r>
      <w:r w:rsidR="00056C2E" w:rsidRPr="00E06427">
        <w:rPr>
          <w:rFonts w:eastAsia="Arial" w:cs="Times New Roman"/>
          <w:spacing w:val="-2"/>
          <w:szCs w:val="24"/>
        </w:rPr>
        <w:t xml:space="preserve"> este estudo </w:t>
      </w:r>
      <w:r w:rsidRPr="00E06427">
        <w:rPr>
          <w:rFonts w:eastAsia="Arial" w:cs="Times New Roman"/>
          <w:spacing w:val="-2"/>
          <w:szCs w:val="24"/>
        </w:rPr>
        <w:t xml:space="preserve">busca responder as seguintes </w:t>
      </w:r>
      <w:r w:rsidRPr="00E06427">
        <w:rPr>
          <w:rFonts w:cs="Times New Roman"/>
          <w:szCs w:val="24"/>
        </w:rPr>
        <w:t xml:space="preserve">questões: </w:t>
      </w:r>
      <w:r w:rsidR="00587E16" w:rsidRPr="00E06427">
        <w:rPr>
          <w:rFonts w:cs="Times New Roman"/>
          <w:szCs w:val="24"/>
        </w:rPr>
        <w:t xml:space="preserve">Q1 </w:t>
      </w:r>
      <w:r w:rsidR="00243506" w:rsidRPr="00E06427">
        <w:rPr>
          <w:rFonts w:cs="Times New Roman"/>
          <w:szCs w:val="24"/>
        </w:rPr>
        <w:t xml:space="preserve">- </w:t>
      </w:r>
      <w:r w:rsidRPr="00E06427">
        <w:rPr>
          <w:rFonts w:cs="Times New Roman"/>
          <w:szCs w:val="24"/>
          <w:shd w:val="clear" w:color="auto" w:fill="FFFFFF"/>
        </w:rPr>
        <w:t xml:space="preserve">Quais as abordagens utilizadas para avaliar a qualidade na educação </w:t>
      </w:r>
      <w:r w:rsidRPr="00E06427">
        <w:rPr>
          <w:rFonts w:cs="Times New Roman"/>
          <w:szCs w:val="24"/>
          <w:shd w:val="clear" w:color="auto" w:fill="FFFFFF"/>
        </w:rPr>
        <w:lastRenderedPageBreak/>
        <w:t>superior?</w:t>
      </w:r>
      <w:r w:rsidR="00592666" w:rsidRPr="00E06427">
        <w:rPr>
          <w:rFonts w:cs="Times New Roman"/>
          <w:szCs w:val="24"/>
          <w:shd w:val="clear" w:color="auto" w:fill="FFFFFF"/>
        </w:rPr>
        <w:t xml:space="preserve"> </w:t>
      </w:r>
      <w:r w:rsidR="00587E16" w:rsidRPr="00E06427">
        <w:rPr>
          <w:rFonts w:cs="Times New Roman"/>
          <w:szCs w:val="24"/>
          <w:shd w:val="clear" w:color="auto" w:fill="FFFFFF"/>
        </w:rPr>
        <w:t xml:space="preserve">Q2 </w:t>
      </w:r>
      <w:r w:rsidRPr="00E06427">
        <w:rPr>
          <w:rFonts w:cs="Times New Roman"/>
          <w:szCs w:val="24"/>
          <w:shd w:val="clear" w:color="auto" w:fill="FFFFFF"/>
        </w:rPr>
        <w:t xml:space="preserve">- Como os cursos superiores de administração são avaliados? </w:t>
      </w:r>
      <w:r w:rsidR="00587E16" w:rsidRPr="00E06427">
        <w:rPr>
          <w:rFonts w:cs="Times New Roman"/>
          <w:szCs w:val="24"/>
          <w:shd w:val="clear" w:color="auto" w:fill="FFFFFF"/>
        </w:rPr>
        <w:t xml:space="preserve">Q3 </w:t>
      </w:r>
      <w:r w:rsidRPr="00E06427">
        <w:rPr>
          <w:rFonts w:cs="Times New Roman"/>
          <w:szCs w:val="24"/>
          <w:shd w:val="clear" w:color="auto" w:fill="FFFFFF"/>
        </w:rPr>
        <w:t>- As metodologias ativas são consideradas na avaliação da qualidade?</w:t>
      </w:r>
    </w:p>
    <w:p w14:paraId="07003176" w14:textId="6319EA81" w:rsidR="00F56F10" w:rsidRPr="00E06427" w:rsidRDefault="00C167DB" w:rsidP="00023034">
      <w:pPr>
        <w:pStyle w:val="Ttulo1"/>
      </w:pPr>
      <w:r w:rsidRPr="00E06427">
        <w:t xml:space="preserve">2. </w:t>
      </w:r>
      <w:r w:rsidR="00093E36" w:rsidRPr="00E06427">
        <w:t>REFERENCIAL TEÓRICO</w:t>
      </w:r>
    </w:p>
    <w:p w14:paraId="0F6C3925" w14:textId="605218A2" w:rsidR="00384FB4" w:rsidRPr="00E06427" w:rsidRDefault="00384FB4" w:rsidP="00023034">
      <w:pPr>
        <w:pStyle w:val="Ttulo2"/>
      </w:pPr>
      <w:r w:rsidRPr="00E06427">
        <w:t xml:space="preserve">2.1 </w:t>
      </w:r>
      <w:r w:rsidR="00307C3E" w:rsidRPr="00E06427">
        <w:t>Q</w:t>
      </w:r>
      <w:r w:rsidR="00376B8D" w:rsidRPr="00E06427">
        <w:t>u</w:t>
      </w:r>
      <w:r w:rsidR="00F12743" w:rsidRPr="00E06427">
        <w:t>alidade no ensino superior</w:t>
      </w:r>
    </w:p>
    <w:p w14:paraId="5297E9E9" w14:textId="77777777" w:rsidR="00142C83" w:rsidRPr="00E06427" w:rsidRDefault="00AA3509" w:rsidP="00AA3509">
      <w:pPr>
        <w:ind w:firstLine="708"/>
        <w:rPr>
          <w:rFonts w:eastAsia="Times New Roman" w:cs="Times New Roman"/>
          <w:szCs w:val="24"/>
        </w:rPr>
      </w:pPr>
      <w:r w:rsidRPr="00E06427">
        <w:rPr>
          <w:rFonts w:eastAsia="Times New Roman" w:cs="Times New Roman"/>
          <w:szCs w:val="24"/>
        </w:rPr>
        <w:t>O estudo da qualidade no ensino superior tem sido objeto de grande interesse e discussão no campo da educação</w:t>
      </w:r>
      <w:r w:rsidR="00437F74" w:rsidRPr="00E06427">
        <w:rPr>
          <w:rFonts w:eastAsia="Times New Roman" w:cs="Times New Roman"/>
          <w:szCs w:val="24"/>
        </w:rPr>
        <w:t xml:space="preserve"> e em cada área específica</w:t>
      </w:r>
      <w:r w:rsidR="00026700" w:rsidRPr="00E06427">
        <w:rPr>
          <w:rFonts w:eastAsia="Times New Roman" w:cs="Times New Roman"/>
          <w:szCs w:val="24"/>
        </w:rPr>
        <w:t xml:space="preserve"> da formação superior</w:t>
      </w:r>
      <w:r w:rsidRPr="00E06427">
        <w:rPr>
          <w:rFonts w:eastAsia="Times New Roman" w:cs="Times New Roman"/>
          <w:szCs w:val="24"/>
        </w:rPr>
        <w:t xml:space="preserve">. </w:t>
      </w:r>
      <w:r w:rsidR="00026700" w:rsidRPr="00E06427">
        <w:rPr>
          <w:rFonts w:eastAsia="Times New Roman" w:cs="Times New Roman"/>
          <w:szCs w:val="24"/>
        </w:rPr>
        <w:t>E</w:t>
      </w:r>
      <w:r w:rsidRPr="00E06427">
        <w:rPr>
          <w:rFonts w:eastAsia="Times New Roman" w:cs="Times New Roman"/>
          <w:szCs w:val="24"/>
        </w:rPr>
        <w:t>sse tema apresenta desafios significativos que dificultam a obtenção de uma definição unificada e aplicável em todas as áreas, fenômenos ou assuntos</w:t>
      </w:r>
      <w:r w:rsidR="002F19CF" w:rsidRPr="00E06427">
        <w:rPr>
          <w:rFonts w:eastAsia="Times New Roman" w:cs="Times New Roman"/>
          <w:szCs w:val="24"/>
        </w:rPr>
        <w:t xml:space="preserve"> (NGUYEN </w:t>
      </w:r>
      <w:r w:rsidR="002F19CF" w:rsidRPr="00E06427">
        <w:rPr>
          <w:rFonts w:eastAsia="Times New Roman" w:cs="Times New Roman"/>
          <w:i/>
          <w:iCs/>
          <w:szCs w:val="24"/>
        </w:rPr>
        <w:t>et al</w:t>
      </w:r>
      <w:r w:rsidR="002F19CF" w:rsidRPr="00E06427">
        <w:rPr>
          <w:rFonts w:eastAsia="Times New Roman" w:cs="Times New Roman"/>
          <w:szCs w:val="24"/>
        </w:rPr>
        <w:t>.</w:t>
      </w:r>
      <w:r w:rsidR="003006E6" w:rsidRPr="00E06427">
        <w:rPr>
          <w:rFonts w:eastAsia="Times New Roman" w:cs="Times New Roman"/>
          <w:szCs w:val="24"/>
        </w:rPr>
        <w:t>, 2020)</w:t>
      </w:r>
      <w:r w:rsidRPr="00E06427">
        <w:rPr>
          <w:rFonts w:eastAsia="Times New Roman" w:cs="Times New Roman"/>
          <w:szCs w:val="24"/>
        </w:rPr>
        <w:t xml:space="preserve">. </w:t>
      </w:r>
    </w:p>
    <w:p w14:paraId="4D23975B" w14:textId="77777777" w:rsidR="0041602C" w:rsidRPr="00E06427" w:rsidRDefault="00AA3509" w:rsidP="00AA3509">
      <w:pPr>
        <w:ind w:firstLine="708"/>
        <w:rPr>
          <w:rFonts w:eastAsia="Times New Roman" w:cs="Times New Roman"/>
          <w:szCs w:val="24"/>
        </w:rPr>
      </w:pPr>
      <w:r w:rsidRPr="00E06427">
        <w:rPr>
          <w:rFonts w:eastAsia="Times New Roman" w:cs="Times New Roman"/>
          <w:szCs w:val="24"/>
        </w:rPr>
        <w:t>Esse é o primeiro desafio enfrentado pelos pesquisadores e profissionais que buscam compreender e melhorar a qualidade do ensino superior.</w:t>
      </w:r>
      <w:r w:rsidR="009027AA" w:rsidRPr="00E06427">
        <w:rPr>
          <w:rFonts w:eastAsia="Times New Roman" w:cs="Times New Roman"/>
          <w:szCs w:val="24"/>
        </w:rPr>
        <w:t xml:space="preserve"> Trata-se de um </w:t>
      </w:r>
      <w:r w:rsidRPr="00E06427">
        <w:rPr>
          <w:rFonts w:eastAsia="Times New Roman" w:cs="Times New Roman"/>
          <w:szCs w:val="24"/>
        </w:rPr>
        <w:t xml:space="preserve">conceito complexo e abstrato, o que torna a sua análise e avaliação uma tarefa desafiadora. Diferentes áreas do conhecimento, apresentam particularidades que influenciam na forma como a qualidade é percebida e mensurada. </w:t>
      </w:r>
    </w:p>
    <w:p w14:paraId="3B9F4668" w14:textId="695C5D62" w:rsidR="00550108" w:rsidRPr="00E06427" w:rsidRDefault="00AA3509" w:rsidP="00550108">
      <w:pPr>
        <w:ind w:firstLine="708"/>
        <w:rPr>
          <w:rFonts w:cs="Times New Roman"/>
          <w:szCs w:val="24"/>
          <w:shd w:val="clear" w:color="auto" w:fill="FFFFFF"/>
        </w:rPr>
      </w:pPr>
      <w:r w:rsidRPr="00E06427">
        <w:rPr>
          <w:rFonts w:eastAsia="Times New Roman" w:cs="Times New Roman"/>
          <w:szCs w:val="24"/>
        </w:rPr>
        <w:t>Além disso, a qualidade pode assumir múltiplas dimensões, como a excelência acadêmica, a relevância social, a empregabilidade dos formados e a produção científica. Essa diversidade de abordagens é o segundo desafio enfrentado no estudo da qualidade no ensino superior.</w:t>
      </w:r>
      <w:r w:rsidR="0041602C" w:rsidRPr="00E06427">
        <w:rPr>
          <w:rFonts w:eastAsia="Times New Roman" w:cs="Times New Roman"/>
          <w:szCs w:val="24"/>
        </w:rPr>
        <w:t xml:space="preserve"> </w:t>
      </w:r>
      <w:r w:rsidR="009C0FAE" w:rsidRPr="00E06427">
        <w:rPr>
          <w:rFonts w:eastAsia="Times New Roman" w:cs="Times New Roman"/>
          <w:szCs w:val="24"/>
        </w:rPr>
        <w:t xml:space="preserve">Estas </w:t>
      </w:r>
      <w:r w:rsidRPr="00E06427">
        <w:rPr>
          <w:rFonts w:eastAsia="Times New Roman" w:cs="Times New Roman"/>
          <w:szCs w:val="24"/>
        </w:rPr>
        <w:t>diferentes abordagens têm impacto direto nas escolhas dos indicadores e nos processos de avaliação, auditoria e controle</w:t>
      </w:r>
      <w:r w:rsidR="00173C07" w:rsidRPr="00E06427">
        <w:rPr>
          <w:rFonts w:eastAsia="Times New Roman" w:cs="Times New Roman"/>
          <w:szCs w:val="24"/>
        </w:rPr>
        <w:t>.</w:t>
      </w:r>
      <w:r w:rsidRPr="00E06427">
        <w:rPr>
          <w:rFonts w:eastAsia="Times New Roman" w:cs="Times New Roman"/>
          <w:szCs w:val="24"/>
        </w:rPr>
        <w:t xml:space="preserve"> Cada abordagem enfatiza aspectos específicos da qualidade, levando em consideração diferentes critérios e diretrizes. Isso significa que os indicadores utilizados podem variar amplamente, dependendo da perspectiva adotada. </w:t>
      </w:r>
    </w:p>
    <w:p w14:paraId="587B1E1B" w14:textId="1AA97F29" w:rsidR="00F91A63" w:rsidRPr="00E06427" w:rsidRDefault="00AA3509" w:rsidP="00AA3509">
      <w:pPr>
        <w:ind w:firstLine="708"/>
        <w:rPr>
          <w:rFonts w:cs="Times New Roman"/>
          <w:szCs w:val="24"/>
        </w:rPr>
      </w:pPr>
      <w:r w:rsidRPr="00E06427">
        <w:rPr>
          <w:rFonts w:eastAsia="Times New Roman" w:cs="Times New Roman"/>
          <w:szCs w:val="24"/>
        </w:rPr>
        <w:t>Essa diversidade de abordagens e suas consequências é o terceiro desafio enfrentado pelos estudiosos da qualidade no ensino superior.</w:t>
      </w:r>
      <w:r w:rsidR="00F91A63" w:rsidRPr="00E06427">
        <w:rPr>
          <w:rFonts w:eastAsia="Times New Roman" w:cs="Times New Roman"/>
          <w:szCs w:val="24"/>
        </w:rPr>
        <w:t xml:space="preserve"> C</w:t>
      </w:r>
      <w:r w:rsidR="00B5019F" w:rsidRPr="00E06427">
        <w:rPr>
          <w:rFonts w:cs="Times New Roman"/>
          <w:szCs w:val="24"/>
        </w:rPr>
        <w:t>omo mostram as pesquisas de</w:t>
      </w:r>
      <w:r w:rsidR="0044566E" w:rsidRPr="00E06427">
        <w:rPr>
          <w:rFonts w:cs="Times New Roman"/>
          <w:szCs w:val="24"/>
        </w:rPr>
        <w:t xml:space="preserve"> Krause</w:t>
      </w:r>
      <w:r w:rsidR="00124E3D" w:rsidRPr="00E06427">
        <w:rPr>
          <w:rFonts w:cs="Times New Roman"/>
          <w:szCs w:val="24"/>
        </w:rPr>
        <w:t xml:space="preserve"> (2012)</w:t>
      </w:r>
      <w:r w:rsidR="00B5019F" w:rsidRPr="00E06427">
        <w:rPr>
          <w:rFonts w:cs="Times New Roman"/>
          <w:szCs w:val="24"/>
        </w:rPr>
        <w:t xml:space="preserve"> e</w:t>
      </w:r>
      <w:r w:rsidR="00124E3D" w:rsidRPr="00E06427">
        <w:rPr>
          <w:rFonts w:cs="Times New Roman"/>
          <w:szCs w:val="24"/>
        </w:rPr>
        <w:t xml:space="preserve"> Schindler </w:t>
      </w:r>
      <w:r w:rsidR="00124E3D" w:rsidRPr="00E06427">
        <w:rPr>
          <w:rFonts w:cs="Times New Roman"/>
          <w:i/>
          <w:iCs/>
          <w:szCs w:val="24"/>
        </w:rPr>
        <w:t>et al</w:t>
      </w:r>
      <w:r w:rsidR="00124E3D" w:rsidRPr="00E06427">
        <w:rPr>
          <w:rFonts w:cs="Times New Roman"/>
          <w:szCs w:val="24"/>
        </w:rPr>
        <w:t xml:space="preserve">. (2015) </w:t>
      </w:r>
      <w:r w:rsidR="008F6C44" w:rsidRPr="00E06427">
        <w:rPr>
          <w:rFonts w:cs="Times New Roman"/>
          <w:szCs w:val="24"/>
        </w:rPr>
        <w:t xml:space="preserve">a </w:t>
      </w:r>
      <w:r w:rsidR="00B5019F" w:rsidRPr="00E06427">
        <w:rPr>
          <w:rFonts w:cs="Times New Roman"/>
          <w:szCs w:val="24"/>
        </w:rPr>
        <w:t>definição de qualidade no ensino superior não é clara, tratando-se de um termo multidimensional e que dependem das perspectivas individuais</w:t>
      </w:r>
      <w:r w:rsidR="00A67A02" w:rsidRPr="00E06427">
        <w:rPr>
          <w:rFonts w:cs="Times New Roman"/>
          <w:szCs w:val="24"/>
        </w:rPr>
        <w:t xml:space="preserve"> (PARRI</w:t>
      </w:r>
      <w:r w:rsidR="00B1611E" w:rsidRPr="00E06427">
        <w:rPr>
          <w:rFonts w:cs="Times New Roman"/>
          <w:szCs w:val="24"/>
        </w:rPr>
        <w:t>, 2006;</w:t>
      </w:r>
      <w:r w:rsidR="000F6A4D" w:rsidRPr="00E06427">
        <w:rPr>
          <w:rFonts w:cs="Times New Roman"/>
          <w:szCs w:val="24"/>
        </w:rPr>
        <w:t xml:space="preserve"> NGUYEN, </w:t>
      </w:r>
      <w:r w:rsidR="00AA0708" w:rsidRPr="00E06427">
        <w:rPr>
          <w:rFonts w:cs="Times New Roman"/>
          <w:i/>
          <w:iCs/>
          <w:szCs w:val="24"/>
        </w:rPr>
        <w:t>et al.</w:t>
      </w:r>
      <w:r w:rsidR="000F6A4D" w:rsidRPr="00E06427">
        <w:rPr>
          <w:rFonts w:cs="Times New Roman"/>
          <w:szCs w:val="24"/>
        </w:rPr>
        <w:t xml:space="preserve"> 2020).</w:t>
      </w:r>
      <w:r w:rsidR="00B5019F" w:rsidRPr="00E06427">
        <w:rPr>
          <w:rFonts w:cs="Times New Roman"/>
          <w:szCs w:val="24"/>
        </w:rPr>
        <w:t xml:space="preserve"> </w:t>
      </w:r>
    </w:p>
    <w:p w14:paraId="216AF966" w14:textId="0C3E93C0" w:rsidR="002F19CF" w:rsidRPr="00E06427" w:rsidRDefault="002D5B34" w:rsidP="00AA3509">
      <w:pPr>
        <w:ind w:firstLine="708"/>
        <w:rPr>
          <w:rFonts w:eastAsia="Times New Roman" w:cs="Times New Roman"/>
          <w:szCs w:val="24"/>
        </w:rPr>
      </w:pPr>
      <w:r w:rsidRPr="00E06427">
        <w:rPr>
          <w:rFonts w:cs="Times New Roman"/>
          <w:szCs w:val="24"/>
          <w:shd w:val="clear" w:color="auto" w:fill="FFFFFF"/>
        </w:rPr>
        <w:t>Segundo</w:t>
      </w:r>
      <w:r w:rsidR="00090A31" w:rsidRPr="00E06427">
        <w:rPr>
          <w:rFonts w:cs="Times New Roman"/>
          <w:szCs w:val="24"/>
          <w:shd w:val="clear" w:color="auto" w:fill="FFFFFF"/>
        </w:rPr>
        <w:t xml:space="preserve"> Schindler </w:t>
      </w:r>
      <w:r w:rsidR="00090A31" w:rsidRPr="00E06427">
        <w:rPr>
          <w:rFonts w:cs="Times New Roman"/>
          <w:i/>
          <w:iCs/>
          <w:szCs w:val="24"/>
          <w:shd w:val="clear" w:color="auto" w:fill="FFFFFF"/>
        </w:rPr>
        <w:t>et al.</w:t>
      </w:r>
      <w:r w:rsidRPr="00E06427">
        <w:rPr>
          <w:rFonts w:cs="Times New Roman"/>
          <w:szCs w:val="24"/>
          <w:shd w:val="clear" w:color="auto" w:fill="FFFFFF"/>
        </w:rPr>
        <w:t xml:space="preserve"> </w:t>
      </w:r>
      <w:r w:rsidR="00090A31" w:rsidRPr="00E06427">
        <w:rPr>
          <w:rFonts w:cs="Times New Roman"/>
          <w:szCs w:val="24"/>
          <w:shd w:val="clear" w:color="auto" w:fill="FFFFFF"/>
        </w:rPr>
        <w:t>(2015)</w:t>
      </w:r>
      <w:r w:rsidRPr="00E06427">
        <w:rPr>
          <w:rFonts w:cs="Times New Roman"/>
          <w:szCs w:val="24"/>
        </w:rPr>
        <w:t xml:space="preserve">, devido a estes desafios para definir qualidade, a literatura mostra duas estratégias para definir qualidade: (1) criar uma definição ampla que atingir um objetivo ou um resultado geral e (2) identificar indicadores específicos </w:t>
      </w:r>
      <w:r w:rsidRPr="00E06427">
        <w:rPr>
          <w:rFonts w:cs="Times New Roman"/>
          <w:szCs w:val="24"/>
        </w:rPr>
        <w:lastRenderedPageBreak/>
        <w:t xml:space="preserve">que reflitam os elementos de interesse. </w:t>
      </w:r>
      <w:r w:rsidR="00B5019F" w:rsidRPr="00E06427">
        <w:rPr>
          <w:rFonts w:cs="Times New Roman"/>
          <w:szCs w:val="24"/>
        </w:rPr>
        <w:t>Não obstante esta falta de consenso, procura</w:t>
      </w:r>
      <w:r w:rsidR="00D36D6D" w:rsidRPr="00E06427">
        <w:rPr>
          <w:rFonts w:cs="Times New Roman"/>
          <w:szCs w:val="24"/>
        </w:rPr>
        <w:t>-</w:t>
      </w:r>
      <w:r w:rsidR="00FE2B58" w:rsidRPr="00E06427">
        <w:rPr>
          <w:rFonts w:cs="Times New Roman"/>
          <w:szCs w:val="24"/>
        </w:rPr>
        <w:t>se</w:t>
      </w:r>
      <w:r w:rsidR="00B5019F" w:rsidRPr="00E06427">
        <w:rPr>
          <w:rFonts w:cs="Times New Roman"/>
          <w:szCs w:val="24"/>
        </w:rPr>
        <w:t xml:space="preserve"> definir um conjunto de definições com relação a qualidade no ensino superior, pois c</w:t>
      </w:r>
      <w:r w:rsidR="00AA3509" w:rsidRPr="00E06427">
        <w:rPr>
          <w:rFonts w:eastAsia="Times New Roman" w:cs="Times New Roman"/>
          <w:szCs w:val="24"/>
        </w:rPr>
        <w:t>ompreender esses desafios é essencial para promover melhorias e garantir a excelência no ensino superior, contribuindo para o desenvolvimento da sociedade como um todo.</w:t>
      </w:r>
    </w:p>
    <w:p w14:paraId="2F75E6F3" w14:textId="4F2CD1D0" w:rsidR="00A75D46" w:rsidRPr="00E06427" w:rsidRDefault="00A5327A" w:rsidP="00A75D46">
      <w:pPr>
        <w:ind w:firstLine="708"/>
        <w:rPr>
          <w:rFonts w:cs="Times New Roman"/>
          <w:szCs w:val="24"/>
        </w:rPr>
      </w:pPr>
      <w:r w:rsidRPr="00E06427">
        <w:rPr>
          <w:rFonts w:eastAsia="Times New Roman" w:cs="Times New Roman"/>
          <w:szCs w:val="24"/>
        </w:rPr>
        <w:t xml:space="preserve">Outra questão a ser considerada </w:t>
      </w:r>
      <w:r w:rsidR="00A75D46" w:rsidRPr="00E06427">
        <w:rPr>
          <w:rFonts w:cs="Times New Roman"/>
          <w:szCs w:val="24"/>
        </w:rPr>
        <w:t xml:space="preserve">é com relação a grande variedade de interpretações dependendo da visão dos diferentes </w:t>
      </w:r>
      <w:r w:rsidR="00A75D46" w:rsidRPr="00E06427">
        <w:rPr>
          <w:rFonts w:cs="Times New Roman"/>
          <w:i/>
          <w:iCs/>
          <w:szCs w:val="24"/>
        </w:rPr>
        <w:t>stakeholders</w:t>
      </w:r>
      <w:r w:rsidR="001A63FF" w:rsidRPr="00E06427">
        <w:rPr>
          <w:rFonts w:cs="Times New Roman"/>
          <w:szCs w:val="24"/>
        </w:rPr>
        <w:t>.</w:t>
      </w:r>
      <w:r w:rsidR="00A75D46" w:rsidRPr="00E06427">
        <w:rPr>
          <w:rFonts w:cs="Times New Roman"/>
          <w:i/>
          <w:iCs/>
          <w:szCs w:val="24"/>
        </w:rPr>
        <w:t xml:space="preserve"> </w:t>
      </w:r>
      <w:r w:rsidR="008370C3" w:rsidRPr="00E06427">
        <w:rPr>
          <w:rFonts w:cs="Times New Roman"/>
          <w:szCs w:val="24"/>
        </w:rPr>
        <w:t xml:space="preserve">Schindler </w:t>
      </w:r>
      <w:r w:rsidR="008370C3" w:rsidRPr="00E06427">
        <w:rPr>
          <w:rFonts w:cs="Times New Roman"/>
          <w:i/>
          <w:iCs/>
          <w:szCs w:val="24"/>
        </w:rPr>
        <w:t>et</w:t>
      </w:r>
      <w:r w:rsidR="00AB11BD" w:rsidRPr="00E06427">
        <w:rPr>
          <w:rFonts w:cs="Times New Roman"/>
          <w:i/>
          <w:iCs/>
          <w:szCs w:val="24"/>
        </w:rPr>
        <w:t xml:space="preserve"> al.</w:t>
      </w:r>
      <w:r w:rsidR="00AB11BD" w:rsidRPr="00E06427">
        <w:rPr>
          <w:rFonts w:cs="Times New Roman"/>
          <w:szCs w:val="24"/>
        </w:rPr>
        <w:t>, (2015)</w:t>
      </w:r>
      <w:r w:rsidR="008370C3" w:rsidRPr="00E06427">
        <w:rPr>
          <w:rFonts w:cs="Times New Roman"/>
          <w:szCs w:val="24"/>
        </w:rPr>
        <w:t xml:space="preserve"> </w:t>
      </w:r>
      <w:r w:rsidR="00A75D46" w:rsidRPr="00E06427">
        <w:rPr>
          <w:rFonts w:cs="Times New Roman"/>
          <w:szCs w:val="24"/>
        </w:rPr>
        <w:t xml:space="preserve">apresentam quatro grupos de </w:t>
      </w:r>
      <w:r w:rsidR="00A75D46" w:rsidRPr="00E06427">
        <w:rPr>
          <w:rFonts w:cs="Times New Roman"/>
          <w:i/>
          <w:iCs/>
          <w:szCs w:val="24"/>
        </w:rPr>
        <w:t xml:space="preserve">stakeholders </w:t>
      </w:r>
      <w:r w:rsidR="00797B90" w:rsidRPr="00E06427">
        <w:rPr>
          <w:rFonts w:cs="Times New Roman"/>
          <w:szCs w:val="24"/>
        </w:rPr>
        <w:t xml:space="preserve">que </w:t>
      </w:r>
      <w:r w:rsidR="00A75D46" w:rsidRPr="00E06427">
        <w:rPr>
          <w:rFonts w:cs="Times New Roman"/>
          <w:szCs w:val="24"/>
        </w:rPr>
        <w:t>devem ser considerados na definição da qualidade: prestadores representados pelos órgãos de financiamentos e os contribuintes; os usuários dos produtos, como os estudantes; os usuários do sistema, representados pelas instituições e os empregadores, e os funcionários do setor, como os professores e os administradores. Mostram que cada grupo tem perspectivas diferentes sobre a qualidade e recomendam que sejam convocados a discussão, a fim de definir a qualidade e tentar designar uma cultura de qualidade.</w:t>
      </w:r>
    </w:p>
    <w:p w14:paraId="26074B0E" w14:textId="614D242C" w:rsidR="00A75D46" w:rsidRPr="00E06427" w:rsidRDefault="00094283" w:rsidP="00A75D46">
      <w:pPr>
        <w:ind w:firstLine="708"/>
        <w:rPr>
          <w:rFonts w:cs="Times New Roman"/>
          <w:szCs w:val="24"/>
          <w:shd w:val="clear" w:color="auto" w:fill="FFFFFF"/>
        </w:rPr>
      </w:pPr>
      <w:r w:rsidRPr="00E06427">
        <w:rPr>
          <w:rFonts w:cs="Times New Roman"/>
          <w:szCs w:val="24"/>
        </w:rPr>
        <w:t xml:space="preserve">Desta </w:t>
      </w:r>
      <w:r w:rsidR="00A92DD6" w:rsidRPr="00E06427">
        <w:rPr>
          <w:rFonts w:cs="Times New Roman"/>
          <w:szCs w:val="24"/>
        </w:rPr>
        <w:t xml:space="preserve">forma, a qualidade do ensino superior pode assumir </w:t>
      </w:r>
      <w:r w:rsidR="008642D8" w:rsidRPr="00E06427">
        <w:rPr>
          <w:rFonts w:cs="Times New Roman"/>
          <w:szCs w:val="24"/>
        </w:rPr>
        <w:t xml:space="preserve">vários tipos de categorizações </w:t>
      </w:r>
      <w:r w:rsidR="00BF4DBA" w:rsidRPr="00E06427">
        <w:rPr>
          <w:rFonts w:cs="Times New Roman"/>
          <w:szCs w:val="24"/>
        </w:rPr>
        <w:t xml:space="preserve">de acordo com </w:t>
      </w:r>
      <w:r w:rsidR="00057530" w:rsidRPr="00E06427">
        <w:rPr>
          <w:rFonts w:cs="Times New Roman"/>
          <w:szCs w:val="24"/>
        </w:rPr>
        <w:t>perspectiva d</w:t>
      </w:r>
      <w:r w:rsidR="00EB2D60" w:rsidRPr="00E06427">
        <w:rPr>
          <w:rFonts w:cs="Times New Roman"/>
          <w:szCs w:val="24"/>
        </w:rPr>
        <w:t xml:space="preserve">os </w:t>
      </w:r>
      <w:r w:rsidR="00A32C66" w:rsidRPr="00E06427">
        <w:rPr>
          <w:rFonts w:cs="Times New Roman"/>
          <w:szCs w:val="24"/>
        </w:rPr>
        <w:t>autores</w:t>
      </w:r>
      <w:r w:rsidR="004D0B3A" w:rsidRPr="00E06427">
        <w:rPr>
          <w:rFonts w:cs="Times New Roman"/>
          <w:szCs w:val="24"/>
        </w:rPr>
        <w:t>.</w:t>
      </w:r>
      <w:r w:rsidR="00250CF5" w:rsidRPr="00E06427">
        <w:rPr>
          <w:rFonts w:cs="Times New Roman"/>
          <w:szCs w:val="24"/>
        </w:rPr>
        <w:t xml:space="preserve"> Schindler </w:t>
      </w:r>
      <w:r w:rsidR="00250CF5" w:rsidRPr="00E06427">
        <w:rPr>
          <w:rFonts w:cs="Times New Roman"/>
          <w:i/>
          <w:iCs/>
          <w:szCs w:val="24"/>
        </w:rPr>
        <w:t>et al.</w:t>
      </w:r>
      <w:r w:rsidR="00250CF5" w:rsidRPr="00E06427">
        <w:rPr>
          <w:rFonts w:cs="Times New Roman"/>
          <w:szCs w:val="24"/>
        </w:rPr>
        <w:t xml:space="preserve"> (2015)</w:t>
      </w:r>
      <w:r w:rsidR="00A75D46" w:rsidRPr="00E06427">
        <w:rPr>
          <w:rFonts w:cs="Times New Roman"/>
          <w:szCs w:val="24"/>
          <w:shd w:val="clear" w:color="auto" w:fill="FFFFFF"/>
        </w:rPr>
        <w:t>, classificam a qualidade em quatro amplas categorias de conceituações, acordo com o objetivo ou resultados desejados, conforme abaixo:</w:t>
      </w:r>
    </w:p>
    <w:p w14:paraId="00D71C0D" w14:textId="77777777" w:rsidR="00A75D46" w:rsidRPr="00E06427" w:rsidRDefault="00A75D46" w:rsidP="00A75D46">
      <w:pPr>
        <w:pStyle w:val="PargrafodaLista"/>
        <w:widowControl w:val="0"/>
        <w:numPr>
          <w:ilvl w:val="0"/>
          <w:numId w:val="2"/>
        </w:numPr>
        <w:autoSpaceDE w:val="0"/>
        <w:autoSpaceDN w:val="0"/>
        <w:spacing w:before="2" w:line="360" w:lineRule="auto"/>
        <w:ind w:left="0" w:firstLine="426"/>
        <w:contextualSpacing w:val="0"/>
        <w:jc w:val="both"/>
        <w:rPr>
          <w:shd w:val="clear" w:color="auto" w:fill="FFFFFF"/>
        </w:rPr>
      </w:pPr>
      <w:r w:rsidRPr="00E06427">
        <w:rPr>
          <w:i/>
          <w:iCs/>
          <w:shd w:val="clear" w:color="auto" w:fill="FFFFFF"/>
        </w:rPr>
        <w:t>Proposital</w:t>
      </w:r>
      <w:r w:rsidRPr="00E06427">
        <w:rPr>
          <w:shd w:val="clear" w:color="auto" w:fill="FFFFFF"/>
        </w:rPr>
        <w:t xml:space="preserve"> – Quando a qualidade de produtos e serviços estão em conformidade uma missão/visão previamente declarada ou um conjunto de especificações, requisitos, normas ou padrões, inclusive aqueles definidos pelos órgãos de credenciamento ou regulação.</w:t>
      </w:r>
    </w:p>
    <w:p w14:paraId="575BC888" w14:textId="77777777" w:rsidR="00A75D46" w:rsidRPr="00E06427" w:rsidRDefault="00A75D46" w:rsidP="00A75D46">
      <w:pPr>
        <w:pStyle w:val="PargrafodaLista"/>
        <w:widowControl w:val="0"/>
        <w:numPr>
          <w:ilvl w:val="0"/>
          <w:numId w:val="2"/>
        </w:numPr>
        <w:autoSpaceDE w:val="0"/>
        <w:autoSpaceDN w:val="0"/>
        <w:spacing w:before="2" w:line="360" w:lineRule="auto"/>
        <w:ind w:left="0" w:firstLine="426"/>
        <w:contextualSpacing w:val="0"/>
        <w:jc w:val="both"/>
        <w:rPr>
          <w:shd w:val="clear" w:color="auto" w:fill="FFFFFF"/>
        </w:rPr>
      </w:pPr>
      <w:r w:rsidRPr="00E06427">
        <w:rPr>
          <w:i/>
          <w:iCs/>
          <w:shd w:val="clear" w:color="auto" w:fill="FFFFFF"/>
        </w:rPr>
        <w:t xml:space="preserve">Excepcional – </w:t>
      </w:r>
      <w:r w:rsidRPr="00E06427">
        <w:rPr>
          <w:shd w:val="clear" w:color="auto" w:fill="FFFFFF"/>
        </w:rPr>
        <w:t>A qualidade dos produtos e serviços institucionais alcançam modelos de distinção e exclusividade através do cumprimento de altos padrões de processos.</w:t>
      </w:r>
    </w:p>
    <w:p w14:paraId="7728F0E1" w14:textId="77777777" w:rsidR="00A75D46" w:rsidRPr="00E06427" w:rsidRDefault="00A75D46" w:rsidP="00A75D46">
      <w:pPr>
        <w:pStyle w:val="PargrafodaLista"/>
        <w:widowControl w:val="0"/>
        <w:numPr>
          <w:ilvl w:val="0"/>
          <w:numId w:val="2"/>
        </w:numPr>
        <w:autoSpaceDE w:val="0"/>
        <w:autoSpaceDN w:val="0"/>
        <w:spacing w:before="2" w:line="360" w:lineRule="auto"/>
        <w:ind w:left="0" w:firstLine="426"/>
        <w:contextualSpacing w:val="0"/>
        <w:jc w:val="both"/>
        <w:rPr>
          <w:shd w:val="clear" w:color="auto" w:fill="FFFFFF"/>
        </w:rPr>
      </w:pPr>
      <w:r w:rsidRPr="00E06427">
        <w:rPr>
          <w:i/>
          <w:iCs/>
          <w:shd w:val="clear" w:color="auto" w:fill="FFFFFF"/>
        </w:rPr>
        <w:t>Transformadora –</w:t>
      </w:r>
      <w:r w:rsidRPr="00E06427">
        <w:rPr>
          <w:shd w:val="clear" w:color="auto" w:fill="FFFFFF"/>
        </w:rPr>
        <w:t xml:space="preserve"> Quando a qualidade dos produtos e serviços proporcionam mudanças positivas na aprendizagem dos alunos (domínios afetivos, cognitivos e psicomotores) e no aprimoramento do potencial pessoal ou profissional deles.</w:t>
      </w:r>
    </w:p>
    <w:p w14:paraId="78ADED7B" w14:textId="77777777" w:rsidR="00A75D46" w:rsidRPr="00E06427" w:rsidRDefault="00A75D46" w:rsidP="00A75D46">
      <w:pPr>
        <w:pStyle w:val="PargrafodaLista"/>
        <w:widowControl w:val="0"/>
        <w:numPr>
          <w:ilvl w:val="0"/>
          <w:numId w:val="2"/>
        </w:numPr>
        <w:autoSpaceDE w:val="0"/>
        <w:autoSpaceDN w:val="0"/>
        <w:spacing w:before="2" w:line="360" w:lineRule="auto"/>
        <w:ind w:left="0" w:firstLine="426"/>
        <w:contextualSpacing w:val="0"/>
        <w:jc w:val="both"/>
        <w:rPr>
          <w:shd w:val="clear" w:color="auto" w:fill="FFFFFF"/>
        </w:rPr>
      </w:pPr>
      <w:r w:rsidRPr="00E06427">
        <w:rPr>
          <w:i/>
          <w:iCs/>
          <w:shd w:val="clear" w:color="auto" w:fill="FFFFFF"/>
        </w:rPr>
        <w:t>Responsável –</w:t>
      </w:r>
      <w:r w:rsidRPr="00E06427">
        <w:rPr>
          <w:shd w:val="clear" w:color="auto" w:fill="FFFFFF"/>
        </w:rPr>
        <w:t xml:space="preserve"> As instituições são responsáveis pelos stakeholders, pelo uso ideal dos recursos e pela entrega de produtos e serviços educacionais precisos e sem defeitos.</w:t>
      </w:r>
    </w:p>
    <w:p w14:paraId="437C90BA" w14:textId="185ACBCC" w:rsidR="00A75D46" w:rsidRPr="00E06427" w:rsidRDefault="00EB2C38" w:rsidP="00A75D46">
      <w:pPr>
        <w:ind w:firstLine="708"/>
        <w:rPr>
          <w:rFonts w:cs="Times New Roman"/>
          <w:szCs w:val="24"/>
          <w:shd w:val="clear" w:color="auto" w:fill="FFFFFF"/>
        </w:rPr>
      </w:pPr>
      <w:r w:rsidRPr="00E06427">
        <w:rPr>
          <w:rFonts w:eastAsia="Times New Roman" w:cs="Times New Roman"/>
          <w:szCs w:val="24"/>
        </w:rPr>
        <w:lastRenderedPageBreak/>
        <w:t xml:space="preserve">Schindler </w:t>
      </w:r>
      <w:r w:rsidRPr="00E06427">
        <w:rPr>
          <w:rFonts w:eastAsia="Times New Roman" w:cs="Times New Roman"/>
          <w:i/>
          <w:iCs/>
          <w:szCs w:val="24"/>
        </w:rPr>
        <w:t>et al</w:t>
      </w:r>
      <w:r w:rsidRPr="00E06427">
        <w:rPr>
          <w:rFonts w:eastAsia="Times New Roman" w:cs="Times New Roman"/>
          <w:szCs w:val="24"/>
        </w:rPr>
        <w:t xml:space="preserve">. (2015) </w:t>
      </w:r>
      <w:r w:rsidR="00C459CB" w:rsidRPr="00E06427">
        <w:rPr>
          <w:rFonts w:eastAsia="Times New Roman" w:cs="Times New Roman"/>
          <w:szCs w:val="24"/>
        </w:rPr>
        <w:t xml:space="preserve">ainda identificam e agrupam indicadores </w:t>
      </w:r>
      <w:r w:rsidR="00F754AA" w:rsidRPr="00E06427">
        <w:rPr>
          <w:rFonts w:eastAsia="Times New Roman" w:cs="Times New Roman"/>
          <w:szCs w:val="24"/>
        </w:rPr>
        <w:t xml:space="preserve">utilizados nas avaliações visando </w:t>
      </w:r>
      <w:r w:rsidR="0015627A" w:rsidRPr="00E06427">
        <w:rPr>
          <w:rFonts w:eastAsia="Times New Roman" w:cs="Times New Roman"/>
          <w:szCs w:val="24"/>
        </w:rPr>
        <w:t>a concretização</w:t>
      </w:r>
      <w:r w:rsidR="00BC1C56" w:rsidRPr="00E06427">
        <w:rPr>
          <w:rFonts w:eastAsia="Times New Roman" w:cs="Times New Roman"/>
          <w:szCs w:val="24"/>
        </w:rPr>
        <w:t xml:space="preserve"> </w:t>
      </w:r>
      <w:r w:rsidR="0015627A" w:rsidRPr="00E06427">
        <w:rPr>
          <w:rFonts w:eastAsia="Times New Roman" w:cs="Times New Roman"/>
          <w:szCs w:val="24"/>
        </w:rPr>
        <w:t>d</w:t>
      </w:r>
      <w:r w:rsidR="00A75D46" w:rsidRPr="00E06427">
        <w:rPr>
          <w:rFonts w:eastAsia="Times New Roman" w:cs="Times New Roman"/>
          <w:szCs w:val="24"/>
        </w:rPr>
        <w:t>a avaliação da qualidade</w:t>
      </w:r>
      <w:r w:rsidRPr="00E06427">
        <w:rPr>
          <w:rFonts w:eastAsia="Times New Roman" w:cs="Times New Roman"/>
          <w:szCs w:val="24"/>
        </w:rPr>
        <w:t xml:space="preserve">, como: </w:t>
      </w:r>
    </w:p>
    <w:p w14:paraId="1CC911F4" w14:textId="77777777" w:rsidR="00A75D46" w:rsidRPr="00E06427" w:rsidRDefault="00A75D46" w:rsidP="00A75D46">
      <w:pPr>
        <w:pStyle w:val="PargrafodaLista"/>
        <w:widowControl w:val="0"/>
        <w:numPr>
          <w:ilvl w:val="0"/>
          <w:numId w:val="3"/>
        </w:numPr>
        <w:autoSpaceDE w:val="0"/>
        <w:autoSpaceDN w:val="0"/>
        <w:spacing w:before="2" w:line="360" w:lineRule="auto"/>
        <w:ind w:left="0" w:firstLine="360"/>
        <w:contextualSpacing w:val="0"/>
        <w:jc w:val="both"/>
      </w:pPr>
      <w:r w:rsidRPr="00E06427">
        <w:rPr>
          <w:i/>
          <w:iCs/>
        </w:rPr>
        <w:t>Indicadores administrativos</w:t>
      </w:r>
      <w:r w:rsidRPr="00E06427">
        <w:t xml:space="preserve"> – agrupam os indicadores pertencentes às funções administrativas de uma instituição, inclusive aquelas destinadas ao desenvolvimento de uma missão/visão, o estabelecimento de legitimidade institucional, a consecução de padrões e metas internas/externas e a obtenção de recursos para seu funcionamento institucional.</w:t>
      </w:r>
    </w:p>
    <w:p w14:paraId="68C28412" w14:textId="77777777" w:rsidR="00A75D46" w:rsidRPr="00E06427" w:rsidRDefault="00A75D46" w:rsidP="00A75D46">
      <w:pPr>
        <w:pStyle w:val="PargrafodaLista"/>
        <w:widowControl w:val="0"/>
        <w:numPr>
          <w:ilvl w:val="0"/>
          <w:numId w:val="3"/>
        </w:numPr>
        <w:autoSpaceDE w:val="0"/>
        <w:autoSpaceDN w:val="0"/>
        <w:spacing w:before="2" w:line="360" w:lineRule="auto"/>
        <w:ind w:left="0" w:firstLine="360"/>
        <w:contextualSpacing w:val="0"/>
        <w:jc w:val="both"/>
      </w:pPr>
      <w:r w:rsidRPr="00E06427">
        <w:rPr>
          <w:i/>
          <w:iCs/>
        </w:rPr>
        <w:t>Indicadores de apoio estudantil</w:t>
      </w:r>
      <w:r w:rsidRPr="00E06427">
        <w:t xml:space="preserve"> – um conjunto de indicadores relacionados à disponibilidade e a capacidade de resposta aos serviços de apoio aos estudantes.</w:t>
      </w:r>
    </w:p>
    <w:p w14:paraId="09519CDB" w14:textId="77777777" w:rsidR="00A75D46" w:rsidRPr="00E06427" w:rsidRDefault="00A75D46" w:rsidP="00A75D46">
      <w:pPr>
        <w:pStyle w:val="PargrafodaLista"/>
        <w:widowControl w:val="0"/>
        <w:numPr>
          <w:ilvl w:val="0"/>
          <w:numId w:val="3"/>
        </w:numPr>
        <w:autoSpaceDE w:val="0"/>
        <w:autoSpaceDN w:val="0"/>
        <w:spacing w:before="2" w:line="360" w:lineRule="auto"/>
        <w:ind w:left="0" w:firstLine="360"/>
        <w:contextualSpacing w:val="0"/>
        <w:jc w:val="both"/>
      </w:pPr>
      <w:r w:rsidRPr="00E06427">
        <w:rPr>
          <w:i/>
          <w:iCs/>
        </w:rPr>
        <w:t xml:space="preserve">Indicadores institucionais </w:t>
      </w:r>
      <w:r w:rsidRPr="00E06427">
        <w:t>– Indicadores que dizem respeito à relevância do conteúdo educacional e à competência dos professores.</w:t>
      </w:r>
    </w:p>
    <w:p w14:paraId="1AFB29C5" w14:textId="77777777" w:rsidR="00A75D46" w:rsidRPr="00E06427" w:rsidRDefault="00A75D46" w:rsidP="00A75D46">
      <w:pPr>
        <w:pStyle w:val="PargrafodaLista"/>
        <w:widowControl w:val="0"/>
        <w:numPr>
          <w:ilvl w:val="0"/>
          <w:numId w:val="3"/>
        </w:numPr>
        <w:autoSpaceDE w:val="0"/>
        <w:autoSpaceDN w:val="0"/>
        <w:spacing w:before="2" w:line="360" w:lineRule="auto"/>
        <w:ind w:left="0" w:firstLine="360"/>
        <w:contextualSpacing w:val="0"/>
        <w:jc w:val="both"/>
      </w:pPr>
      <w:r w:rsidRPr="00E06427">
        <w:rPr>
          <w:i/>
          <w:iCs/>
        </w:rPr>
        <w:t xml:space="preserve">Indicadores de desempenho dos estudantes </w:t>
      </w:r>
      <w:r w:rsidRPr="00E06427">
        <w:t>– Conjunto de indicadores concernente ao engajamento dos alunos com o currículo, corpo docente e funcionários, e aumentos de conhecimentos, habilidades, inclusive aquelas relacionadas com desempenho profissional.</w:t>
      </w:r>
    </w:p>
    <w:p w14:paraId="307E247D" w14:textId="0EAAC5B4" w:rsidR="00A75D46" w:rsidRPr="00E06427" w:rsidRDefault="00A75D46" w:rsidP="00A75D46">
      <w:pPr>
        <w:ind w:firstLine="708"/>
        <w:rPr>
          <w:rFonts w:eastAsia="Times New Roman" w:cs="Times New Roman"/>
          <w:szCs w:val="24"/>
        </w:rPr>
      </w:pPr>
      <w:r w:rsidRPr="00E06427">
        <w:rPr>
          <w:rFonts w:eastAsia="Times New Roman" w:cs="Times New Roman"/>
          <w:szCs w:val="24"/>
        </w:rPr>
        <w:t xml:space="preserve">As três primeiras categorias estão associadas aos insumos necessários para a qualificação dos estudantes e o último relaciona-se com o desempenho dos alunos e seus ganhos de aprendizagem, o que reflete a posição defendida por </w:t>
      </w:r>
      <w:r w:rsidRPr="00E06427">
        <w:rPr>
          <w:rFonts w:eastAsia="Times New Roman" w:cs="Times New Roman"/>
          <w:szCs w:val="24"/>
        </w:rPr>
        <w:fldChar w:fldCharType="begin" w:fldLock="1"/>
      </w:r>
      <w:r w:rsidRPr="00E06427">
        <w:rPr>
          <w:rFonts w:eastAsia="Times New Roman" w:cs="Times New Roman"/>
          <w:szCs w:val="24"/>
        </w:rPr>
        <w:instrText>ADDIN CSL_CITATION {"citationItems":[{"id":"ITEM-1","itemData":{"DOI":"10.1108/QAE-09-2011-0059","ISSN":"0968-4883","author":[{"dropping-particle":"","family":"Tam","given":"Maureen","non-dropping-particle":"","parse-names":false,"suffix":""}],"container-title":"Quality Assurance in Education","id":"ITEM-1","issue":"2","issued":{"date-parts":[["2014","4","1"]]},"page":"158-168","title":"Outcomes-based approach to quality assessment and curriculum improvement in higher education","type":"article-journal","volume":"22"},"uris":["http://www.mendeley.com/documents/?uuid=1dacf2ff-fcaa-491f-ada7-a3ac22a33516"]}],"mendeley":{"formattedCitation":"(TAM, 2014)","manualFormatting":"Tam (2014)","plainTextFormattedCitation":"(TAM, 2014)","previouslyFormattedCitation":"(TAM, 2014)"},"properties":{"noteIndex":0},"schema":"https://github.com/citation-style-language/schema/raw/master/csl-citation.json"}</w:instrText>
      </w:r>
      <w:r w:rsidRPr="00E06427">
        <w:rPr>
          <w:rFonts w:eastAsia="Times New Roman" w:cs="Times New Roman"/>
          <w:szCs w:val="24"/>
        </w:rPr>
        <w:fldChar w:fldCharType="separate"/>
      </w:r>
      <w:r w:rsidRPr="00E06427">
        <w:rPr>
          <w:rFonts w:eastAsia="Times New Roman" w:cs="Times New Roman"/>
          <w:noProof/>
          <w:szCs w:val="24"/>
        </w:rPr>
        <w:t>Tam (20</w:t>
      </w:r>
      <w:r w:rsidR="00C83F93" w:rsidRPr="00E06427">
        <w:rPr>
          <w:rFonts w:eastAsia="Times New Roman" w:cs="Times New Roman"/>
          <w:noProof/>
          <w:szCs w:val="24"/>
        </w:rPr>
        <w:t>01</w:t>
      </w:r>
      <w:r w:rsidRPr="00E06427">
        <w:rPr>
          <w:rFonts w:eastAsia="Times New Roman" w:cs="Times New Roman"/>
          <w:noProof/>
          <w:szCs w:val="24"/>
        </w:rPr>
        <w:t>)</w:t>
      </w:r>
      <w:r w:rsidRPr="00E06427">
        <w:rPr>
          <w:rFonts w:eastAsia="Times New Roman" w:cs="Times New Roman"/>
          <w:szCs w:val="24"/>
        </w:rPr>
        <w:fldChar w:fldCharType="end"/>
      </w:r>
      <w:r w:rsidRPr="00E06427">
        <w:rPr>
          <w:rFonts w:eastAsia="Times New Roman" w:cs="Times New Roman"/>
          <w:szCs w:val="24"/>
        </w:rPr>
        <w:t xml:space="preserve"> de que existe uma tendência de valorizar a avaliação dos estudantes como forma de garantir a qualidade.</w:t>
      </w:r>
    </w:p>
    <w:p w14:paraId="453EFB06" w14:textId="77777777" w:rsidR="008D3107" w:rsidRPr="00E06427" w:rsidRDefault="00A75D46" w:rsidP="00A75D46">
      <w:pPr>
        <w:ind w:firstLine="709"/>
        <w:rPr>
          <w:rFonts w:eastAsia="Times New Roman" w:cs="Times New Roman"/>
          <w:szCs w:val="24"/>
        </w:rPr>
      </w:pPr>
      <w:r w:rsidRPr="00E06427">
        <w:rPr>
          <w:rFonts w:eastAsia="Times New Roman" w:cs="Times New Roman"/>
          <w:szCs w:val="24"/>
        </w:rPr>
        <w:t xml:space="preserve">Ao </w:t>
      </w:r>
      <w:r w:rsidR="00AC6D47" w:rsidRPr="00E06427">
        <w:rPr>
          <w:rFonts w:eastAsia="Times New Roman" w:cs="Times New Roman"/>
          <w:szCs w:val="24"/>
        </w:rPr>
        <w:t xml:space="preserve">também </w:t>
      </w:r>
      <w:r w:rsidRPr="00E06427">
        <w:rPr>
          <w:rFonts w:eastAsia="Times New Roman" w:cs="Times New Roman"/>
          <w:szCs w:val="24"/>
        </w:rPr>
        <w:t xml:space="preserve">salientar que a qualidade carece de um conceito que possa ser aplicado nos diversos campos, </w:t>
      </w:r>
      <w:r w:rsidR="00AC6D47" w:rsidRPr="00E06427">
        <w:rPr>
          <w:rFonts w:eastAsia="Times New Roman" w:cs="Times New Roman"/>
          <w:szCs w:val="24"/>
        </w:rPr>
        <w:t xml:space="preserve">a pesquisadora </w:t>
      </w:r>
      <w:r w:rsidRPr="00E06427">
        <w:rPr>
          <w:rFonts w:eastAsia="Times New Roman" w:cs="Times New Roman"/>
          <w:szCs w:val="24"/>
        </w:rPr>
        <w:t xml:space="preserve">Janne Parri mostra que quanto mais complexo ou abstrato é o objeto/fenômeno sob avaliação, mais difícil será chegar a uma definição satisfatória do que seja qualidade. Afirma que a razão pela qual não é possível encontrar uma única definição para a qualidade no ensino superior decorre do fato que ele é um desses objetos complexos e abstratos </w:t>
      </w:r>
      <w:r w:rsidR="008F3C4C" w:rsidRPr="00E06427">
        <w:rPr>
          <w:rFonts w:eastAsia="Times New Roman" w:cs="Times New Roman"/>
          <w:szCs w:val="24"/>
        </w:rPr>
        <w:t>(PARRI, 2006)</w:t>
      </w:r>
      <w:r w:rsidRPr="00E06427">
        <w:rPr>
          <w:rFonts w:eastAsia="Times New Roman" w:cs="Times New Roman"/>
          <w:szCs w:val="24"/>
        </w:rPr>
        <w:t xml:space="preserve">. </w:t>
      </w:r>
    </w:p>
    <w:p w14:paraId="724A928B" w14:textId="6F91BE50" w:rsidR="00A75D46" w:rsidRPr="00E06427" w:rsidRDefault="00A75D46" w:rsidP="00A75D46">
      <w:pPr>
        <w:ind w:firstLine="709"/>
        <w:rPr>
          <w:rFonts w:eastAsia="Times New Roman" w:cs="Times New Roman"/>
          <w:szCs w:val="24"/>
        </w:rPr>
      </w:pPr>
      <w:r w:rsidRPr="00E06427">
        <w:rPr>
          <w:rFonts w:eastAsia="Times New Roman" w:cs="Times New Roman"/>
          <w:szCs w:val="24"/>
        </w:rPr>
        <w:t>Compilando as definições de diversos autores,</w:t>
      </w:r>
      <w:r w:rsidR="008F3C4C" w:rsidRPr="00E06427">
        <w:rPr>
          <w:rFonts w:eastAsia="Times New Roman" w:cs="Times New Roman"/>
          <w:szCs w:val="24"/>
        </w:rPr>
        <w:t xml:space="preserve"> Parri </w:t>
      </w:r>
      <w:r w:rsidR="008D3107" w:rsidRPr="00E06427">
        <w:rPr>
          <w:rFonts w:eastAsia="Times New Roman" w:cs="Times New Roman"/>
          <w:szCs w:val="24"/>
        </w:rPr>
        <w:t xml:space="preserve">(2006) </w:t>
      </w:r>
      <w:r w:rsidRPr="00E06427">
        <w:rPr>
          <w:rFonts w:eastAsia="Times New Roman" w:cs="Times New Roman"/>
          <w:szCs w:val="24"/>
        </w:rPr>
        <w:t>classifica as abordagens do conceito de qualidade no ensino superior da seguinte forma:</w:t>
      </w:r>
    </w:p>
    <w:p w14:paraId="31E4D51C" w14:textId="489FB303" w:rsidR="00A75D46" w:rsidRPr="00E06427" w:rsidRDefault="00A75D46" w:rsidP="00A75D46">
      <w:pPr>
        <w:pStyle w:val="PargrafodaLista"/>
        <w:widowControl w:val="0"/>
        <w:numPr>
          <w:ilvl w:val="0"/>
          <w:numId w:val="4"/>
        </w:numPr>
        <w:autoSpaceDE w:val="0"/>
        <w:autoSpaceDN w:val="0"/>
        <w:spacing w:before="2" w:line="360" w:lineRule="auto"/>
        <w:ind w:left="0" w:firstLine="426"/>
        <w:contextualSpacing w:val="0"/>
        <w:jc w:val="both"/>
      </w:pPr>
      <w:r w:rsidRPr="00E06427">
        <w:rPr>
          <w:i/>
          <w:iCs/>
        </w:rPr>
        <w:t>Qualidade como excepcionalidade, excelência</w:t>
      </w:r>
      <w:r w:rsidRPr="00E06427">
        <w:t xml:space="preserve"> – não estabelece padrões de avaliação da qualidade nem define exatamente o que se entende por qualidade. Estabelece como meta que as universidades e comunidades acadêmicas sejam </w:t>
      </w:r>
      <w:r w:rsidRPr="00E06427">
        <w:lastRenderedPageBreak/>
        <w:t>aceitas e pertençam a uma elite de instituições de acordo dos rankings específicos de qualificação</w:t>
      </w:r>
    </w:p>
    <w:p w14:paraId="32D05B54" w14:textId="0E60E482" w:rsidR="00A75D46" w:rsidRPr="00E06427" w:rsidRDefault="00A75D46" w:rsidP="00A75D46">
      <w:pPr>
        <w:pStyle w:val="PargrafodaLista"/>
        <w:widowControl w:val="0"/>
        <w:numPr>
          <w:ilvl w:val="0"/>
          <w:numId w:val="4"/>
        </w:numPr>
        <w:autoSpaceDE w:val="0"/>
        <w:autoSpaceDN w:val="0"/>
        <w:spacing w:before="2" w:line="360" w:lineRule="auto"/>
        <w:ind w:left="0" w:firstLine="426"/>
        <w:contextualSpacing w:val="0"/>
        <w:jc w:val="both"/>
      </w:pPr>
      <w:r w:rsidRPr="00E06427">
        <w:rPr>
          <w:i/>
          <w:iCs/>
        </w:rPr>
        <w:t>Qualidade como zero erros</w:t>
      </w:r>
      <w:r w:rsidRPr="00E06427">
        <w:t xml:space="preserve"> – define a qualidade como resultado consistente, impecável e perfeito. </w:t>
      </w:r>
      <w:r w:rsidR="0008453A" w:rsidRPr="00E06427">
        <w:t xml:space="preserve">Como </w:t>
      </w:r>
      <w:r w:rsidR="00ED11D6" w:rsidRPr="00E06427">
        <w:t xml:space="preserve">no </w:t>
      </w:r>
      <w:r w:rsidRPr="00E06427">
        <w:t>ensino universitário, se torna impossível definir o que deveria ser um graduado perfeito</w:t>
      </w:r>
      <w:r w:rsidR="007B76E2" w:rsidRPr="00E06427">
        <w:t xml:space="preserve"> e de padrão idêntico</w:t>
      </w:r>
      <w:r w:rsidR="007D7A65" w:rsidRPr="00E06427">
        <w:t xml:space="preserve"> (PARRI, 2006)</w:t>
      </w:r>
      <w:r w:rsidR="0008453A" w:rsidRPr="00E06427">
        <w:t xml:space="preserve">, </w:t>
      </w:r>
      <w:r w:rsidRPr="00E06427">
        <w:t xml:space="preserve">estimula o desenvolvimento do ambiente </w:t>
      </w:r>
      <w:r w:rsidR="00683C67" w:rsidRPr="00E06427">
        <w:t>para a</w:t>
      </w:r>
      <w:r w:rsidR="004544EF" w:rsidRPr="00E06427">
        <w:t xml:space="preserve"> melhoria da</w:t>
      </w:r>
      <w:r w:rsidR="00683C67" w:rsidRPr="00E06427">
        <w:t xml:space="preserve"> qualidade</w:t>
      </w:r>
      <w:r w:rsidRPr="00E06427">
        <w:t>.</w:t>
      </w:r>
    </w:p>
    <w:p w14:paraId="7E4C7C47" w14:textId="16726FB2" w:rsidR="00A75D46" w:rsidRPr="00E06427" w:rsidRDefault="00A75D46" w:rsidP="00A75D46">
      <w:pPr>
        <w:pStyle w:val="PargrafodaLista"/>
        <w:widowControl w:val="0"/>
        <w:numPr>
          <w:ilvl w:val="0"/>
          <w:numId w:val="4"/>
        </w:numPr>
        <w:autoSpaceDE w:val="0"/>
        <w:autoSpaceDN w:val="0"/>
        <w:spacing w:before="2" w:line="360" w:lineRule="auto"/>
        <w:ind w:left="0" w:firstLine="426"/>
        <w:contextualSpacing w:val="0"/>
        <w:jc w:val="both"/>
      </w:pPr>
      <w:r w:rsidRPr="00E06427">
        <w:rPr>
          <w:i/>
          <w:iCs/>
        </w:rPr>
        <w:t>Qualidade como aptidão para o propósito</w:t>
      </w:r>
      <w:r w:rsidRPr="00E06427">
        <w:t xml:space="preserve"> – a qualidade está relacionada com o cumprimento de metas e objetivos para satisfazer às necessidades dos clientes ou outros grupos de interesse. </w:t>
      </w:r>
      <w:r w:rsidR="00994BAD" w:rsidRPr="00E06427">
        <w:t>C</w:t>
      </w:r>
      <w:r w:rsidRPr="00E06427">
        <w:t>onsidera a necessidade da definição antecipada do conceito e os objetivos da qualidade levando em consideração as semelhanças e divergências das instituições, em vez de equipara-las de forma artificial. Mesmo assim,</w:t>
      </w:r>
      <w:r w:rsidR="008D58D3" w:rsidRPr="00E06427">
        <w:t xml:space="preserve"> </w:t>
      </w:r>
      <w:r w:rsidR="00181490" w:rsidRPr="00E06427">
        <w:t xml:space="preserve">é uma </w:t>
      </w:r>
      <w:r w:rsidRPr="00E06427">
        <w:t xml:space="preserve">das abordagens mais utilizadas em relação </w:t>
      </w:r>
      <w:r w:rsidR="00215422" w:rsidRPr="00E06427">
        <w:t>ao</w:t>
      </w:r>
      <w:r w:rsidRPr="00E06427">
        <w:t xml:space="preserve"> ensino superior</w:t>
      </w:r>
      <w:r w:rsidR="00181490" w:rsidRPr="00E06427">
        <w:t xml:space="preserve"> (PARRI, 2006).</w:t>
      </w:r>
    </w:p>
    <w:p w14:paraId="5748BD08" w14:textId="416FF547" w:rsidR="00A75D46" w:rsidRPr="00E06427" w:rsidRDefault="00A75D46" w:rsidP="00A75D46">
      <w:pPr>
        <w:pStyle w:val="PargrafodaLista"/>
        <w:widowControl w:val="0"/>
        <w:numPr>
          <w:ilvl w:val="0"/>
          <w:numId w:val="4"/>
        </w:numPr>
        <w:autoSpaceDE w:val="0"/>
        <w:autoSpaceDN w:val="0"/>
        <w:spacing w:before="2" w:line="360" w:lineRule="auto"/>
        <w:ind w:left="0" w:firstLine="426"/>
        <w:contextualSpacing w:val="0"/>
        <w:jc w:val="both"/>
      </w:pPr>
      <w:r w:rsidRPr="00E06427">
        <w:rPr>
          <w:i/>
          <w:iCs/>
        </w:rPr>
        <w:t>Qualidade como transformadora, remodelação</w:t>
      </w:r>
      <w:r w:rsidRPr="00E06427">
        <w:t xml:space="preserve"> – </w:t>
      </w:r>
      <w:r w:rsidR="007B3C7C" w:rsidRPr="00E06427">
        <w:t xml:space="preserve">Tem o </w:t>
      </w:r>
      <w:r w:rsidR="009F5309" w:rsidRPr="00E06427">
        <w:t xml:space="preserve">foco </w:t>
      </w:r>
      <w:r w:rsidRPr="00E06427">
        <w:t xml:space="preserve">principal </w:t>
      </w:r>
      <w:r w:rsidR="00401889" w:rsidRPr="00E06427">
        <w:t xml:space="preserve">no </w:t>
      </w:r>
      <w:r w:rsidRPr="00E06427">
        <w:t>aluno (cliente) cujos entendimentos, atitudes e objetivos mudam e evoluem com o processo de formação. Portanto, as instituições que mais se destacam são aquelas que conseguem maior impacto no desenvolvimento pessoal dos alunos</w:t>
      </w:r>
      <w:r w:rsidR="00B93376" w:rsidRPr="00E06427">
        <w:t xml:space="preserve"> (TAM, 2001)</w:t>
      </w:r>
      <w:r w:rsidRPr="00E06427">
        <w:t>.</w:t>
      </w:r>
    </w:p>
    <w:p w14:paraId="1C88C4E2" w14:textId="592CB073" w:rsidR="00A75D46" w:rsidRPr="00E06427" w:rsidRDefault="00A75D46" w:rsidP="00A75D46">
      <w:pPr>
        <w:pStyle w:val="PargrafodaLista"/>
        <w:widowControl w:val="0"/>
        <w:numPr>
          <w:ilvl w:val="0"/>
          <w:numId w:val="4"/>
        </w:numPr>
        <w:autoSpaceDE w:val="0"/>
        <w:autoSpaceDN w:val="0"/>
        <w:spacing w:before="2" w:line="360" w:lineRule="auto"/>
        <w:ind w:left="0" w:firstLine="426"/>
        <w:contextualSpacing w:val="0"/>
        <w:jc w:val="both"/>
      </w:pPr>
      <w:r w:rsidRPr="00E06427">
        <w:rPr>
          <w:i/>
          <w:iCs/>
        </w:rPr>
        <w:t>Qualidade como limiar</w:t>
      </w:r>
      <w:r w:rsidRPr="00E06427">
        <w:t xml:space="preserve"> – </w:t>
      </w:r>
      <w:r w:rsidR="00B15C2C" w:rsidRPr="00E06427">
        <w:t xml:space="preserve">utilizam </w:t>
      </w:r>
      <w:r w:rsidR="0042758E" w:rsidRPr="00E06427">
        <w:t xml:space="preserve">as normas e </w:t>
      </w:r>
      <w:r w:rsidRPr="00E06427">
        <w:t>requisitos específicos</w:t>
      </w:r>
      <w:r w:rsidR="00B15C2C" w:rsidRPr="00E06427">
        <w:t>, da</w:t>
      </w:r>
      <w:r w:rsidRPr="00E06427">
        <w:t xml:space="preserve"> instituição ou outro </w:t>
      </w:r>
      <w:r w:rsidRPr="00E06427">
        <w:rPr>
          <w:i/>
          <w:iCs/>
        </w:rPr>
        <w:t xml:space="preserve">stakeholder </w:t>
      </w:r>
      <w:r w:rsidR="00B15C2C" w:rsidRPr="00E06427">
        <w:t xml:space="preserve">para </w:t>
      </w:r>
      <w:r w:rsidRPr="00E06427">
        <w:t>estabelece</w:t>
      </w:r>
      <w:r w:rsidR="00B15C2C" w:rsidRPr="00E06427">
        <w:t xml:space="preserve">r </w:t>
      </w:r>
      <w:r w:rsidRPr="00E06427">
        <w:t>um limiar que a instituição deve ultrapassar para atender aos padrões de qualidade. Estes padrões ajudam a racionalizar o processo de avaliação da qualidade, tornando-a mais objetiva. A crítica a esta abordagem vem do fato de que as normas são de difícil aplicabilidade em contextos de constantes mudanças</w:t>
      </w:r>
      <w:r w:rsidR="000651A7" w:rsidRPr="00E06427">
        <w:t xml:space="preserve">. </w:t>
      </w:r>
      <w:r w:rsidR="00B93376" w:rsidRPr="00E06427">
        <w:t xml:space="preserve"> </w:t>
      </w:r>
    </w:p>
    <w:p w14:paraId="45F5D7EF" w14:textId="77777777" w:rsidR="00A75D46" w:rsidRPr="00E06427" w:rsidRDefault="00A75D46" w:rsidP="00A75D46">
      <w:pPr>
        <w:pStyle w:val="PargrafodaLista"/>
        <w:widowControl w:val="0"/>
        <w:numPr>
          <w:ilvl w:val="0"/>
          <w:numId w:val="4"/>
        </w:numPr>
        <w:autoSpaceDE w:val="0"/>
        <w:autoSpaceDN w:val="0"/>
        <w:spacing w:line="360" w:lineRule="auto"/>
        <w:ind w:left="0" w:firstLine="425"/>
        <w:contextualSpacing w:val="0"/>
        <w:jc w:val="both"/>
      </w:pPr>
      <w:r w:rsidRPr="00E06427">
        <w:rPr>
          <w:i/>
          <w:iCs/>
        </w:rPr>
        <w:t>Qualidade como aprimoramento</w:t>
      </w:r>
      <w:r w:rsidRPr="00E06427">
        <w:t xml:space="preserve"> – esta abordagem considera que o desenvolvimento e o aumento da qualidade é a principal tarefa do pessoal acadêmico. Neste caso é dada ênfase a liberdade acadêmica e a autonomia da instituição como seguros da qualidade.</w:t>
      </w:r>
    </w:p>
    <w:p w14:paraId="0369D0C2" w14:textId="46C3418A" w:rsidR="00A75D46" w:rsidRPr="00E06427" w:rsidRDefault="00A75D46" w:rsidP="00A75D46">
      <w:pPr>
        <w:pStyle w:val="PargrafodaLista"/>
        <w:widowControl w:val="0"/>
        <w:numPr>
          <w:ilvl w:val="0"/>
          <w:numId w:val="4"/>
        </w:numPr>
        <w:autoSpaceDE w:val="0"/>
        <w:autoSpaceDN w:val="0"/>
        <w:spacing w:line="360" w:lineRule="auto"/>
        <w:ind w:left="0" w:firstLine="425"/>
        <w:contextualSpacing w:val="0"/>
        <w:jc w:val="both"/>
      </w:pPr>
      <w:r w:rsidRPr="00E06427">
        <w:rPr>
          <w:i/>
          <w:iCs/>
        </w:rPr>
        <w:t xml:space="preserve">Qualidade como valor para o dinheiro </w:t>
      </w:r>
      <w:r w:rsidRPr="00E06427">
        <w:t xml:space="preserve">– a qualidade é vista em termos de retorno do investimento. </w:t>
      </w:r>
      <w:r w:rsidR="0041386E" w:rsidRPr="00E06427">
        <w:t>M</w:t>
      </w:r>
      <w:r w:rsidRPr="00E06427">
        <w:t>esmo com suas desvantagens, ela é adotada por governos ao vincular a qualidade da educação ao seu valor monetário através dos indicadores de eficiência</w:t>
      </w:r>
      <w:r w:rsidR="00996C55" w:rsidRPr="00E06427">
        <w:t>.</w:t>
      </w:r>
    </w:p>
    <w:p w14:paraId="1C1EA2F6" w14:textId="1291330E" w:rsidR="001950BC" w:rsidRPr="00E06427" w:rsidRDefault="00C85265" w:rsidP="004C3642">
      <w:pPr>
        <w:pStyle w:val="PargrafodaLista"/>
        <w:spacing w:line="360" w:lineRule="auto"/>
        <w:ind w:left="0" w:firstLine="708"/>
        <w:jc w:val="both"/>
      </w:pPr>
      <w:r w:rsidRPr="00E06427">
        <w:lastRenderedPageBreak/>
        <w:t xml:space="preserve">De outra forma, </w:t>
      </w:r>
      <w:r w:rsidR="006A7E62" w:rsidRPr="00E06427">
        <w:t xml:space="preserve">Nguyen </w:t>
      </w:r>
      <w:r w:rsidR="006A7E62" w:rsidRPr="00E06427">
        <w:rPr>
          <w:i/>
          <w:iCs/>
        </w:rPr>
        <w:t>et al</w:t>
      </w:r>
      <w:r w:rsidR="006A7E62" w:rsidRPr="00E06427">
        <w:t>.</w:t>
      </w:r>
      <w:r w:rsidR="00D71059" w:rsidRPr="00E06427">
        <w:t xml:space="preserve"> (2020)</w:t>
      </w:r>
      <w:r w:rsidR="00A75D46" w:rsidRPr="00E06427">
        <w:t xml:space="preserve"> afirmam que a definição de qualidade incorpora as seguintes dimensões da educação: (1) alcançar a perfeição; (2) atingir certos limites; (3) cumprir requisitos; (4) perceber eficácia e eficiência; (5) alcançar aptidão para fins; (6) ter zeros erros e (7) produzir transformação. </w:t>
      </w:r>
      <w:r w:rsidR="00496134" w:rsidRPr="00E06427">
        <w:t>A figura abaixo representa as abordagens da qualidade</w:t>
      </w:r>
      <w:r w:rsidR="002B3D5E" w:rsidRPr="00E06427">
        <w:t xml:space="preserve"> do ensino superior. </w:t>
      </w:r>
    </w:p>
    <w:p w14:paraId="54E745EE" w14:textId="4C6859B7" w:rsidR="00A75D46" w:rsidRPr="00023034" w:rsidRDefault="00A75D46" w:rsidP="00A104FC">
      <w:pPr>
        <w:spacing w:line="240" w:lineRule="auto"/>
        <w:rPr>
          <w:rFonts w:eastAsia="Times New Roman" w:cs="Times New Roman"/>
          <w:b/>
          <w:bCs/>
          <w:szCs w:val="24"/>
        </w:rPr>
      </w:pPr>
    </w:p>
    <w:p w14:paraId="518DCCA9" w14:textId="71F816D9" w:rsidR="007041ED" w:rsidRPr="00E06427" w:rsidRDefault="007041ED" w:rsidP="00A104FC">
      <w:pPr>
        <w:pStyle w:val="PargrafodaLista"/>
        <w:ind w:left="357"/>
        <w:jc w:val="center"/>
        <w:rPr>
          <w:sz w:val="22"/>
          <w:szCs w:val="22"/>
        </w:rPr>
      </w:pPr>
      <w:r w:rsidRPr="00023034">
        <w:rPr>
          <w:b/>
          <w:bCs/>
          <w:sz w:val="22"/>
          <w:szCs w:val="22"/>
        </w:rPr>
        <w:t>Figura 0</w:t>
      </w:r>
      <w:r w:rsidR="00A8504C" w:rsidRPr="00023034">
        <w:rPr>
          <w:b/>
          <w:bCs/>
          <w:sz w:val="22"/>
          <w:szCs w:val="22"/>
        </w:rPr>
        <w:t>1</w:t>
      </w:r>
      <w:r w:rsidRPr="00023034">
        <w:rPr>
          <w:b/>
          <w:bCs/>
          <w:sz w:val="22"/>
          <w:szCs w:val="22"/>
        </w:rPr>
        <w:t xml:space="preserve"> –</w:t>
      </w:r>
      <w:r w:rsidRPr="00E06427">
        <w:rPr>
          <w:sz w:val="22"/>
          <w:szCs w:val="22"/>
        </w:rPr>
        <w:t xml:space="preserve"> Abordagens da qualidade </w:t>
      </w:r>
      <w:r w:rsidR="002B3D5E" w:rsidRPr="00E06427">
        <w:rPr>
          <w:sz w:val="22"/>
          <w:szCs w:val="22"/>
        </w:rPr>
        <w:t>d</w:t>
      </w:r>
      <w:r w:rsidRPr="00E06427">
        <w:rPr>
          <w:sz w:val="22"/>
          <w:szCs w:val="22"/>
        </w:rPr>
        <w:t>o ensino superior.</w:t>
      </w:r>
    </w:p>
    <w:p w14:paraId="47F14137" w14:textId="77777777" w:rsidR="007041ED" w:rsidRPr="00E06427" w:rsidRDefault="007041ED" w:rsidP="007041ED">
      <w:pPr>
        <w:spacing w:line="240" w:lineRule="auto"/>
        <w:jc w:val="center"/>
        <w:rPr>
          <w:rFonts w:eastAsia="Times New Roman" w:cs="Times New Roman"/>
          <w:sz w:val="20"/>
          <w:szCs w:val="20"/>
        </w:rPr>
      </w:pPr>
      <w:r w:rsidRPr="00E06427">
        <w:rPr>
          <w:rFonts w:eastAsia="Times New Roman" w:cs="Times New Roman"/>
          <w:noProof/>
          <w:sz w:val="20"/>
          <w:szCs w:val="20"/>
        </w:rPr>
        <w:drawing>
          <wp:inline distT="0" distB="0" distL="0" distR="0" wp14:anchorId="2DAE16AF" wp14:editId="62980D05">
            <wp:extent cx="5045528" cy="2270608"/>
            <wp:effectExtent l="0" t="0" r="3175" b="0"/>
            <wp:docPr id="1093162195" name="Imagem 109316219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8"/>
                    <a:stretch>
                      <a:fillRect/>
                    </a:stretch>
                  </pic:blipFill>
                  <pic:spPr>
                    <a:xfrm>
                      <a:off x="0" y="0"/>
                      <a:ext cx="5045528" cy="2270608"/>
                    </a:xfrm>
                    <a:prstGeom prst="rect">
                      <a:avLst/>
                    </a:prstGeom>
                  </pic:spPr>
                </pic:pic>
              </a:graphicData>
            </a:graphic>
          </wp:inline>
        </w:drawing>
      </w:r>
    </w:p>
    <w:p w14:paraId="21D88325" w14:textId="2120E7D1" w:rsidR="00F731E1" w:rsidRPr="00023034" w:rsidRDefault="007041ED" w:rsidP="00023034">
      <w:pPr>
        <w:spacing w:line="240" w:lineRule="auto"/>
        <w:jc w:val="center"/>
        <w:rPr>
          <w:sz w:val="20"/>
          <w:szCs w:val="18"/>
        </w:rPr>
      </w:pPr>
      <w:r w:rsidRPr="00023034">
        <w:rPr>
          <w:b/>
          <w:bCs/>
          <w:sz w:val="20"/>
          <w:szCs w:val="18"/>
        </w:rPr>
        <w:t>Fonte:</w:t>
      </w:r>
      <w:r w:rsidRPr="00023034">
        <w:rPr>
          <w:sz w:val="20"/>
          <w:szCs w:val="18"/>
        </w:rPr>
        <w:t xml:space="preserve"> Baseado em Schindler </w:t>
      </w:r>
      <w:r w:rsidRPr="00023034">
        <w:rPr>
          <w:i/>
          <w:iCs/>
          <w:sz w:val="20"/>
          <w:szCs w:val="18"/>
        </w:rPr>
        <w:t>et al</w:t>
      </w:r>
      <w:r w:rsidRPr="00023034">
        <w:rPr>
          <w:sz w:val="20"/>
          <w:szCs w:val="18"/>
        </w:rPr>
        <w:t>. (2015)</w:t>
      </w:r>
    </w:p>
    <w:p w14:paraId="4A0B6284" w14:textId="77777777" w:rsidR="00A832CE" w:rsidRPr="00E06427" w:rsidRDefault="00A832CE" w:rsidP="003F334F">
      <w:pPr>
        <w:spacing w:line="240" w:lineRule="auto"/>
      </w:pPr>
    </w:p>
    <w:p w14:paraId="6CA6BEE1" w14:textId="0ADA5334" w:rsidR="00CA5C24" w:rsidRPr="00E06427" w:rsidRDefault="00A32204" w:rsidP="00307C3E">
      <w:pPr>
        <w:rPr>
          <w:rFonts w:eastAsia="Arial" w:cs="Times New Roman"/>
          <w:spacing w:val="-2"/>
          <w:szCs w:val="24"/>
        </w:rPr>
      </w:pPr>
      <w:r w:rsidRPr="00E06427">
        <w:rPr>
          <w:rFonts w:eastAsia="Arial" w:cs="Times New Roman"/>
          <w:spacing w:val="-2"/>
          <w:szCs w:val="24"/>
        </w:rPr>
        <w:tab/>
      </w:r>
      <w:r w:rsidR="005F28ED" w:rsidRPr="00E06427">
        <w:rPr>
          <w:rFonts w:eastAsia="Arial" w:cs="Times New Roman"/>
          <w:spacing w:val="-2"/>
          <w:szCs w:val="24"/>
        </w:rPr>
        <w:t>As metodologias adotadas na análise podem ser classificadas em diferentes abordagens, dependendo dos critérios de avaliação</w:t>
      </w:r>
      <w:r w:rsidR="00A50823" w:rsidRPr="00E06427">
        <w:rPr>
          <w:rFonts w:eastAsia="Arial" w:cs="Times New Roman"/>
          <w:spacing w:val="-2"/>
          <w:szCs w:val="24"/>
        </w:rPr>
        <w:t xml:space="preserve">, pois </w:t>
      </w:r>
      <w:r w:rsidR="005F28ED" w:rsidRPr="00E06427">
        <w:rPr>
          <w:rFonts w:eastAsia="Arial" w:cs="Times New Roman"/>
          <w:spacing w:val="-2"/>
          <w:szCs w:val="24"/>
        </w:rPr>
        <w:t>impactam</w:t>
      </w:r>
      <w:r w:rsidR="00B70FA0" w:rsidRPr="00E06427">
        <w:rPr>
          <w:rFonts w:eastAsia="Arial" w:cs="Times New Roman"/>
          <w:spacing w:val="-2"/>
          <w:szCs w:val="24"/>
        </w:rPr>
        <w:t xml:space="preserve">: </w:t>
      </w:r>
      <w:r w:rsidR="005F28ED" w:rsidRPr="00E06427">
        <w:rPr>
          <w:rFonts w:eastAsia="Arial" w:cs="Times New Roman"/>
          <w:spacing w:val="-2"/>
          <w:szCs w:val="24"/>
        </w:rPr>
        <w:t>no engajamento, satisfação e personalização do aprendizado</w:t>
      </w:r>
      <w:r w:rsidR="007E249C" w:rsidRPr="00E06427">
        <w:rPr>
          <w:rFonts w:eastAsia="Arial" w:cs="Times New Roman"/>
          <w:spacing w:val="-2"/>
          <w:szCs w:val="24"/>
        </w:rPr>
        <w:t>;</w:t>
      </w:r>
      <w:r w:rsidR="005F28ED" w:rsidRPr="00E06427">
        <w:rPr>
          <w:rFonts w:eastAsia="Arial" w:cs="Times New Roman"/>
          <w:spacing w:val="-2"/>
          <w:szCs w:val="24"/>
        </w:rPr>
        <w:t xml:space="preserve"> nas competências do corpo docente, atualização dos conteúdos e feedback aos alunos</w:t>
      </w:r>
      <w:r w:rsidR="007E249C" w:rsidRPr="00E06427">
        <w:rPr>
          <w:rFonts w:eastAsia="Arial" w:cs="Times New Roman"/>
          <w:spacing w:val="-2"/>
          <w:szCs w:val="24"/>
        </w:rPr>
        <w:t xml:space="preserve">; </w:t>
      </w:r>
      <w:r w:rsidR="005F28ED" w:rsidRPr="00E06427">
        <w:rPr>
          <w:rFonts w:eastAsia="Arial" w:cs="Times New Roman"/>
          <w:spacing w:val="-2"/>
          <w:szCs w:val="24"/>
        </w:rPr>
        <w:t>nos processos e estruturas que suportam o ensino superior</w:t>
      </w:r>
      <w:r w:rsidR="007E249C" w:rsidRPr="00E06427">
        <w:rPr>
          <w:rFonts w:eastAsia="Arial" w:cs="Times New Roman"/>
          <w:spacing w:val="-2"/>
          <w:szCs w:val="24"/>
        </w:rPr>
        <w:t xml:space="preserve">; </w:t>
      </w:r>
      <w:r w:rsidR="00D50AF0" w:rsidRPr="00E06427">
        <w:rPr>
          <w:rFonts w:eastAsia="Arial" w:cs="Times New Roman"/>
          <w:spacing w:val="-2"/>
          <w:szCs w:val="24"/>
        </w:rPr>
        <w:t xml:space="preserve">no </w:t>
      </w:r>
      <w:r w:rsidR="005F28ED" w:rsidRPr="00E06427">
        <w:rPr>
          <w:rFonts w:eastAsia="Arial" w:cs="Times New Roman"/>
          <w:spacing w:val="-2"/>
          <w:szCs w:val="24"/>
        </w:rPr>
        <w:t>desempenho acadêmico, taxa de conclusão e empregabilidade</w:t>
      </w:r>
      <w:r w:rsidR="00D50AF0" w:rsidRPr="00E06427">
        <w:rPr>
          <w:rFonts w:eastAsia="Arial" w:cs="Times New Roman"/>
          <w:spacing w:val="-2"/>
          <w:szCs w:val="24"/>
        </w:rPr>
        <w:t xml:space="preserve">; </w:t>
      </w:r>
      <w:r w:rsidR="005F28ED" w:rsidRPr="00E06427">
        <w:rPr>
          <w:rFonts w:eastAsia="Arial" w:cs="Times New Roman"/>
          <w:spacing w:val="-2"/>
          <w:szCs w:val="24"/>
        </w:rPr>
        <w:t xml:space="preserve"> </w:t>
      </w:r>
      <w:r w:rsidR="004025D1" w:rsidRPr="00E06427">
        <w:rPr>
          <w:rFonts w:eastAsia="Arial" w:cs="Times New Roman"/>
          <w:spacing w:val="-2"/>
          <w:szCs w:val="24"/>
        </w:rPr>
        <w:t>n</w:t>
      </w:r>
      <w:r w:rsidR="005F28ED" w:rsidRPr="00E06427">
        <w:rPr>
          <w:rFonts w:eastAsia="Arial" w:cs="Times New Roman"/>
          <w:spacing w:val="-2"/>
          <w:szCs w:val="24"/>
        </w:rPr>
        <w:t xml:space="preserve">a </w:t>
      </w:r>
      <w:r w:rsidR="004025D1" w:rsidRPr="00E06427">
        <w:rPr>
          <w:rFonts w:eastAsia="Arial" w:cs="Times New Roman"/>
          <w:spacing w:val="-2"/>
          <w:szCs w:val="24"/>
        </w:rPr>
        <w:t xml:space="preserve">capacidade de </w:t>
      </w:r>
      <w:r w:rsidR="006D6998" w:rsidRPr="00E06427">
        <w:rPr>
          <w:rFonts w:eastAsia="Arial" w:cs="Times New Roman"/>
          <w:spacing w:val="-2"/>
          <w:szCs w:val="24"/>
        </w:rPr>
        <w:t xml:space="preserve">contribuir </w:t>
      </w:r>
      <w:r w:rsidR="005F28ED" w:rsidRPr="00E06427">
        <w:rPr>
          <w:rFonts w:eastAsia="Arial" w:cs="Times New Roman"/>
          <w:spacing w:val="-2"/>
          <w:szCs w:val="24"/>
        </w:rPr>
        <w:t xml:space="preserve">para o desenvolvimento local, promoção da igualdade de oportunidades, responsabilidade social e </w:t>
      </w:r>
      <w:r w:rsidR="009125B1" w:rsidRPr="00E06427">
        <w:rPr>
          <w:rFonts w:eastAsia="Arial" w:cs="Times New Roman"/>
          <w:spacing w:val="-2"/>
          <w:szCs w:val="24"/>
        </w:rPr>
        <w:t xml:space="preserve">para a </w:t>
      </w:r>
      <w:r w:rsidR="005F28ED" w:rsidRPr="00E06427">
        <w:rPr>
          <w:rFonts w:eastAsia="Arial" w:cs="Times New Roman"/>
          <w:spacing w:val="-2"/>
          <w:szCs w:val="24"/>
        </w:rPr>
        <w:t xml:space="preserve">relevância do currículo em relação às demandas do mercado de trabalho. Essas abordagens podem ser combinadas em avaliações </w:t>
      </w:r>
      <w:r w:rsidR="009125B1" w:rsidRPr="00E06427">
        <w:rPr>
          <w:rFonts w:eastAsia="Arial" w:cs="Times New Roman"/>
          <w:spacing w:val="-2"/>
          <w:szCs w:val="24"/>
        </w:rPr>
        <w:t xml:space="preserve">mais </w:t>
      </w:r>
      <w:r w:rsidR="005F28ED" w:rsidRPr="00E06427">
        <w:rPr>
          <w:rFonts w:eastAsia="Arial" w:cs="Times New Roman"/>
          <w:spacing w:val="-2"/>
          <w:szCs w:val="24"/>
        </w:rPr>
        <w:t>abrangentes.</w:t>
      </w:r>
    </w:p>
    <w:p w14:paraId="0D1C5C91" w14:textId="77777777" w:rsidR="005F28ED" w:rsidRPr="00E06427" w:rsidRDefault="005F28ED" w:rsidP="003F334F">
      <w:pPr>
        <w:spacing w:line="240" w:lineRule="auto"/>
        <w:rPr>
          <w:rFonts w:eastAsia="Arial" w:cs="Times New Roman"/>
          <w:b/>
          <w:bCs/>
          <w:spacing w:val="-2"/>
          <w:szCs w:val="24"/>
        </w:rPr>
      </w:pPr>
    </w:p>
    <w:p w14:paraId="7644ED0A" w14:textId="23989609" w:rsidR="00F12743" w:rsidRPr="00E06427" w:rsidRDefault="00F12743" w:rsidP="00023034">
      <w:pPr>
        <w:pStyle w:val="Ttulo2"/>
      </w:pPr>
      <w:r w:rsidRPr="00E06427">
        <w:t>2.</w:t>
      </w:r>
      <w:r w:rsidR="00307C3E" w:rsidRPr="00E06427">
        <w:t>2</w:t>
      </w:r>
      <w:r w:rsidRPr="00E06427">
        <w:t xml:space="preserve"> </w:t>
      </w:r>
      <w:r w:rsidR="00376B8D" w:rsidRPr="00E06427">
        <w:t>Metodologias ativas</w:t>
      </w:r>
    </w:p>
    <w:p w14:paraId="27D4B537" w14:textId="04FE7EAB" w:rsidR="006E1B0A" w:rsidRPr="00E06427" w:rsidRDefault="006E1B0A" w:rsidP="00F56F10">
      <w:pPr>
        <w:rPr>
          <w:rFonts w:eastAsia="Arial" w:cs="Times New Roman"/>
          <w:spacing w:val="-2"/>
          <w:szCs w:val="24"/>
        </w:rPr>
      </w:pPr>
      <w:r w:rsidRPr="00E06427">
        <w:rPr>
          <w:rFonts w:eastAsia="Arial" w:cs="Times New Roman"/>
          <w:spacing w:val="-2"/>
          <w:szCs w:val="24"/>
        </w:rPr>
        <w:tab/>
        <w:t xml:space="preserve">Segundo </w:t>
      </w:r>
      <w:proofErr w:type="spellStart"/>
      <w:r w:rsidRPr="00E06427">
        <w:rPr>
          <w:rFonts w:eastAsia="Arial" w:cs="Times New Roman"/>
          <w:spacing w:val="-2"/>
          <w:szCs w:val="24"/>
        </w:rPr>
        <w:t>Bonwell</w:t>
      </w:r>
      <w:proofErr w:type="spellEnd"/>
      <w:r w:rsidRPr="00E06427">
        <w:rPr>
          <w:rFonts w:eastAsia="Arial" w:cs="Times New Roman"/>
          <w:spacing w:val="-2"/>
          <w:szCs w:val="24"/>
        </w:rPr>
        <w:t xml:space="preserve"> e </w:t>
      </w:r>
      <w:proofErr w:type="spellStart"/>
      <w:r w:rsidRPr="00E06427">
        <w:rPr>
          <w:rFonts w:eastAsia="Arial" w:cs="Times New Roman"/>
          <w:spacing w:val="-2"/>
          <w:szCs w:val="24"/>
        </w:rPr>
        <w:t>Eison</w:t>
      </w:r>
      <w:proofErr w:type="spellEnd"/>
      <w:r w:rsidRPr="00E06427">
        <w:rPr>
          <w:rFonts w:eastAsia="Arial" w:cs="Times New Roman"/>
          <w:spacing w:val="-2"/>
          <w:szCs w:val="24"/>
        </w:rPr>
        <w:t xml:space="preserve"> (1991), o termo "metodologias ativas" foi cunhado em seu livro "</w:t>
      </w:r>
      <w:r w:rsidRPr="00E06427">
        <w:rPr>
          <w:rFonts w:eastAsia="Arial" w:cs="Times New Roman"/>
          <w:i/>
          <w:iCs/>
          <w:spacing w:val="-2"/>
          <w:szCs w:val="24"/>
        </w:rPr>
        <w:t xml:space="preserve">Active Learning: </w:t>
      </w:r>
      <w:proofErr w:type="spellStart"/>
      <w:r w:rsidRPr="00E06427">
        <w:rPr>
          <w:rFonts w:eastAsia="Arial" w:cs="Times New Roman"/>
          <w:i/>
          <w:iCs/>
          <w:spacing w:val="-2"/>
          <w:szCs w:val="24"/>
        </w:rPr>
        <w:t>Creating</w:t>
      </w:r>
      <w:proofErr w:type="spellEnd"/>
      <w:r w:rsidRPr="00E06427">
        <w:rPr>
          <w:rFonts w:eastAsia="Arial" w:cs="Times New Roman"/>
          <w:i/>
          <w:iCs/>
          <w:spacing w:val="-2"/>
          <w:szCs w:val="24"/>
        </w:rPr>
        <w:t xml:space="preserve"> </w:t>
      </w:r>
      <w:proofErr w:type="spellStart"/>
      <w:r w:rsidRPr="00E06427">
        <w:rPr>
          <w:rFonts w:eastAsia="Arial" w:cs="Times New Roman"/>
          <w:i/>
          <w:iCs/>
          <w:spacing w:val="-2"/>
          <w:szCs w:val="24"/>
        </w:rPr>
        <w:t>Excitement</w:t>
      </w:r>
      <w:proofErr w:type="spellEnd"/>
      <w:r w:rsidRPr="00E06427">
        <w:rPr>
          <w:rFonts w:eastAsia="Arial" w:cs="Times New Roman"/>
          <w:i/>
          <w:iCs/>
          <w:spacing w:val="-2"/>
          <w:szCs w:val="24"/>
        </w:rPr>
        <w:t xml:space="preserve"> in </w:t>
      </w:r>
      <w:proofErr w:type="spellStart"/>
      <w:r w:rsidRPr="00E06427">
        <w:rPr>
          <w:rFonts w:eastAsia="Arial" w:cs="Times New Roman"/>
          <w:i/>
          <w:iCs/>
          <w:spacing w:val="-2"/>
          <w:szCs w:val="24"/>
        </w:rPr>
        <w:t>the</w:t>
      </w:r>
      <w:proofErr w:type="spellEnd"/>
      <w:r w:rsidRPr="00E06427">
        <w:rPr>
          <w:rFonts w:eastAsia="Arial" w:cs="Times New Roman"/>
          <w:i/>
          <w:iCs/>
          <w:spacing w:val="-2"/>
          <w:szCs w:val="24"/>
        </w:rPr>
        <w:t xml:space="preserve"> </w:t>
      </w:r>
      <w:proofErr w:type="spellStart"/>
      <w:r w:rsidRPr="00E06427">
        <w:rPr>
          <w:rFonts w:eastAsia="Arial" w:cs="Times New Roman"/>
          <w:i/>
          <w:iCs/>
          <w:spacing w:val="-2"/>
          <w:szCs w:val="24"/>
        </w:rPr>
        <w:t>Classroom</w:t>
      </w:r>
      <w:proofErr w:type="spellEnd"/>
      <w:r w:rsidRPr="00E06427">
        <w:rPr>
          <w:rFonts w:eastAsia="Arial" w:cs="Times New Roman"/>
          <w:spacing w:val="-2"/>
          <w:szCs w:val="24"/>
        </w:rPr>
        <w:t xml:space="preserve">". No entanto, a teoria das metodologias ativas não é atribuída a um único autor específico, mas sim ao </w:t>
      </w:r>
      <w:r w:rsidRPr="00E06427">
        <w:rPr>
          <w:rFonts w:eastAsia="Arial" w:cs="Times New Roman"/>
          <w:spacing w:val="-2"/>
          <w:szCs w:val="24"/>
        </w:rPr>
        <w:lastRenderedPageBreak/>
        <w:t>resultado de um conjunto de contribuições de diversos educadores e pesquisadores ao longo do tempo.</w:t>
      </w:r>
    </w:p>
    <w:p w14:paraId="46BD0FCB" w14:textId="1168DEBF" w:rsidR="00EA023F" w:rsidRPr="00E06427" w:rsidRDefault="00F23F89" w:rsidP="00B850BF">
      <w:pPr>
        <w:ind w:firstLine="709"/>
        <w:rPr>
          <w:rFonts w:eastAsia="Arial" w:cs="Times New Roman"/>
          <w:spacing w:val="-2"/>
          <w:szCs w:val="24"/>
        </w:rPr>
      </w:pPr>
      <w:r w:rsidRPr="00E06427">
        <w:rPr>
          <w:rFonts w:eastAsia="Arial" w:cs="Times New Roman"/>
          <w:spacing w:val="-2"/>
          <w:szCs w:val="24"/>
        </w:rPr>
        <w:tab/>
        <w:t>O conceito de metodologias ativas refere-se a abordagens de ensino que colocam o aluno como protagonista do seu próprio processo de aprendizagem, incentivando a participação ativa, a reflexão e a construção do conhecimento</w:t>
      </w:r>
      <w:r w:rsidR="00C0633C" w:rsidRPr="00E06427">
        <w:rPr>
          <w:rFonts w:eastAsia="Arial" w:cs="Times New Roman"/>
          <w:spacing w:val="-2"/>
          <w:szCs w:val="24"/>
        </w:rPr>
        <w:t xml:space="preserve"> (UZ</w:t>
      </w:r>
      <w:r w:rsidR="00F23F34" w:rsidRPr="00E06427">
        <w:rPr>
          <w:rFonts w:eastAsia="Arial" w:cs="Times New Roman"/>
          <w:spacing w:val="-2"/>
          <w:szCs w:val="24"/>
        </w:rPr>
        <w:t xml:space="preserve">UN, 2021). </w:t>
      </w:r>
      <w:r w:rsidR="00D11C94" w:rsidRPr="00E06427">
        <w:rPr>
          <w:rFonts w:eastAsia="Arial" w:cs="Times New Roman"/>
          <w:spacing w:val="-2"/>
          <w:szCs w:val="24"/>
        </w:rPr>
        <w:t xml:space="preserve">Valente, Almeida e </w:t>
      </w:r>
      <w:proofErr w:type="spellStart"/>
      <w:r w:rsidR="00D11C94" w:rsidRPr="00E06427">
        <w:rPr>
          <w:rFonts w:eastAsia="Arial" w:cs="Times New Roman"/>
          <w:spacing w:val="-2"/>
          <w:szCs w:val="24"/>
        </w:rPr>
        <w:t>Geraldini</w:t>
      </w:r>
      <w:proofErr w:type="spellEnd"/>
      <w:r w:rsidR="00D11C94" w:rsidRPr="00E06427">
        <w:rPr>
          <w:rFonts w:eastAsia="Arial" w:cs="Times New Roman"/>
          <w:spacing w:val="-2"/>
          <w:szCs w:val="24"/>
        </w:rPr>
        <w:t xml:space="preserve"> (2017, p. 463) afirmam que a literatura brasileira trata as metodologias ativas como estratégias pedagógicas que focam no aprendiz, contrastando com a abordagem tradicional centrada no professor. </w:t>
      </w:r>
      <w:r w:rsidR="00626296" w:rsidRPr="00E06427">
        <w:rPr>
          <w:rFonts w:eastAsia="Arial" w:cs="Times New Roman"/>
          <w:spacing w:val="-2"/>
          <w:szCs w:val="24"/>
        </w:rPr>
        <w:t xml:space="preserve">Assim, </w:t>
      </w:r>
      <w:proofErr w:type="spellStart"/>
      <w:r w:rsidR="00626296" w:rsidRPr="00E06427">
        <w:rPr>
          <w:rFonts w:eastAsia="Arial" w:cs="Times New Roman"/>
          <w:spacing w:val="-2"/>
          <w:szCs w:val="24"/>
        </w:rPr>
        <w:t>Uzun</w:t>
      </w:r>
      <w:proofErr w:type="spellEnd"/>
      <w:r w:rsidR="00626296" w:rsidRPr="00E06427">
        <w:rPr>
          <w:rFonts w:eastAsia="Arial" w:cs="Times New Roman"/>
          <w:spacing w:val="-2"/>
          <w:szCs w:val="24"/>
        </w:rPr>
        <w:t xml:space="preserve"> (2021) </w:t>
      </w:r>
      <w:r w:rsidR="000132CA" w:rsidRPr="00E06427">
        <w:rPr>
          <w:rFonts w:eastAsia="Arial" w:cs="Times New Roman"/>
          <w:spacing w:val="-2"/>
          <w:szCs w:val="24"/>
        </w:rPr>
        <w:t xml:space="preserve">apresenta </w:t>
      </w:r>
      <w:r w:rsidR="00F61B95" w:rsidRPr="00E06427">
        <w:rPr>
          <w:rFonts w:eastAsia="Arial" w:cs="Times New Roman"/>
          <w:spacing w:val="-2"/>
          <w:szCs w:val="24"/>
        </w:rPr>
        <w:t>as</w:t>
      </w:r>
      <w:r w:rsidR="000132CA" w:rsidRPr="00E06427">
        <w:rPr>
          <w:rFonts w:eastAsia="Arial" w:cs="Times New Roman"/>
          <w:spacing w:val="-2"/>
          <w:szCs w:val="24"/>
        </w:rPr>
        <w:t xml:space="preserve"> principais contribuições </w:t>
      </w:r>
      <w:r w:rsidR="00CC40CF" w:rsidRPr="00E06427">
        <w:rPr>
          <w:rFonts w:eastAsia="Arial" w:cs="Times New Roman"/>
          <w:spacing w:val="-2"/>
          <w:szCs w:val="24"/>
        </w:rPr>
        <w:t>das teorias da aprendizagem para as metodologias ativas</w:t>
      </w:r>
      <w:r w:rsidR="00D54CBC" w:rsidRPr="00E06427">
        <w:rPr>
          <w:rFonts w:eastAsia="Arial" w:cs="Times New Roman"/>
          <w:spacing w:val="-2"/>
          <w:szCs w:val="24"/>
        </w:rPr>
        <w:t xml:space="preserve"> </w:t>
      </w:r>
      <w:r w:rsidR="00F61B95" w:rsidRPr="00E06427">
        <w:rPr>
          <w:rFonts w:eastAsia="Arial" w:cs="Times New Roman"/>
          <w:spacing w:val="-2"/>
          <w:szCs w:val="24"/>
        </w:rPr>
        <w:t xml:space="preserve">apontando as </w:t>
      </w:r>
      <w:r w:rsidR="009413B1" w:rsidRPr="00E06427">
        <w:rPr>
          <w:rFonts w:eastAsia="Arial" w:cs="Times New Roman"/>
          <w:spacing w:val="-2"/>
          <w:szCs w:val="24"/>
        </w:rPr>
        <w:t>teorias de John Dewey (18</w:t>
      </w:r>
      <w:r w:rsidR="00A84187" w:rsidRPr="00E06427">
        <w:rPr>
          <w:rFonts w:eastAsia="Arial" w:cs="Times New Roman"/>
          <w:spacing w:val="-2"/>
          <w:szCs w:val="24"/>
        </w:rPr>
        <w:t xml:space="preserve">59-1952), Carl Rogers (1902-1987), </w:t>
      </w:r>
      <w:r w:rsidR="00AF7CC8" w:rsidRPr="00E06427">
        <w:rPr>
          <w:rFonts w:eastAsia="Arial" w:cs="Times New Roman"/>
          <w:spacing w:val="-2"/>
          <w:szCs w:val="24"/>
        </w:rPr>
        <w:t xml:space="preserve">Piaget (1923-1980), David </w:t>
      </w:r>
      <w:proofErr w:type="spellStart"/>
      <w:r w:rsidR="00F04473" w:rsidRPr="00E06427">
        <w:rPr>
          <w:rFonts w:eastAsia="Arial" w:cs="Times New Roman"/>
          <w:spacing w:val="-2"/>
          <w:szCs w:val="24"/>
        </w:rPr>
        <w:t>Ausubel</w:t>
      </w:r>
      <w:proofErr w:type="spellEnd"/>
      <w:r w:rsidR="00F04473" w:rsidRPr="00E06427">
        <w:rPr>
          <w:rFonts w:eastAsia="Arial" w:cs="Times New Roman"/>
          <w:spacing w:val="-2"/>
          <w:szCs w:val="24"/>
        </w:rPr>
        <w:t xml:space="preserve"> (1918-2008) e Vygotsky</w:t>
      </w:r>
      <w:r w:rsidR="00E540FE" w:rsidRPr="00E06427">
        <w:rPr>
          <w:rFonts w:eastAsia="Arial" w:cs="Times New Roman"/>
          <w:spacing w:val="-2"/>
          <w:szCs w:val="24"/>
        </w:rPr>
        <w:t xml:space="preserve"> (1896-1934)</w:t>
      </w:r>
      <w:r w:rsidR="008440EF" w:rsidRPr="00E06427">
        <w:rPr>
          <w:rFonts w:eastAsia="Arial" w:cs="Times New Roman"/>
          <w:spacing w:val="-2"/>
          <w:szCs w:val="24"/>
        </w:rPr>
        <w:t>.</w:t>
      </w:r>
    </w:p>
    <w:p w14:paraId="11B25510" w14:textId="77777777" w:rsidR="00A802F2" w:rsidRPr="00E06427" w:rsidRDefault="00A802F2" w:rsidP="003F334F">
      <w:pPr>
        <w:spacing w:line="240" w:lineRule="auto"/>
        <w:ind w:firstLine="709"/>
        <w:rPr>
          <w:rFonts w:eastAsia="Arial" w:cs="Times New Roman"/>
          <w:spacing w:val="-2"/>
          <w:szCs w:val="24"/>
        </w:rPr>
      </w:pPr>
    </w:p>
    <w:p w14:paraId="10A25F22" w14:textId="5FFD2F10" w:rsidR="00FE58E0" w:rsidRPr="00E06427" w:rsidRDefault="00FE58E0" w:rsidP="003F334F">
      <w:pPr>
        <w:spacing w:line="240" w:lineRule="auto"/>
        <w:jc w:val="center"/>
        <w:rPr>
          <w:rFonts w:eastAsia="Arial" w:cs="Times New Roman"/>
          <w:spacing w:val="-2"/>
          <w:sz w:val="22"/>
        </w:rPr>
      </w:pPr>
      <w:r w:rsidRPr="00023034">
        <w:rPr>
          <w:rFonts w:eastAsia="Arial" w:cs="Times New Roman"/>
          <w:b/>
          <w:bCs/>
          <w:spacing w:val="-2"/>
          <w:sz w:val="22"/>
        </w:rPr>
        <w:t xml:space="preserve">Figura </w:t>
      </w:r>
      <w:r w:rsidR="00A8504C" w:rsidRPr="00023034">
        <w:rPr>
          <w:rFonts w:eastAsia="Arial" w:cs="Times New Roman"/>
          <w:b/>
          <w:bCs/>
          <w:spacing w:val="-2"/>
          <w:sz w:val="22"/>
        </w:rPr>
        <w:t>02</w:t>
      </w:r>
      <w:r w:rsidRPr="00023034">
        <w:rPr>
          <w:rFonts w:eastAsia="Arial" w:cs="Times New Roman"/>
          <w:b/>
          <w:bCs/>
          <w:spacing w:val="-2"/>
          <w:sz w:val="22"/>
        </w:rPr>
        <w:t xml:space="preserve"> </w:t>
      </w:r>
      <w:r w:rsidR="00F733A4" w:rsidRPr="00023034">
        <w:rPr>
          <w:rFonts w:eastAsia="Arial" w:cs="Times New Roman"/>
          <w:b/>
          <w:bCs/>
          <w:spacing w:val="-2"/>
          <w:sz w:val="22"/>
        </w:rPr>
        <w:t>–</w:t>
      </w:r>
      <w:r w:rsidRPr="00E06427">
        <w:rPr>
          <w:rFonts w:eastAsia="Arial" w:cs="Times New Roman"/>
          <w:spacing w:val="-2"/>
          <w:sz w:val="22"/>
        </w:rPr>
        <w:t xml:space="preserve"> Contribui</w:t>
      </w:r>
      <w:r w:rsidR="00F733A4" w:rsidRPr="00E06427">
        <w:rPr>
          <w:rFonts w:eastAsia="Arial" w:cs="Times New Roman"/>
          <w:spacing w:val="-2"/>
          <w:sz w:val="22"/>
        </w:rPr>
        <w:t>ções das Teorias da Aprendizagem</w:t>
      </w:r>
    </w:p>
    <w:p w14:paraId="763B3360" w14:textId="42166EFA" w:rsidR="00172EB4" w:rsidRPr="00E06427" w:rsidRDefault="007D3191" w:rsidP="00907705">
      <w:pPr>
        <w:spacing w:line="240" w:lineRule="auto"/>
        <w:jc w:val="center"/>
        <w:rPr>
          <w:rFonts w:eastAsia="Arial" w:cs="Times New Roman"/>
          <w:spacing w:val="-2"/>
          <w:szCs w:val="24"/>
        </w:rPr>
      </w:pPr>
      <w:r w:rsidRPr="00E06427">
        <w:rPr>
          <w:rFonts w:eastAsia="Arial" w:cs="Times New Roman"/>
          <w:noProof/>
          <w:spacing w:val="-2"/>
          <w:szCs w:val="24"/>
        </w:rPr>
        <w:drawing>
          <wp:inline distT="0" distB="0" distL="0" distR="0" wp14:anchorId="71AC5305" wp14:editId="4F5D4712">
            <wp:extent cx="4898321" cy="2446731"/>
            <wp:effectExtent l="0" t="0" r="6350" b="5715"/>
            <wp:docPr id="19976244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449" name="Imagem 2"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98321" cy="2446731"/>
                    </a:xfrm>
                    <a:prstGeom prst="rect">
                      <a:avLst/>
                    </a:prstGeom>
                  </pic:spPr>
                </pic:pic>
              </a:graphicData>
            </a:graphic>
          </wp:inline>
        </w:drawing>
      </w:r>
    </w:p>
    <w:p w14:paraId="36866F79" w14:textId="066A0C0E" w:rsidR="00907705" w:rsidRPr="00E06427" w:rsidRDefault="00907705" w:rsidP="00023034">
      <w:pPr>
        <w:spacing w:line="240" w:lineRule="auto"/>
        <w:jc w:val="center"/>
        <w:rPr>
          <w:rFonts w:eastAsia="Arial" w:cs="Times New Roman"/>
          <w:spacing w:val="-2"/>
          <w:sz w:val="22"/>
        </w:rPr>
      </w:pPr>
      <w:r w:rsidRPr="00023034">
        <w:rPr>
          <w:rFonts w:eastAsia="Arial" w:cs="Times New Roman"/>
          <w:b/>
          <w:bCs/>
          <w:spacing w:val="-2"/>
          <w:sz w:val="20"/>
          <w:szCs w:val="20"/>
        </w:rPr>
        <w:t>Fonte:</w:t>
      </w:r>
      <w:r w:rsidRPr="00023034">
        <w:rPr>
          <w:rFonts w:eastAsia="Arial" w:cs="Times New Roman"/>
          <w:spacing w:val="-2"/>
          <w:sz w:val="20"/>
          <w:szCs w:val="20"/>
        </w:rPr>
        <w:t xml:space="preserve"> Baseado em </w:t>
      </w:r>
      <w:proofErr w:type="spellStart"/>
      <w:r w:rsidRPr="00023034">
        <w:rPr>
          <w:rFonts w:eastAsia="Arial" w:cs="Times New Roman"/>
          <w:spacing w:val="-2"/>
          <w:sz w:val="20"/>
          <w:szCs w:val="20"/>
        </w:rPr>
        <w:t>Uzun</w:t>
      </w:r>
      <w:proofErr w:type="spellEnd"/>
      <w:r w:rsidRPr="00023034">
        <w:rPr>
          <w:rFonts w:eastAsia="Arial" w:cs="Times New Roman"/>
          <w:spacing w:val="-2"/>
          <w:sz w:val="20"/>
          <w:szCs w:val="20"/>
        </w:rPr>
        <w:t xml:space="preserve"> (2021).</w:t>
      </w:r>
    </w:p>
    <w:p w14:paraId="0756674A" w14:textId="77777777" w:rsidR="00032A10" w:rsidRPr="00E06427" w:rsidRDefault="00032A10" w:rsidP="003F334F">
      <w:pPr>
        <w:spacing w:line="240" w:lineRule="auto"/>
        <w:rPr>
          <w:rFonts w:eastAsia="Arial" w:cs="Times New Roman"/>
          <w:spacing w:val="-2"/>
          <w:szCs w:val="24"/>
        </w:rPr>
      </w:pPr>
    </w:p>
    <w:p w14:paraId="2AB57002" w14:textId="039E0A67" w:rsidR="00D47FE9" w:rsidRPr="00E06427" w:rsidRDefault="0082084B" w:rsidP="00F23F89">
      <w:pPr>
        <w:rPr>
          <w:rFonts w:eastAsia="Arial" w:cs="Times New Roman"/>
          <w:spacing w:val="-2"/>
          <w:szCs w:val="24"/>
        </w:rPr>
      </w:pPr>
      <w:r w:rsidRPr="00E06427">
        <w:rPr>
          <w:rFonts w:eastAsia="Arial" w:cs="Times New Roman"/>
          <w:spacing w:val="-2"/>
          <w:szCs w:val="24"/>
        </w:rPr>
        <w:tab/>
      </w:r>
      <w:r w:rsidR="00172EB4" w:rsidRPr="00E06427">
        <w:rPr>
          <w:rFonts w:eastAsia="Arial" w:cs="Times New Roman"/>
          <w:spacing w:val="-2"/>
          <w:szCs w:val="24"/>
        </w:rPr>
        <w:t>Esses teóricos, entre outros, têm sido fundamentais para o desenvolvimento e a compreensão das metodologias ativas, influenciando práticas pedagógicas inovadoras</w:t>
      </w:r>
      <w:r w:rsidR="00C404EB" w:rsidRPr="00E06427">
        <w:rPr>
          <w:rFonts w:eastAsia="Arial" w:cs="Times New Roman"/>
          <w:spacing w:val="-2"/>
          <w:szCs w:val="24"/>
        </w:rPr>
        <w:t>.</w:t>
      </w:r>
      <w:r w:rsidR="00172EB4" w:rsidRPr="00E06427">
        <w:rPr>
          <w:rFonts w:eastAsia="Arial" w:cs="Times New Roman"/>
          <w:spacing w:val="-2"/>
          <w:szCs w:val="24"/>
        </w:rPr>
        <w:t xml:space="preserve"> </w:t>
      </w:r>
    </w:p>
    <w:p w14:paraId="22F54896" w14:textId="77777777" w:rsidR="008C7797" w:rsidRPr="00E06427" w:rsidRDefault="00DE2D3D" w:rsidP="00A43E55">
      <w:pPr>
        <w:rPr>
          <w:szCs w:val="24"/>
        </w:rPr>
      </w:pPr>
      <w:r w:rsidRPr="00E06427">
        <w:rPr>
          <w:szCs w:val="24"/>
        </w:rPr>
        <w:tab/>
      </w:r>
      <w:r w:rsidR="004F0879" w:rsidRPr="00E06427">
        <w:rPr>
          <w:szCs w:val="24"/>
        </w:rPr>
        <w:t>Moran (2018) destaca que as metodologias ativas são estratégias que viabilizam a autonomia dos alunos, permitindo-lhes desenvolver competências para atuarem em suas futuras profissões, estimulando, assim, a proatividade e a criatividade.</w:t>
      </w:r>
    </w:p>
    <w:p w14:paraId="5E1AA65D" w14:textId="7995CAE1" w:rsidR="0031242F" w:rsidRPr="00E06427" w:rsidRDefault="00DB4DA2" w:rsidP="00A43E55">
      <w:pPr>
        <w:rPr>
          <w:szCs w:val="24"/>
        </w:rPr>
      </w:pPr>
      <w:r w:rsidRPr="00E06427">
        <w:rPr>
          <w:szCs w:val="24"/>
        </w:rPr>
        <w:tab/>
        <w:t xml:space="preserve">As metodologias ativas compartilham princípios que as diferenciam das abordagens tradicionais. Essas características visam promover uma aprendizagem </w:t>
      </w:r>
      <w:r w:rsidRPr="00E06427">
        <w:rPr>
          <w:szCs w:val="24"/>
        </w:rPr>
        <w:lastRenderedPageBreak/>
        <w:t>mais significativa, envolvente e participativa por parte dos alunos</w:t>
      </w:r>
      <w:r w:rsidR="00A31408" w:rsidRPr="00E06427">
        <w:rPr>
          <w:szCs w:val="24"/>
        </w:rPr>
        <w:t xml:space="preserve"> e se apresentam como</w:t>
      </w:r>
      <w:r w:rsidR="0031242F" w:rsidRPr="00E06427">
        <w:rPr>
          <w:szCs w:val="24"/>
        </w:rPr>
        <w:t>: (1) aprendizagem centrada no aluno; (2) participação e interação ativa dos alunos em discussões, debates, simulações e resolução de problemas; (3) aprendizagem colaborativa por meio de trabalhos em equipe e troca de ideias entre colegas; (4) contextualização do conhecimento relacionando o conteúdo do ensino com a realidade dos alunos; (5) construção do conhecimento ao estimular a reflexão, análise e síntese das informações; (6) flexibilidade e adaptabilidade, permitindo aos professores ajustar suas estratégias conforme as necessidades dos alunos; (7) uso de recursos tecnológicos para enriquecer a aprendizagem e facilitar o acesso a informações; (8) avaliação formativa para acompanhar o progresso dos alunos e fornecer feedback constante; (9) incentivo à autonomia e responsabilidade, encorajando os alunos a assumirem maior controle de sua aprendizagem.</w:t>
      </w:r>
    </w:p>
    <w:p w14:paraId="5CFA4DFD" w14:textId="27A41D95" w:rsidR="00750AF9" w:rsidRPr="00E06427" w:rsidRDefault="00442177" w:rsidP="00CE732E">
      <w:pPr>
        <w:rPr>
          <w:rFonts w:eastAsia="Arial" w:cs="Times New Roman"/>
          <w:spacing w:val="-2"/>
          <w:szCs w:val="24"/>
        </w:rPr>
      </w:pPr>
      <w:r w:rsidRPr="00E06427">
        <w:rPr>
          <w:rFonts w:eastAsia="Arial" w:cs="Times New Roman"/>
          <w:spacing w:val="-2"/>
          <w:szCs w:val="24"/>
        </w:rPr>
        <w:tab/>
      </w:r>
      <w:r w:rsidR="00061B3F" w:rsidRPr="00E06427">
        <w:rPr>
          <w:rFonts w:eastAsia="Arial" w:cs="Times New Roman"/>
          <w:spacing w:val="-2"/>
          <w:szCs w:val="24"/>
        </w:rPr>
        <w:t>Essas características trabalham em conjunto para promover um ambiente educacional mais dinâmico, engajador e efetivo, em que os alunos se tornam agentes ativos na construção de seu conhecimento, desenvolvendo habilidades essenciais para o sucesso na vida profissional.</w:t>
      </w:r>
    </w:p>
    <w:p w14:paraId="46034154" w14:textId="17446028" w:rsidR="00093E36" w:rsidRPr="00E06427" w:rsidRDefault="00093E36" w:rsidP="00023034">
      <w:pPr>
        <w:pStyle w:val="Ttulo1"/>
      </w:pPr>
      <w:r w:rsidRPr="00E06427">
        <w:t xml:space="preserve">3. </w:t>
      </w:r>
      <w:r w:rsidR="00384FB4" w:rsidRPr="00E06427">
        <w:t xml:space="preserve">PROCEDIMENTOS METODOLOGICOS </w:t>
      </w:r>
    </w:p>
    <w:p w14:paraId="1A784484" w14:textId="3366E8B0" w:rsidR="00CB2759" w:rsidRPr="00E06427" w:rsidRDefault="00295AF7" w:rsidP="00023034">
      <w:r w:rsidRPr="00E06427">
        <w:rPr>
          <w:rFonts w:eastAsia="Arial"/>
          <w:spacing w:val="-2"/>
        </w:rPr>
        <w:tab/>
      </w:r>
      <w:r w:rsidR="003E43A1" w:rsidRPr="00E06427">
        <w:t xml:space="preserve">Este estudo utiliza a Revisão Sistematizada da Literatura (RSL) em duas fases para analisar a produção científica sobre a qualidade do ensino superior. </w:t>
      </w:r>
      <w:r w:rsidR="00044299" w:rsidRPr="00E06427">
        <w:t xml:space="preserve">Na primeira fase, é realizada uma análise da produção científica nacional, utilizando o repositório de teses da Coordenação de Aperfeiçoamento de Pessoal de Nível Superior (CAPES), a fim de compreender as contribuições acadêmicas no contexto nacional. Na segunda fase, é conduzida uma análise da produção científica nas renomadas bases de dados </w:t>
      </w:r>
      <w:r w:rsidR="00044299" w:rsidRPr="00E06427">
        <w:rPr>
          <w:i/>
          <w:iCs/>
        </w:rPr>
        <w:t xml:space="preserve">Web </w:t>
      </w:r>
      <w:proofErr w:type="spellStart"/>
      <w:r w:rsidR="00044299" w:rsidRPr="00E06427">
        <w:rPr>
          <w:i/>
          <w:iCs/>
        </w:rPr>
        <w:t>of</w:t>
      </w:r>
      <w:proofErr w:type="spellEnd"/>
      <w:r w:rsidR="00044299" w:rsidRPr="00E06427">
        <w:rPr>
          <w:i/>
          <w:iCs/>
        </w:rPr>
        <w:t xml:space="preserve"> Science</w:t>
      </w:r>
      <w:r w:rsidR="00044299" w:rsidRPr="00E06427">
        <w:t xml:space="preserve">, </w:t>
      </w:r>
      <w:r w:rsidR="00044299" w:rsidRPr="00E06427">
        <w:rPr>
          <w:i/>
          <w:iCs/>
        </w:rPr>
        <w:t>Scopus</w:t>
      </w:r>
      <w:r w:rsidR="00044299" w:rsidRPr="00E06427">
        <w:t xml:space="preserve"> e </w:t>
      </w:r>
      <w:r w:rsidR="00044299" w:rsidRPr="00E06427">
        <w:rPr>
          <w:i/>
          <w:iCs/>
        </w:rPr>
        <w:t>Science Direct</w:t>
      </w:r>
      <w:r w:rsidR="00044299" w:rsidRPr="00E06427">
        <w:t xml:space="preserve">, buscando ampliar a compreensão do panorama internacional e obter uma visão mais global das pesquisas realizadas sobre o tema em questão. </w:t>
      </w:r>
    </w:p>
    <w:p w14:paraId="13044DC5" w14:textId="1783C160" w:rsidR="0018264F" w:rsidRPr="00E06427" w:rsidRDefault="0018264F" w:rsidP="007F1AF5">
      <w:pPr>
        <w:autoSpaceDE w:val="0"/>
        <w:autoSpaceDN w:val="0"/>
        <w:adjustRightInd w:val="0"/>
        <w:ind w:firstLine="709"/>
        <w:rPr>
          <w:rFonts w:eastAsia="Calibri" w:cs="Times New Roman"/>
          <w:szCs w:val="24"/>
          <w:lang w:eastAsia="zh-CN"/>
        </w:rPr>
      </w:pPr>
      <w:r w:rsidRPr="00E06427">
        <w:rPr>
          <w:rFonts w:eastAsia="Calibri" w:cs="Times New Roman"/>
          <w:szCs w:val="24"/>
          <w:lang w:eastAsia="zh-CN"/>
        </w:rPr>
        <w:t>A RSL foi conduzida com o intuito de responder a três questões</w:t>
      </w:r>
      <w:r w:rsidR="007E7C36" w:rsidRPr="00E06427">
        <w:rPr>
          <w:rFonts w:eastAsia="Calibri" w:cs="Times New Roman"/>
          <w:szCs w:val="24"/>
          <w:lang w:eastAsia="zh-CN"/>
        </w:rPr>
        <w:t xml:space="preserve">: </w:t>
      </w:r>
      <w:r w:rsidRPr="00E06427">
        <w:rPr>
          <w:rFonts w:eastAsia="Calibri" w:cs="Times New Roman"/>
          <w:szCs w:val="24"/>
          <w:lang w:eastAsia="zh-CN"/>
        </w:rPr>
        <w:t>(Q1) buscou identificar e compreender as abordagens utilizadas para avaliar a qualidade no contexto do ensino superior</w:t>
      </w:r>
      <w:r w:rsidR="005E6EA3" w:rsidRPr="00E06427">
        <w:rPr>
          <w:rFonts w:eastAsia="Calibri" w:cs="Times New Roman"/>
          <w:szCs w:val="24"/>
          <w:lang w:eastAsia="zh-CN"/>
        </w:rPr>
        <w:t xml:space="preserve">; </w:t>
      </w:r>
      <w:r w:rsidRPr="00E06427">
        <w:rPr>
          <w:rFonts w:eastAsia="Calibri" w:cs="Times New Roman"/>
          <w:szCs w:val="24"/>
          <w:lang w:eastAsia="zh-CN"/>
        </w:rPr>
        <w:t xml:space="preserve">(Q2) teve como objetivo investigar de que maneira os cursos superiores de administração são avaliados, </w:t>
      </w:r>
      <w:r w:rsidR="00525F4D" w:rsidRPr="00E06427">
        <w:rPr>
          <w:rFonts w:eastAsia="Calibri" w:cs="Times New Roman"/>
          <w:szCs w:val="24"/>
          <w:lang w:eastAsia="zh-CN"/>
        </w:rPr>
        <w:t xml:space="preserve">atentando para </w:t>
      </w:r>
      <w:r w:rsidRPr="00E06427">
        <w:rPr>
          <w:rFonts w:eastAsia="Calibri" w:cs="Times New Roman"/>
          <w:szCs w:val="24"/>
          <w:lang w:eastAsia="zh-CN"/>
        </w:rPr>
        <w:t xml:space="preserve">os critérios e </w:t>
      </w:r>
      <w:r w:rsidRPr="00E06427">
        <w:rPr>
          <w:rFonts w:eastAsia="Calibri" w:cs="Times New Roman"/>
          <w:szCs w:val="24"/>
          <w:lang w:eastAsia="zh-CN"/>
        </w:rPr>
        <w:lastRenderedPageBreak/>
        <w:t>indicadores utilizados</w:t>
      </w:r>
      <w:r w:rsidR="00DB51BD" w:rsidRPr="00E06427">
        <w:rPr>
          <w:rFonts w:eastAsia="Calibri" w:cs="Times New Roman"/>
          <w:szCs w:val="24"/>
          <w:lang w:eastAsia="zh-CN"/>
        </w:rPr>
        <w:t xml:space="preserve">. </w:t>
      </w:r>
      <w:r w:rsidRPr="00E06427">
        <w:rPr>
          <w:rFonts w:eastAsia="Calibri" w:cs="Times New Roman"/>
          <w:szCs w:val="24"/>
          <w:lang w:eastAsia="zh-CN"/>
        </w:rPr>
        <w:t>Por fim, (Q3) focou na presença</w:t>
      </w:r>
      <w:r w:rsidR="00302F82" w:rsidRPr="00E06427">
        <w:rPr>
          <w:rFonts w:eastAsia="Calibri" w:cs="Times New Roman"/>
          <w:szCs w:val="24"/>
          <w:lang w:eastAsia="zh-CN"/>
        </w:rPr>
        <w:t xml:space="preserve"> </w:t>
      </w:r>
      <w:r w:rsidRPr="00E06427">
        <w:rPr>
          <w:rFonts w:eastAsia="Calibri" w:cs="Times New Roman"/>
          <w:szCs w:val="24"/>
          <w:lang w:eastAsia="zh-CN"/>
        </w:rPr>
        <w:t>das metodologias ativas na avaliação da qualidade na educação superior</w:t>
      </w:r>
      <w:r w:rsidR="001A2BEB" w:rsidRPr="00E06427">
        <w:rPr>
          <w:rFonts w:eastAsia="Calibri" w:cs="Times New Roman"/>
          <w:szCs w:val="24"/>
          <w:lang w:eastAsia="zh-CN"/>
        </w:rPr>
        <w:t xml:space="preserve">. </w:t>
      </w:r>
    </w:p>
    <w:p w14:paraId="343B0D97" w14:textId="77777777" w:rsidR="00185C58" w:rsidRPr="00E06427" w:rsidRDefault="00185C58" w:rsidP="00B515D9">
      <w:pPr>
        <w:pStyle w:val="Texto"/>
        <w:ind w:firstLine="708"/>
        <w:rPr>
          <w:rFonts w:ascii="Roboto Lt" w:eastAsiaTheme="minorEastAsia" w:hAnsi="Roboto Lt" w:cs="Times New Roman"/>
          <w:szCs w:val="24"/>
          <w:lang w:eastAsia="pt-BR"/>
        </w:rPr>
      </w:pPr>
      <w:r w:rsidRPr="00E06427">
        <w:rPr>
          <w:rFonts w:ascii="Roboto Lt" w:eastAsiaTheme="minorEastAsia" w:hAnsi="Roboto Lt" w:cs="Times New Roman"/>
          <w:szCs w:val="24"/>
          <w:lang w:eastAsia="pt-BR"/>
        </w:rPr>
        <w:t xml:space="preserve">Na seleção das pesquisas nacionais no repositório da CAPES, os estudos foram escolhidos progressivamente. Iniciou-se com uma busca geral utilizando a </w:t>
      </w:r>
      <w:proofErr w:type="spellStart"/>
      <w:r w:rsidRPr="00E06427">
        <w:rPr>
          <w:rFonts w:ascii="Roboto Lt" w:eastAsiaTheme="minorEastAsia" w:hAnsi="Roboto Lt" w:cs="Times New Roman"/>
          <w:i/>
          <w:iCs/>
          <w:szCs w:val="24"/>
          <w:lang w:eastAsia="pt-BR"/>
        </w:rPr>
        <w:t>string</w:t>
      </w:r>
      <w:proofErr w:type="spellEnd"/>
      <w:r w:rsidRPr="00E06427">
        <w:rPr>
          <w:rFonts w:ascii="Roboto Lt" w:eastAsiaTheme="minorEastAsia" w:hAnsi="Roboto Lt" w:cs="Times New Roman"/>
          <w:szCs w:val="24"/>
          <w:lang w:eastAsia="pt-BR"/>
        </w:rPr>
        <w:t xml:space="preserve"> "metodologias ativas". Em seguida, foram consideradas teses e dissertações publicadas entre 2018 e 2022, na grande área das Ciências Sociais Aplicadas, com enfoque específico nas áreas de Administração, Administração de Empresas e Administração Pública.</w:t>
      </w:r>
    </w:p>
    <w:p w14:paraId="048C62DE" w14:textId="56F9630A" w:rsidR="00F56F10" w:rsidRPr="00E06427" w:rsidRDefault="0082106D" w:rsidP="008B3A6D">
      <w:pPr>
        <w:pStyle w:val="Texto"/>
        <w:ind w:firstLine="708"/>
        <w:rPr>
          <w:rFonts w:ascii="Roboto Lt" w:hAnsi="Roboto Lt" w:cs="Times New Roman"/>
          <w:shd w:val="clear" w:color="auto" w:fill="FAFAFC"/>
          <w:lang w:val="en-US"/>
        </w:rPr>
      </w:pPr>
      <w:r w:rsidRPr="00E06427">
        <w:rPr>
          <w:rFonts w:ascii="Roboto Lt" w:eastAsiaTheme="minorEastAsia" w:hAnsi="Roboto Lt" w:cs="Times New Roman"/>
          <w:szCs w:val="24"/>
          <w:lang w:eastAsia="pt-BR"/>
        </w:rPr>
        <w:t>N</w:t>
      </w:r>
      <w:r w:rsidR="00984010" w:rsidRPr="00E06427">
        <w:rPr>
          <w:rFonts w:ascii="Roboto Lt" w:eastAsiaTheme="minorEastAsia" w:hAnsi="Roboto Lt" w:cs="Times New Roman"/>
          <w:szCs w:val="24"/>
          <w:lang w:eastAsia="pt-BR"/>
        </w:rPr>
        <w:t>a segunda fase</w:t>
      </w:r>
      <w:r w:rsidRPr="00E06427">
        <w:rPr>
          <w:rFonts w:ascii="Roboto Lt" w:eastAsiaTheme="minorEastAsia" w:hAnsi="Roboto Lt" w:cs="Times New Roman"/>
          <w:szCs w:val="24"/>
          <w:lang w:eastAsia="pt-BR"/>
        </w:rPr>
        <w:t>, do</w:t>
      </w:r>
      <w:r w:rsidR="00190050" w:rsidRPr="00E06427">
        <w:rPr>
          <w:rFonts w:ascii="Roboto Lt" w:eastAsiaTheme="minorEastAsia" w:hAnsi="Roboto Lt" w:cs="Times New Roman"/>
          <w:szCs w:val="24"/>
          <w:lang w:eastAsia="pt-BR"/>
        </w:rPr>
        <w:t>s</w:t>
      </w:r>
      <w:r w:rsidRPr="00E06427">
        <w:rPr>
          <w:rFonts w:ascii="Roboto Lt" w:eastAsiaTheme="minorEastAsia" w:hAnsi="Roboto Lt" w:cs="Times New Roman"/>
          <w:szCs w:val="24"/>
          <w:lang w:eastAsia="pt-BR"/>
        </w:rPr>
        <w:t xml:space="preserve"> estudos internacionais, foi</w:t>
      </w:r>
      <w:r w:rsidR="00EF5154" w:rsidRPr="00E06427">
        <w:rPr>
          <w:rFonts w:ascii="Roboto Lt" w:eastAsiaTheme="minorEastAsia" w:hAnsi="Roboto Lt" w:cs="Times New Roman"/>
          <w:szCs w:val="24"/>
          <w:lang w:eastAsia="pt-BR"/>
        </w:rPr>
        <w:t xml:space="preserve"> </w:t>
      </w:r>
      <w:r w:rsidR="00DA7C07" w:rsidRPr="00E06427">
        <w:rPr>
          <w:rFonts w:ascii="Roboto Lt" w:eastAsiaTheme="minorEastAsia" w:hAnsi="Roboto Lt" w:cs="Times New Roman"/>
          <w:szCs w:val="24"/>
          <w:lang w:eastAsia="pt-BR"/>
        </w:rPr>
        <w:t>realizada uma pesquisa</w:t>
      </w:r>
      <w:r w:rsidR="002106D4" w:rsidRPr="00E06427">
        <w:rPr>
          <w:rFonts w:ascii="Roboto Lt" w:eastAsiaTheme="minorEastAsia" w:hAnsi="Roboto Lt" w:cs="Times New Roman"/>
          <w:szCs w:val="24"/>
          <w:lang w:eastAsia="pt-BR"/>
        </w:rPr>
        <w:t xml:space="preserve"> </w:t>
      </w:r>
      <w:r w:rsidR="00234CCF" w:rsidRPr="00E06427">
        <w:rPr>
          <w:rFonts w:ascii="Roboto Lt" w:eastAsiaTheme="minorEastAsia" w:hAnsi="Roboto Lt" w:cs="Times New Roman"/>
          <w:szCs w:val="24"/>
          <w:lang w:eastAsia="pt-BR"/>
        </w:rPr>
        <w:t xml:space="preserve">nas três bases de dados </w:t>
      </w:r>
      <w:r w:rsidR="002C532A" w:rsidRPr="00E06427">
        <w:rPr>
          <w:rFonts w:ascii="Roboto Lt" w:eastAsiaTheme="minorEastAsia" w:hAnsi="Roboto Lt" w:cs="Times New Roman"/>
          <w:szCs w:val="24"/>
          <w:lang w:eastAsia="pt-BR"/>
        </w:rPr>
        <w:t>internacionais</w:t>
      </w:r>
      <w:r w:rsidR="00E041D0" w:rsidRPr="00E06427">
        <w:rPr>
          <w:rFonts w:ascii="Roboto Lt" w:eastAsiaTheme="minorEastAsia" w:hAnsi="Roboto Lt" w:cs="Times New Roman"/>
          <w:szCs w:val="24"/>
          <w:lang w:eastAsia="pt-BR"/>
        </w:rPr>
        <w:t xml:space="preserve">: </w:t>
      </w:r>
      <w:r w:rsidR="00E041D0" w:rsidRPr="00E06427">
        <w:rPr>
          <w:rFonts w:ascii="Roboto Lt" w:eastAsia="Arial" w:hAnsi="Roboto Lt" w:cs="Times New Roman"/>
          <w:i/>
          <w:iCs/>
          <w:szCs w:val="24"/>
        </w:rPr>
        <w:t xml:space="preserve">Web </w:t>
      </w:r>
      <w:proofErr w:type="spellStart"/>
      <w:r w:rsidR="00E041D0" w:rsidRPr="00E06427">
        <w:rPr>
          <w:rFonts w:ascii="Roboto Lt" w:eastAsia="Arial" w:hAnsi="Roboto Lt" w:cs="Times New Roman"/>
          <w:i/>
          <w:iCs/>
          <w:szCs w:val="24"/>
        </w:rPr>
        <w:t>of</w:t>
      </w:r>
      <w:proofErr w:type="spellEnd"/>
      <w:r w:rsidR="00E041D0" w:rsidRPr="00E06427">
        <w:rPr>
          <w:rFonts w:ascii="Roboto Lt" w:eastAsia="Arial" w:hAnsi="Roboto Lt" w:cs="Times New Roman"/>
          <w:i/>
          <w:iCs/>
          <w:szCs w:val="24"/>
        </w:rPr>
        <w:t xml:space="preserve"> Science, </w:t>
      </w:r>
      <w:r w:rsidR="00E041D0" w:rsidRPr="00E06427">
        <w:rPr>
          <w:rFonts w:ascii="Roboto Lt" w:hAnsi="Roboto Lt" w:cs="Times New Roman"/>
          <w:i/>
          <w:iCs/>
          <w:szCs w:val="24"/>
        </w:rPr>
        <w:t xml:space="preserve">Scopus e </w:t>
      </w:r>
      <w:r w:rsidR="00E041D0" w:rsidRPr="00E06427">
        <w:rPr>
          <w:rFonts w:ascii="Roboto Lt" w:hAnsi="Roboto Lt" w:cs="Times New Roman"/>
          <w:i/>
          <w:iCs/>
          <w:szCs w:val="24"/>
          <w:shd w:val="clear" w:color="auto" w:fill="FFFFFF"/>
        </w:rPr>
        <w:t>Science Direct</w:t>
      </w:r>
      <w:r w:rsidR="00815A2E" w:rsidRPr="00E06427">
        <w:rPr>
          <w:rFonts w:ascii="Roboto Lt" w:eastAsiaTheme="minorEastAsia" w:hAnsi="Roboto Lt" w:cs="Times New Roman"/>
          <w:szCs w:val="24"/>
          <w:lang w:eastAsia="pt-BR"/>
        </w:rPr>
        <w:t xml:space="preserve"> </w:t>
      </w:r>
      <w:r w:rsidR="002C532A" w:rsidRPr="00E06427">
        <w:rPr>
          <w:rFonts w:ascii="Roboto Lt" w:eastAsiaTheme="minorEastAsia" w:hAnsi="Roboto Lt" w:cs="Times New Roman"/>
          <w:szCs w:val="24"/>
          <w:lang w:eastAsia="pt-BR"/>
        </w:rPr>
        <w:t xml:space="preserve">seguindo o </w:t>
      </w:r>
      <w:r w:rsidR="00F56F10" w:rsidRPr="00E06427">
        <w:rPr>
          <w:rFonts w:ascii="Roboto Lt" w:hAnsi="Roboto Lt" w:cs="Times New Roman"/>
          <w:szCs w:val="24"/>
          <w:shd w:val="clear" w:color="auto" w:fill="FFFFFF"/>
        </w:rPr>
        <w:t xml:space="preserve">fluxograma sugerido pela declaração </w:t>
      </w:r>
      <w:proofErr w:type="spellStart"/>
      <w:r w:rsidR="00F56F10" w:rsidRPr="00E06427">
        <w:rPr>
          <w:rFonts w:ascii="Roboto Lt" w:hAnsi="Roboto Lt" w:cs="Times New Roman"/>
          <w:i/>
          <w:iCs/>
          <w:szCs w:val="24"/>
          <w:shd w:val="clear" w:color="auto" w:fill="FFFFFF"/>
        </w:rPr>
        <w:t>Preferred</w:t>
      </w:r>
      <w:proofErr w:type="spellEnd"/>
      <w:r w:rsidR="00F56F10" w:rsidRPr="00E06427">
        <w:rPr>
          <w:rFonts w:ascii="Roboto Lt" w:hAnsi="Roboto Lt" w:cs="Times New Roman"/>
          <w:i/>
          <w:iCs/>
          <w:szCs w:val="24"/>
        </w:rPr>
        <w:t xml:space="preserve"> </w:t>
      </w:r>
      <w:proofErr w:type="spellStart"/>
      <w:r w:rsidR="00F56F10" w:rsidRPr="00E06427">
        <w:rPr>
          <w:rFonts w:ascii="Roboto Lt" w:hAnsi="Roboto Lt" w:cs="Times New Roman"/>
          <w:i/>
          <w:iCs/>
          <w:szCs w:val="24"/>
        </w:rPr>
        <w:t>Reporting</w:t>
      </w:r>
      <w:proofErr w:type="spellEnd"/>
      <w:r w:rsidR="00F56F10" w:rsidRPr="00E06427">
        <w:rPr>
          <w:rFonts w:ascii="Roboto Lt" w:hAnsi="Roboto Lt" w:cs="Times New Roman"/>
          <w:i/>
          <w:iCs/>
          <w:szCs w:val="24"/>
        </w:rPr>
        <w:t xml:space="preserve"> </w:t>
      </w:r>
      <w:proofErr w:type="spellStart"/>
      <w:r w:rsidR="00F56F10" w:rsidRPr="00E06427">
        <w:rPr>
          <w:rFonts w:ascii="Roboto Lt" w:hAnsi="Roboto Lt" w:cs="Times New Roman"/>
          <w:i/>
          <w:iCs/>
          <w:szCs w:val="24"/>
        </w:rPr>
        <w:t>Items</w:t>
      </w:r>
      <w:proofErr w:type="spellEnd"/>
      <w:r w:rsidR="00F56F10" w:rsidRPr="00E06427">
        <w:rPr>
          <w:rFonts w:ascii="Roboto Lt" w:hAnsi="Roboto Lt" w:cs="Times New Roman"/>
          <w:i/>
          <w:iCs/>
          <w:szCs w:val="24"/>
        </w:rPr>
        <w:t xml:space="preserve"> for </w:t>
      </w:r>
      <w:proofErr w:type="spellStart"/>
      <w:r w:rsidR="00F56F10" w:rsidRPr="00E06427">
        <w:rPr>
          <w:rFonts w:ascii="Roboto Lt" w:hAnsi="Roboto Lt" w:cs="Times New Roman"/>
          <w:i/>
          <w:iCs/>
          <w:szCs w:val="24"/>
        </w:rPr>
        <w:t>Systematic</w:t>
      </w:r>
      <w:proofErr w:type="spellEnd"/>
      <w:r w:rsidR="00F56F10" w:rsidRPr="00E06427">
        <w:rPr>
          <w:rFonts w:ascii="Roboto Lt" w:hAnsi="Roboto Lt" w:cs="Times New Roman"/>
          <w:i/>
          <w:iCs/>
          <w:szCs w:val="24"/>
        </w:rPr>
        <w:t xml:space="preserve"> reviews </w:t>
      </w:r>
      <w:proofErr w:type="spellStart"/>
      <w:r w:rsidR="00F56F10" w:rsidRPr="00E06427">
        <w:rPr>
          <w:rFonts w:ascii="Roboto Lt" w:hAnsi="Roboto Lt" w:cs="Times New Roman"/>
          <w:i/>
          <w:iCs/>
          <w:szCs w:val="24"/>
        </w:rPr>
        <w:t>and</w:t>
      </w:r>
      <w:proofErr w:type="spellEnd"/>
      <w:r w:rsidR="00F56F10" w:rsidRPr="00E06427">
        <w:rPr>
          <w:rFonts w:ascii="Roboto Lt" w:hAnsi="Roboto Lt" w:cs="Times New Roman"/>
          <w:i/>
          <w:iCs/>
          <w:szCs w:val="24"/>
        </w:rPr>
        <w:t xml:space="preserve"> Meta-</w:t>
      </w:r>
      <w:proofErr w:type="spellStart"/>
      <w:r w:rsidR="00F56F10" w:rsidRPr="00E06427">
        <w:rPr>
          <w:rFonts w:ascii="Roboto Lt" w:hAnsi="Roboto Lt" w:cs="Times New Roman"/>
          <w:i/>
          <w:iCs/>
          <w:szCs w:val="24"/>
        </w:rPr>
        <w:t>Analyses</w:t>
      </w:r>
      <w:proofErr w:type="spellEnd"/>
      <w:r w:rsidR="00F56F10" w:rsidRPr="00E06427">
        <w:rPr>
          <w:rFonts w:ascii="Roboto Lt" w:hAnsi="Roboto Lt" w:cs="Times New Roman"/>
          <w:i/>
          <w:iCs/>
          <w:szCs w:val="24"/>
        </w:rPr>
        <w:t xml:space="preserve"> - </w:t>
      </w:r>
      <w:r w:rsidR="00F56F10" w:rsidRPr="00E06427">
        <w:rPr>
          <w:rFonts w:ascii="Roboto Lt" w:hAnsi="Roboto Lt" w:cs="Times New Roman"/>
          <w:i/>
          <w:iCs/>
          <w:szCs w:val="24"/>
          <w:shd w:val="clear" w:color="auto" w:fill="FFFFFF"/>
        </w:rPr>
        <w:t>PRISMA</w:t>
      </w:r>
      <w:r w:rsidR="00F56F10" w:rsidRPr="00E06427">
        <w:rPr>
          <w:rFonts w:ascii="Roboto Lt" w:hAnsi="Roboto Lt" w:cs="Times New Roman"/>
          <w:szCs w:val="24"/>
        </w:rPr>
        <w:t xml:space="preserve"> e </w:t>
      </w:r>
      <w:r w:rsidR="00EC790E" w:rsidRPr="00E06427">
        <w:rPr>
          <w:rFonts w:ascii="Roboto Lt" w:hAnsi="Roboto Lt" w:cs="Times New Roman"/>
          <w:szCs w:val="24"/>
        </w:rPr>
        <w:t xml:space="preserve">a </w:t>
      </w:r>
      <w:r w:rsidR="00F56F10" w:rsidRPr="00E06427">
        <w:rPr>
          <w:rFonts w:ascii="Roboto Lt" w:hAnsi="Roboto Lt" w:cs="Times New Roman"/>
          <w:szCs w:val="24"/>
        </w:rPr>
        <w:t xml:space="preserve">plataforma </w:t>
      </w:r>
      <w:r w:rsidR="00F56F10" w:rsidRPr="00E06427">
        <w:rPr>
          <w:rFonts w:ascii="Roboto Lt" w:hAnsi="Roboto Lt" w:cs="Times New Roman"/>
          <w:i/>
          <w:iCs/>
          <w:szCs w:val="24"/>
        </w:rPr>
        <w:t>Parsifal</w:t>
      </w:r>
      <w:r w:rsidR="00F56F10" w:rsidRPr="00E06427">
        <w:rPr>
          <w:rFonts w:ascii="Roboto Lt" w:hAnsi="Roboto Lt" w:cs="Times New Roman"/>
          <w:szCs w:val="24"/>
        </w:rPr>
        <w:t xml:space="preserve"> para apoiar o processo</w:t>
      </w:r>
      <w:r w:rsidR="009C6DDB" w:rsidRPr="00E06427">
        <w:rPr>
          <w:rFonts w:ascii="Roboto Lt" w:hAnsi="Roboto Lt" w:cs="Times New Roman"/>
          <w:szCs w:val="24"/>
        </w:rPr>
        <w:t>.</w:t>
      </w:r>
      <w:r w:rsidR="00F56F10" w:rsidRPr="00E06427">
        <w:rPr>
          <w:rFonts w:ascii="Roboto Lt" w:hAnsi="Roboto Lt" w:cs="Times New Roman"/>
          <w:szCs w:val="24"/>
        </w:rPr>
        <w:t xml:space="preserve"> </w:t>
      </w:r>
      <w:r w:rsidR="009778F8" w:rsidRPr="00E06427">
        <w:rPr>
          <w:rFonts w:ascii="Roboto Lt" w:hAnsi="Roboto Lt" w:cs="Times New Roman"/>
          <w:szCs w:val="24"/>
          <w:lang w:val="en-US"/>
        </w:rPr>
        <w:t xml:space="preserve">A string de </w:t>
      </w:r>
      <w:proofErr w:type="spellStart"/>
      <w:r w:rsidR="009778F8" w:rsidRPr="00E06427">
        <w:rPr>
          <w:rFonts w:ascii="Roboto Lt" w:hAnsi="Roboto Lt" w:cs="Times New Roman"/>
          <w:szCs w:val="24"/>
          <w:lang w:val="en-US"/>
        </w:rPr>
        <w:t>busca</w:t>
      </w:r>
      <w:proofErr w:type="spellEnd"/>
      <w:r w:rsidR="009778F8" w:rsidRPr="00E06427">
        <w:rPr>
          <w:rFonts w:ascii="Roboto Lt" w:hAnsi="Roboto Lt" w:cs="Times New Roman"/>
          <w:szCs w:val="24"/>
          <w:lang w:val="en-US"/>
        </w:rPr>
        <w:t xml:space="preserve"> </w:t>
      </w:r>
      <w:proofErr w:type="spellStart"/>
      <w:r w:rsidR="009778F8" w:rsidRPr="00E06427">
        <w:rPr>
          <w:rFonts w:ascii="Roboto Lt" w:hAnsi="Roboto Lt" w:cs="Times New Roman"/>
          <w:szCs w:val="24"/>
          <w:lang w:val="en-US"/>
        </w:rPr>
        <w:t>aplicada</w:t>
      </w:r>
      <w:proofErr w:type="spellEnd"/>
      <w:r w:rsidR="009778F8" w:rsidRPr="00E06427">
        <w:rPr>
          <w:rFonts w:ascii="Roboto Lt" w:hAnsi="Roboto Lt" w:cs="Times New Roman"/>
          <w:szCs w:val="24"/>
          <w:lang w:val="en-US"/>
        </w:rPr>
        <w:t xml:space="preserve"> </w:t>
      </w:r>
      <w:proofErr w:type="spellStart"/>
      <w:r w:rsidR="009778F8" w:rsidRPr="00E06427">
        <w:rPr>
          <w:rFonts w:ascii="Roboto Lt" w:hAnsi="Roboto Lt" w:cs="Times New Roman"/>
          <w:szCs w:val="24"/>
          <w:lang w:val="en-US"/>
        </w:rPr>
        <w:t>foi</w:t>
      </w:r>
      <w:proofErr w:type="spellEnd"/>
      <w:r w:rsidR="00F56F10" w:rsidRPr="00E06427">
        <w:rPr>
          <w:rFonts w:ascii="Roboto Lt" w:eastAsia="SimSun" w:hAnsi="Roboto Lt" w:cs="Times New Roman"/>
          <w:lang w:val="en-US"/>
        </w:rPr>
        <w:t>: ((“</w:t>
      </w:r>
      <w:r w:rsidR="00F56F10" w:rsidRPr="00E06427">
        <w:rPr>
          <w:rFonts w:ascii="Roboto Lt" w:eastAsia="SimSun" w:hAnsi="Roboto Lt" w:cs="Times New Roman"/>
          <w:i/>
          <w:iCs/>
          <w:lang w:val="en-US"/>
        </w:rPr>
        <w:t>higher education</w:t>
      </w:r>
      <w:r w:rsidR="00F56F10" w:rsidRPr="00E06427">
        <w:rPr>
          <w:rFonts w:ascii="Roboto Lt" w:eastAsia="SimSun" w:hAnsi="Roboto Lt" w:cs="Times New Roman"/>
          <w:lang w:val="en-US"/>
        </w:rPr>
        <w:t>” OR “</w:t>
      </w:r>
      <w:r w:rsidR="00F56F10" w:rsidRPr="00E06427">
        <w:rPr>
          <w:rFonts w:ascii="Roboto Lt" w:eastAsia="SimSun" w:hAnsi="Roboto Lt" w:cs="Times New Roman"/>
          <w:i/>
          <w:iCs/>
          <w:lang w:val="en-US"/>
        </w:rPr>
        <w:t>college</w:t>
      </w:r>
      <w:r w:rsidR="00F56F10" w:rsidRPr="00E06427">
        <w:rPr>
          <w:rFonts w:ascii="Roboto Lt" w:eastAsia="SimSun" w:hAnsi="Roboto Lt" w:cs="Times New Roman"/>
          <w:lang w:val="en-US"/>
        </w:rPr>
        <w:t>” OR “</w:t>
      </w:r>
      <w:r w:rsidR="00F56F10" w:rsidRPr="00E06427">
        <w:rPr>
          <w:rFonts w:ascii="Roboto Lt" w:eastAsia="SimSun" w:hAnsi="Roboto Lt" w:cs="Times New Roman"/>
          <w:i/>
          <w:iCs/>
          <w:lang w:val="en-US"/>
        </w:rPr>
        <w:t>university education</w:t>
      </w:r>
      <w:r w:rsidR="00F56F10" w:rsidRPr="00E06427">
        <w:rPr>
          <w:rFonts w:ascii="Roboto Lt" w:eastAsia="SimSun" w:hAnsi="Roboto Lt" w:cs="Times New Roman"/>
          <w:lang w:val="en-US"/>
        </w:rPr>
        <w:t>”) AND (“</w:t>
      </w:r>
      <w:r w:rsidR="00F56F10" w:rsidRPr="00E06427">
        <w:rPr>
          <w:rFonts w:ascii="Roboto Lt" w:eastAsia="SimSun" w:hAnsi="Roboto Lt" w:cs="Times New Roman"/>
          <w:i/>
          <w:iCs/>
          <w:lang w:val="en-US"/>
        </w:rPr>
        <w:t>academic quality</w:t>
      </w:r>
      <w:r w:rsidR="00F56F10" w:rsidRPr="00E06427">
        <w:rPr>
          <w:rFonts w:ascii="Roboto Lt" w:eastAsia="SimSun" w:hAnsi="Roboto Lt" w:cs="Times New Roman"/>
          <w:lang w:val="en-US"/>
        </w:rPr>
        <w:t>” OR “</w:t>
      </w:r>
      <w:r w:rsidR="00F56F10" w:rsidRPr="00E06427">
        <w:rPr>
          <w:rFonts w:ascii="Roboto Lt" w:eastAsia="SimSun" w:hAnsi="Roboto Lt" w:cs="Times New Roman"/>
          <w:i/>
          <w:iCs/>
          <w:lang w:val="en-US"/>
        </w:rPr>
        <w:t>quality assessment</w:t>
      </w:r>
      <w:r w:rsidR="00F56F10" w:rsidRPr="00E06427">
        <w:rPr>
          <w:rFonts w:ascii="Roboto Lt" w:eastAsia="SimSun" w:hAnsi="Roboto Lt" w:cs="Times New Roman"/>
          <w:lang w:val="en-US"/>
        </w:rPr>
        <w:t>” OR “</w:t>
      </w:r>
      <w:r w:rsidR="00F56F10" w:rsidRPr="00E06427">
        <w:rPr>
          <w:rFonts w:ascii="Roboto Lt" w:eastAsia="SimSun" w:hAnsi="Roboto Lt" w:cs="Times New Roman"/>
          <w:i/>
          <w:iCs/>
          <w:lang w:val="en-US"/>
        </w:rPr>
        <w:t>educational politics</w:t>
      </w:r>
      <w:r w:rsidR="00F56F10" w:rsidRPr="00E06427">
        <w:rPr>
          <w:rFonts w:ascii="Roboto Lt" w:eastAsia="SimSun" w:hAnsi="Roboto Lt" w:cs="Times New Roman"/>
          <w:lang w:val="en-US"/>
        </w:rPr>
        <w:t>”) AND (“</w:t>
      </w:r>
      <w:r w:rsidR="00F56F10" w:rsidRPr="00E06427">
        <w:rPr>
          <w:rFonts w:ascii="Roboto Lt" w:eastAsia="SimSun" w:hAnsi="Roboto Lt" w:cs="Times New Roman"/>
          <w:i/>
          <w:iCs/>
          <w:lang w:val="en-US"/>
        </w:rPr>
        <w:t>administration</w:t>
      </w:r>
      <w:r w:rsidR="00F56F10" w:rsidRPr="00E06427">
        <w:rPr>
          <w:rFonts w:ascii="Roboto Lt" w:eastAsia="SimSun" w:hAnsi="Roboto Lt" w:cs="Times New Roman"/>
          <w:lang w:val="en-US"/>
        </w:rPr>
        <w:t>” OR “</w:t>
      </w:r>
      <w:r w:rsidR="00F56F10" w:rsidRPr="00E06427">
        <w:rPr>
          <w:rFonts w:ascii="Roboto Lt" w:eastAsia="SimSun" w:hAnsi="Roboto Lt" w:cs="Times New Roman"/>
          <w:i/>
          <w:iCs/>
          <w:lang w:val="en-US"/>
        </w:rPr>
        <w:t>management</w:t>
      </w:r>
      <w:r w:rsidR="00F56F10" w:rsidRPr="00E06427">
        <w:rPr>
          <w:rFonts w:ascii="Roboto Lt" w:eastAsia="SimSun" w:hAnsi="Roboto Lt" w:cs="Times New Roman"/>
          <w:lang w:val="en-US"/>
        </w:rPr>
        <w:t>”)).</w:t>
      </w:r>
    </w:p>
    <w:p w14:paraId="1FBDA31B" w14:textId="01EBE13E" w:rsidR="00F56F10" w:rsidRPr="00E06427" w:rsidRDefault="005E7CA7" w:rsidP="00F56F10">
      <w:pPr>
        <w:pStyle w:val="NormalWeb"/>
        <w:suppressAutoHyphens/>
        <w:spacing w:before="0" w:beforeAutospacing="0" w:after="0" w:afterAutospacing="0" w:line="360" w:lineRule="auto"/>
        <w:ind w:firstLine="720"/>
        <w:jc w:val="both"/>
        <w:rPr>
          <w:i/>
          <w:iCs/>
          <w:shd w:val="clear" w:color="auto" w:fill="FAFAFC"/>
        </w:rPr>
      </w:pPr>
      <w:r w:rsidRPr="00E06427">
        <w:rPr>
          <w:shd w:val="clear" w:color="auto" w:fill="FAFAFC"/>
        </w:rPr>
        <w:t>Para refinar os resultados, foram realizados dois procedimentos: o primeiro tratou da seleção inicial dos artigos, analisando título e resumo com base nos seguintes requisitos: pesquisa que investiga a avaliação da qualidade na educação superior; publicada entre 2018 e 2022; nos idiomas de português, inglês e espanhol, no formato de artigo revisado por pares e com texto completo disponível para download. Como critérios de exclusão, considerou-se a duplicidade do artigo nas bases de dados e o não atendimento aos critérios de inclusão.</w:t>
      </w:r>
      <w:r w:rsidR="00B36F1A" w:rsidRPr="00E06427">
        <w:rPr>
          <w:shd w:val="clear" w:color="auto" w:fill="FAFAFC"/>
        </w:rPr>
        <w:t xml:space="preserve"> </w:t>
      </w:r>
      <w:r w:rsidR="0057589A" w:rsidRPr="00E06427">
        <w:rPr>
          <w:shd w:val="clear" w:color="auto" w:fill="FAFAFC"/>
        </w:rPr>
        <w:t xml:space="preserve">No </w:t>
      </w:r>
      <w:r w:rsidR="00677094" w:rsidRPr="00E06427">
        <w:rPr>
          <w:shd w:val="clear" w:color="auto" w:fill="FAFAFC"/>
        </w:rPr>
        <w:t>segundo</w:t>
      </w:r>
      <w:r w:rsidR="0057589A" w:rsidRPr="00E06427">
        <w:rPr>
          <w:shd w:val="clear" w:color="auto" w:fill="FAFAFC"/>
        </w:rPr>
        <w:t xml:space="preserve"> foi realizada a </w:t>
      </w:r>
      <w:r w:rsidR="00FB4C84" w:rsidRPr="00E06427">
        <w:rPr>
          <w:shd w:val="clear" w:color="auto" w:fill="FAFAFC"/>
        </w:rPr>
        <w:t xml:space="preserve">leitura integral dos estudos </w:t>
      </w:r>
      <w:r w:rsidR="003F3472" w:rsidRPr="00E06427">
        <w:rPr>
          <w:shd w:val="clear" w:color="auto" w:fill="FAFAFC"/>
        </w:rPr>
        <w:t xml:space="preserve">para </w:t>
      </w:r>
      <w:r w:rsidR="00B36F1A" w:rsidRPr="00E06427">
        <w:rPr>
          <w:shd w:val="clear" w:color="auto" w:fill="FAFAFC"/>
        </w:rPr>
        <w:t xml:space="preserve">responder as questões </w:t>
      </w:r>
      <w:r w:rsidR="00A9440E" w:rsidRPr="00E06427">
        <w:rPr>
          <w:shd w:val="clear" w:color="auto" w:fill="FAFAFC"/>
        </w:rPr>
        <w:t xml:space="preserve">apontadas acima </w:t>
      </w:r>
      <w:r w:rsidR="00C1222C" w:rsidRPr="00E06427">
        <w:rPr>
          <w:shd w:val="clear" w:color="auto" w:fill="FAFAFC"/>
        </w:rPr>
        <w:t xml:space="preserve">acerca </w:t>
      </w:r>
      <w:r w:rsidR="00F56F10" w:rsidRPr="00E06427">
        <w:rPr>
          <w:shd w:val="clear" w:color="auto" w:fill="FAFAFC"/>
        </w:rPr>
        <w:t>da avaliação da qualidade na educação superior</w:t>
      </w:r>
      <w:r w:rsidR="00C1222C" w:rsidRPr="00E06427">
        <w:rPr>
          <w:shd w:val="clear" w:color="auto" w:fill="FAFAFC"/>
        </w:rPr>
        <w:t>.</w:t>
      </w:r>
    </w:p>
    <w:p w14:paraId="1D73EE44" w14:textId="60F905FA" w:rsidR="004442F4" w:rsidRPr="00E06427" w:rsidRDefault="009F70BC" w:rsidP="00023034">
      <w:pPr>
        <w:pStyle w:val="Ttulo1"/>
        <w:rPr>
          <w:rFonts w:eastAsia="Arial"/>
        </w:rPr>
      </w:pPr>
      <w:r w:rsidRPr="00E06427">
        <w:t xml:space="preserve">4 RESULTADOS </w:t>
      </w:r>
    </w:p>
    <w:p w14:paraId="619706B8" w14:textId="5D97EC7B" w:rsidR="001B7749" w:rsidRPr="00E06427" w:rsidRDefault="00275FF9" w:rsidP="00F13338">
      <w:pPr>
        <w:pStyle w:val="Texto"/>
        <w:ind w:firstLine="708"/>
        <w:rPr>
          <w:rFonts w:ascii="Roboto Lt" w:hAnsi="Roboto Lt" w:cs="Times New Roman"/>
          <w:szCs w:val="24"/>
        </w:rPr>
      </w:pPr>
      <w:r w:rsidRPr="00E06427">
        <w:rPr>
          <w:rFonts w:ascii="Roboto Lt" w:hAnsi="Roboto Lt" w:cs="Times New Roman"/>
        </w:rPr>
        <w:t xml:space="preserve">No </w:t>
      </w:r>
      <w:r w:rsidR="008334D8" w:rsidRPr="00E06427">
        <w:rPr>
          <w:rFonts w:ascii="Roboto Lt" w:hAnsi="Roboto Lt" w:cs="Times New Roman"/>
          <w:szCs w:val="24"/>
        </w:rPr>
        <w:t>r</w:t>
      </w:r>
      <w:r w:rsidR="00B22560" w:rsidRPr="00E06427">
        <w:rPr>
          <w:rFonts w:ascii="Roboto Lt" w:hAnsi="Roboto Lt" w:cs="Times New Roman"/>
          <w:szCs w:val="24"/>
        </w:rPr>
        <w:t>epositório d</w:t>
      </w:r>
      <w:r w:rsidR="001A090E" w:rsidRPr="00E06427">
        <w:rPr>
          <w:rFonts w:ascii="Roboto Lt" w:hAnsi="Roboto Lt" w:cs="Times New Roman"/>
          <w:szCs w:val="24"/>
        </w:rPr>
        <w:t>a CAPES</w:t>
      </w:r>
      <w:r w:rsidR="00B22560" w:rsidRPr="00E06427">
        <w:rPr>
          <w:rFonts w:ascii="Roboto Lt" w:hAnsi="Roboto Lt" w:cs="Times New Roman"/>
          <w:szCs w:val="24"/>
        </w:rPr>
        <w:t>, observ</w:t>
      </w:r>
      <w:r w:rsidRPr="00E06427">
        <w:rPr>
          <w:rFonts w:ascii="Roboto Lt" w:hAnsi="Roboto Lt" w:cs="Times New Roman"/>
          <w:szCs w:val="24"/>
        </w:rPr>
        <w:t>ou-</w:t>
      </w:r>
      <w:r w:rsidR="00B22560" w:rsidRPr="00E06427">
        <w:rPr>
          <w:rFonts w:ascii="Roboto Lt" w:hAnsi="Roboto Lt" w:cs="Times New Roman"/>
          <w:szCs w:val="24"/>
        </w:rPr>
        <w:t xml:space="preserve">se </w:t>
      </w:r>
      <w:r w:rsidR="00183756" w:rsidRPr="00E06427">
        <w:rPr>
          <w:rFonts w:ascii="Roboto Lt" w:hAnsi="Roboto Lt" w:cs="Times New Roman"/>
          <w:szCs w:val="24"/>
        </w:rPr>
        <w:t xml:space="preserve">que </w:t>
      </w:r>
      <w:r w:rsidR="00B22560" w:rsidRPr="00E06427">
        <w:rPr>
          <w:rFonts w:ascii="Roboto Lt" w:hAnsi="Roboto Lt" w:cs="Times New Roman"/>
          <w:szCs w:val="24"/>
        </w:rPr>
        <w:t xml:space="preserve">as metodologias ativas são objeto de estudo em 25123 pesquisas. Ao fazer o primeiro recorte selecionando somente as dissertações (15570 pesquisas) e teses (6113 pesquisas) foram identificados 21683 estudos. </w:t>
      </w:r>
    </w:p>
    <w:p w14:paraId="141363E7" w14:textId="77777777" w:rsidR="001B7749" w:rsidRPr="00E06427" w:rsidRDefault="001B7749" w:rsidP="00043A32">
      <w:pPr>
        <w:pStyle w:val="Texto"/>
        <w:spacing w:line="240" w:lineRule="auto"/>
        <w:ind w:firstLine="709"/>
        <w:rPr>
          <w:rFonts w:ascii="Roboto Lt" w:hAnsi="Roboto Lt" w:cs="Times New Roman"/>
          <w:szCs w:val="24"/>
        </w:rPr>
      </w:pPr>
    </w:p>
    <w:p w14:paraId="7DDD7778" w14:textId="1A44C641" w:rsidR="001B7749" w:rsidRPr="00E06427" w:rsidRDefault="001B7749" w:rsidP="001B7749">
      <w:pPr>
        <w:pStyle w:val="WW-Legenda"/>
        <w:spacing w:before="0" w:after="0"/>
        <w:rPr>
          <w:rFonts w:ascii="Roboto Lt" w:hAnsi="Roboto Lt" w:cs="Times New Roman"/>
          <w:sz w:val="22"/>
          <w:szCs w:val="22"/>
        </w:rPr>
      </w:pPr>
      <w:r w:rsidRPr="00023034">
        <w:rPr>
          <w:rFonts w:ascii="Roboto Lt" w:hAnsi="Roboto Lt" w:cs="Times New Roman"/>
          <w:b/>
          <w:bCs w:val="0"/>
          <w:sz w:val="22"/>
          <w:szCs w:val="22"/>
        </w:rPr>
        <w:lastRenderedPageBreak/>
        <w:t xml:space="preserve">Figura </w:t>
      </w:r>
      <w:r w:rsidR="00A8504C" w:rsidRPr="00023034">
        <w:rPr>
          <w:rFonts w:ascii="Roboto Lt" w:hAnsi="Roboto Lt" w:cs="Times New Roman"/>
          <w:b/>
          <w:bCs w:val="0"/>
          <w:sz w:val="22"/>
          <w:szCs w:val="22"/>
        </w:rPr>
        <w:t>03</w:t>
      </w:r>
      <w:r w:rsidRPr="00023034">
        <w:rPr>
          <w:rFonts w:ascii="Roboto Lt" w:hAnsi="Roboto Lt" w:cs="Times New Roman"/>
          <w:b/>
          <w:bCs w:val="0"/>
          <w:sz w:val="22"/>
          <w:szCs w:val="22"/>
        </w:rPr>
        <w:t xml:space="preserve"> –</w:t>
      </w:r>
      <w:r w:rsidRPr="00E06427">
        <w:rPr>
          <w:rFonts w:ascii="Roboto Lt" w:hAnsi="Roboto Lt" w:cs="Times New Roman"/>
          <w:sz w:val="22"/>
          <w:szCs w:val="22"/>
        </w:rPr>
        <w:t xml:space="preserve"> Pesquisa no Repositório CAPES</w:t>
      </w:r>
    </w:p>
    <w:p w14:paraId="343D32E7" w14:textId="5139F5C0" w:rsidR="001B7749" w:rsidRPr="00E06427" w:rsidRDefault="00747A82" w:rsidP="00C054BD">
      <w:pPr>
        <w:pStyle w:val="Texto"/>
        <w:spacing w:line="240" w:lineRule="auto"/>
        <w:ind w:firstLine="0"/>
        <w:jc w:val="center"/>
        <w:rPr>
          <w:rFonts w:ascii="Roboto Lt" w:hAnsi="Roboto Lt" w:cs="Times New Roman"/>
          <w:sz w:val="22"/>
        </w:rPr>
      </w:pPr>
      <w:r w:rsidRPr="00E06427">
        <w:rPr>
          <w:rFonts w:ascii="Roboto Lt" w:hAnsi="Roboto Lt" w:cs="Times New Roman"/>
          <w:sz w:val="22"/>
        </w:rPr>
        <w:object w:dxaOrig="12948" w:dyaOrig="3504" w14:anchorId="6C4A6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99.75pt" o:ole="">
            <v:imagedata r:id="rId10" o:title=""/>
          </v:shape>
          <o:OLEObject Type="Embed" ProgID="PBrush" ShapeID="_x0000_i1025" DrawAspect="Content" ObjectID="_1771832029" r:id="rId11"/>
        </w:object>
      </w:r>
    </w:p>
    <w:p w14:paraId="2AD68895" w14:textId="297CD4AC" w:rsidR="001B7749" w:rsidRPr="00E06427" w:rsidRDefault="001B7749" w:rsidP="00023034">
      <w:pPr>
        <w:pStyle w:val="WW-Legenda"/>
        <w:spacing w:before="0" w:after="0"/>
        <w:rPr>
          <w:rFonts w:ascii="Roboto Lt" w:hAnsi="Roboto Lt" w:cs="Times New Roman"/>
          <w:sz w:val="22"/>
          <w:szCs w:val="22"/>
        </w:rPr>
      </w:pPr>
      <w:r w:rsidRPr="00023034">
        <w:rPr>
          <w:rFonts w:ascii="Roboto Lt" w:hAnsi="Roboto Lt" w:cs="Times New Roman"/>
          <w:b/>
          <w:bCs w:val="0"/>
          <w:szCs w:val="20"/>
        </w:rPr>
        <w:t>Fonte:</w:t>
      </w:r>
      <w:r w:rsidRPr="00023034">
        <w:rPr>
          <w:rFonts w:ascii="Roboto Lt" w:hAnsi="Roboto Lt" w:cs="Times New Roman"/>
          <w:szCs w:val="20"/>
        </w:rPr>
        <w:t xml:space="preserve"> Autores da pesquisa (2023).</w:t>
      </w:r>
    </w:p>
    <w:p w14:paraId="7B865A7D" w14:textId="77777777" w:rsidR="001B7749" w:rsidRPr="00E06427" w:rsidRDefault="001B7749" w:rsidP="003F334F">
      <w:pPr>
        <w:pStyle w:val="Texto"/>
        <w:spacing w:line="240" w:lineRule="auto"/>
        <w:ind w:firstLine="709"/>
        <w:rPr>
          <w:rFonts w:ascii="Roboto Lt" w:hAnsi="Roboto Lt" w:cs="Times New Roman"/>
          <w:szCs w:val="24"/>
        </w:rPr>
      </w:pPr>
    </w:p>
    <w:p w14:paraId="262A443B" w14:textId="314ED510" w:rsidR="00B22560" w:rsidRPr="00E06427" w:rsidRDefault="00B22560" w:rsidP="00F13338">
      <w:pPr>
        <w:pStyle w:val="Texto"/>
        <w:ind w:firstLine="708"/>
        <w:rPr>
          <w:rFonts w:ascii="Roboto Lt" w:hAnsi="Roboto Lt" w:cs="Times New Roman"/>
          <w:szCs w:val="24"/>
        </w:rPr>
      </w:pPr>
      <w:r w:rsidRPr="00E06427">
        <w:rPr>
          <w:rFonts w:ascii="Roboto Lt" w:hAnsi="Roboto Lt" w:cs="Times New Roman"/>
          <w:szCs w:val="24"/>
        </w:rPr>
        <w:t xml:space="preserve">O segundo recorte selecionou os estudos </w:t>
      </w:r>
      <w:r w:rsidR="00E3762C" w:rsidRPr="00E06427">
        <w:rPr>
          <w:rFonts w:ascii="Roboto Lt" w:hAnsi="Roboto Lt" w:cs="Times New Roman"/>
          <w:szCs w:val="24"/>
        </w:rPr>
        <w:t xml:space="preserve">publicados entre </w:t>
      </w:r>
      <w:r w:rsidRPr="00E06427">
        <w:rPr>
          <w:rFonts w:ascii="Roboto Lt" w:hAnsi="Roboto Lt" w:cs="Times New Roman"/>
          <w:szCs w:val="24"/>
        </w:rPr>
        <w:t xml:space="preserve">2018 </w:t>
      </w:r>
      <w:proofErr w:type="gramStart"/>
      <w:r w:rsidRPr="00E06427">
        <w:rPr>
          <w:rFonts w:ascii="Roboto Lt" w:hAnsi="Roboto Lt" w:cs="Times New Roman"/>
          <w:szCs w:val="24"/>
        </w:rPr>
        <w:t>a</w:t>
      </w:r>
      <w:proofErr w:type="gramEnd"/>
      <w:r w:rsidRPr="00E06427">
        <w:rPr>
          <w:rFonts w:ascii="Roboto Lt" w:hAnsi="Roboto Lt" w:cs="Times New Roman"/>
          <w:szCs w:val="24"/>
        </w:rPr>
        <w:t xml:space="preserve"> 2022, e apontou para 2672 estudos, sendo 1860 dissertações e 812 teses. O terceiro recorte selecionou </w:t>
      </w:r>
      <w:r w:rsidR="006576E9" w:rsidRPr="00E06427">
        <w:rPr>
          <w:rFonts w:ascii="Roboto Lt" w:hAnsi="Roboto Lt" w:cs="Times New Roman"/>
          <w:szCs w:val="24"/>
        </w:rPr>
        <w:t xml:space="preserve">aqueles da </w:t>
      </w:r>
      <w:r w:rsidRPr="00E06427">
        <w:rPr>
          <w:rFonts w:ascii="Roboto Lt" w:hAnsi="Roboto Lt" w:cs="Times New Roman"/>
          <w:szCs w:val="24"/>
        </w:rPr>
        <w:t xml:space="preserve">grande área das Ciências Sociais Aplicadas, apontando 169 pesquisas distribuídas como 109 dissertações e 60 teses. Por último, foram </w:t>
      </w:r>
      <w:r w:rsidR="00300F6F" w:rsidRPr="00E06427">
        <w:rPr>
          <w:rFonts w:ascii="Roboto Lt" w:hAnsi="Roboto Lt" w:cs="Times New Roman"/>
          <w:szCs w:val="24"/>
        </w:rPr>
        <w:t xml:space="preserve">apontadas </w:t>
      </w:r>
      <w:r w:rsidRPr="00E06427">
        <w:rPr>
          <w:rFonts w:ascii="Roboto Lt" w:hAnsi="Roboto Lt" w:cs="Times New Roman"/>
          <w:szCs w:val="24"/>
        </w:rPr>
        <w:t>as pesquisas das áreas de Administração (01 estudo), Administração de Empresas (04 estudos) e Administração Pública (01 estudo), totalizando 04 dissertações e 02 teses. É relevante ressaltar que nenhuma destas pesquisas estuda as metodologias ativas na perspectiva da qualidade de cursos de administração</w:t>
      </w:r>
      <w:r w:rsidR="0097370C" w:rsidRPr="00E06427">
        <w:rPr>
          <w:rFonts w:ascii="Roboto Lt" w:hAnsi="Roboto Lt" w:cs="Times New Roman"/>
          <w:szCs w:val="24"/>
        </w:rPr>
        <w:t xml:space="preserve"> como mostrado na tabela abaixo.</w:t>
      </w:r>
    </w:p>
    <w:p w14:paraId="3E885517" w14:textId="77777777" w:rsidR="00B22560" w:rsidRPr="00E06427" w:rsidRDefault="00B22560" w:rsidP="00B22560">
      <w:pPr>
        <w:pStyle w:val="Texto"/>
        <w:spacing w:line="240" w:lineRule="auto"/>
        <w:ind w:firstLine="0"/>
        <w:rPr>
          <w:rFonts w:ascii="Roboto Lt" w:hAnsi="Roboto Lt" w:cs="Times New Roman"/>
          <w:szCs w:val="24"/>
        </w:rPr>
      </w:pPr>
    </w:p>
    <w:p w14:paraId="0F351C0A" w14:textId="6640EE61" w:rsidR="00B22560" w:rsidRDefault="00B22560" w:rsidP="00023034">
      <w:pPr>
        <w:pStyle w:val="WW-Legenda"/>
        <w:spacing w:before="0" w:after="0"/>
        <w:rPr>
          <w:rFonts w:ascii="Roboto Lt" w:hAnsi="Roboto Lt" w:cs="Times New Roman"/>
          <w:sz w:val="22"/>
          <w:szCs w:val="20"/>
        </w:rPr>
      </w:pPr>
      <w:r w:rsidRPr="00023034">
        <w:rPr>
          <w:rFonts w:ascii="Roboto Lt" w:hAnsi="Roboto Lt" w:cs="Times New Roman"/>
          <w:b/>
          <w:bCs w:val="0"/>
          <w:sz w:val="22"/>
          <w:szCs w:val="20"/>
        </w:rPr>
        <w:t>Tabela 01 –</w:t>
      </w:r>
      <w:r w:rsidRPr="00E06427">
        <w:rPr>
          <w:rFonts w:ascii="Roboto Lt" w:hAnsi="Roboto Lt" w:cs="Times New Roman"/>
          <w:sz w:val="22"/>
          <w:szCs w:val="20"/>
        </w:rPr>
        <w:t xml:space="preserve"> Teses e dissertações recentes que abordam o tema </w:t>
      </w:r>
      <w:r w:rsidR="00023034">
        <w:rPr>
          <w:rFonts w:ascii="Roboto Lt" w:hAnsi="Roboto Lt" w:cs="Times New Roman"/>
          <w:sz w:val="22"/>
          <w:szCs w:val="20"/>
        </w:rPr>
        <w:t>–</w:t>
      </w:r>
      <w:r w:rsidRPr="00E06427">
        <w:rPr>
          <w:rFonts w:ascii="Roboto Lt" w:hAnsi="Roboto Lt" w:cs="Times New Roman"/>
          <w:sz w:val="22"/>
          <w:szCs w:val="20"/>
        </w:rPr>
        <w:t xml:space="preserve"> CAPES</w:t>
      </w:r>
    </w:p>
    <w:p w14:paraId="16600FC4" w14:textId="77777777" w:rsidR="00023034" w:rsidRPr="00023034" w:rsidRDefault="00023034" w:rsidP="00023034">
      <w:pPr>
        <w:pStyle w:val="Texto"/>
      </w:pPr>
    </w:p>
    <w:tbl>
      <w:tblPr>
        <w:tblW w:w="9143" w:type="dxa"/>
        <w:tblInd w:w="108" w:type="dxa"/>
        <w:tblLayout w:type="fixed"/>
        <w:tblLook w:val="0000" w:firstRow="0" w:lastRow="0" w:firstColumn="0" w:lastColumn="0" w:noHBand="0" w:noVBand="0"/>
      </w:tblPr>
      <w:tblGrid>
        <w:gridCol w:w="1588"/>
        <w:gridCol w:w="5103"/>
        <w:gridCol w:w="1276"/>
        <w:gridCol w:w="1176"/>
      </w:tblGrid>
      <w:tr w:rsidR="003F334F" w:rsidRPr="00E06427" w14:paraId="2549AAB9" w14:textId="77777777" w:rsidTr="00023034">
        <w:trPr>
          <w:tblHeader/>
        </w:trPr>
        <w:tc>
          <w:tcPr>
            <w:tcW w:w="1588" w:type="dxa"/>
            <w:tcBorders>
              <w:top w:val="single" w:sz="8" w:space="0" w:color="auto"/>
              <w:bottom w:val="single" w:sz="8" w:space="0" w:color="auto"/>
              <w:right w:val="single" w:sz="4" w:space="0" w:color="auto"/>
            </w:tcBorders>
            <w:shd w:val="clear" w:color="auto" w:fill="auto"/>
          </w:tcPr>
          <w:p w14:paraId="03816675"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b/>
                <w:sz w:val="18"/>
                <w:szCs w:val="18"/>
              </w:rPr>
              <w:t>Autor (Ano)</w:t>
            </w:r>
          </w:p>
        </w:tc>
        <w:tc>
          <w:tcPr>
            <w:tcW w:w="5103" w:type="dxa"/>
            <w:tcBorders>
              <w:top w:val="single" w:sz="8" w:space="0" w:color="auto"/>
              <w:left w:val="single" w:sz="4" w:space="0" w:color="auto"/>
              <w:bottom w:val="single" w:sz="8" w:space="0" w:color="auto"/>
              <w:right w:val="single" w:sz="4" w:space="0" w:color="auto"/>
            </w:tcBorders>
            <w:shd w:val="clear" w:color="auto" w:fill="auto"/>
          </w:tcPr>
          <w:p w14:paraId="16443A2C"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b/>
                <w:sz w:val="18"/>
                <w:szCs w:val="18"/>
              </w:rPr>
              <w:t>Título</w:t>
            </w:r>
          </w:p>
        </w:tc>
        <w:tc>
          <w:tcPr>
            <w:tcW w:w="1276" w:type="dxa"/>
            <w:tcBorders>
              <w:top w:val="single" w:sz="8" w:space="0" w:color="auto"/>
              <w:left w:val="single" w:sz="4" w:space="0" w:color="auto"/>
              <w:bottom w:val="single" w:sz="8" w:space="0" w:color="auto"/>
              <w:right w:val="single" w:sz="4" w:space="0" w:color="auto"/>
            </w:tcBorders>
            <w:shd w:val="clear" w:color="auto" w:fill="auto"/>
          </w:tcPr>
          <w:p w14:paraId="52786F24"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b/>
                <w:sz w:val="18"/>
                <w:szCs w:val="18"/>
              </w:rPr>
              <w:t>Instituição</w:t>
            </w:r>
          </w:p>
        </w:tc>
        <w:tc>
          <w:tcPr>
            <w:tcW w:w="1176" w:type="dxa"/>
            <w:tcBorders>
              <w:top w:val="single" w:sz="8" w:space="0" w:color="auto"/>
              <w:left w:val="single" w:sz="4" w:space="0" w:color="auto"/>
              <w:bottom w:val="single" w:sz="8" w:space="0" w:color="auto"/>
            </w:tcBorders>
            <w:shd w:val="clear" w:color="auto" w:fill="auto"/>
          </w:tcPr>
          <w:p w14:paraId="714CAB04"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b/>
                <w:sz w:val="18"/>
                <w:szCs w:val="18"/>
              </w:rPr>
              <w:t>Tipo</w:t>
            </w:r>
          </w:p>
        </w:tc>
      </w:tr>
      <w:tr w:rsidR="003F334F" w:rsidRPr="00E06427" w14:paraId="1CBE632E" w14:textId="77777777" w:rsidTr="00023034">
        <w:tc>
          <w:tcPr>
            <w:tcW w:w="1588" w:type="dxa"/>
            <w:tcBorders>
              <w:top w:val="single" w:sz="8" w:space="0" w:color="auto"/>
              <w:bottom w:val="single" w:sz="4" w:space="0" w:color="auto"/>
              <w:right w:val="single" w:sz="4" w:space="0" w:color="auto"/>
            </w:tcBorders>
            <w:shd w:val="clear" w:color="auto" w:fill="FFFFFF"/>
            <w:vAlign w:val="center"/>
          </w:tcPr>
          <w:p w14:paraId="16272ED6"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{"citationItems":[{"id":"ITEM-1","itemData":{"DOI":"10.11606/T.12.2018.tde-20072018-100047","abstract":"Este trabalho se baseia na análise de 125 Laudos de Avaliação emitidos no contexto de Ofertas Públicas de Aquisição (OPAs) no Brasil realizadas no período entre 2006 e 2017. As OPAs movimentaram dezenas de bilhões de Reais, envolvendo companhias avaliadas, no total, em mais de R$ 300 bilhões. Os objetivos principais são três: (i) mapear as metodologias de avaliação utilizadas, (ii) identificar erros cometidos, comparando as metodologias utilizadas com o referencial teórico e (iii) medir vieses de posição na preparação das avaliações. Os resultados indicam (i) diversidade de metodologias aplicadas, o que pode gerar inconsistência e viés nos resultados, (ii) existência de erros, inclusive relacionados a conceitos básicos de avaliação de empresas e (iii) viés de posição por parte dos avaliadores, especialmente empresas independentes de consultoria, que tendem a emitir resultados consistentes com os interesses dos contratantes, potencialmente causando expropriação dos minoritários. Tais resultados mostram a necessidade de aumentar tanto a qualidade técnica dos avaliadores como o nível de controle sobre possíveis conflitos de agência. Possíveis mitigadores incluem a aplicação de legislação e regulação mais rigorosas, com maior controle do processo de avaliação pelos minoritários, e exigências relacionadas à qualificação técnica dos avaliadores, às metodologias aplicadas e à responsabilização do avaliador.","author":[{"dropping-particle":"","family":"Noda","given":"Rafael Falcão","non-dropping-particle":"","parse-names":false,"suffix":""}],"id":"ITEM-1","issued":{"date-parts":[["2018","8","2"]]},"publisher":"Universidade de São Paulo","publisher-place":"São Paulo","title":"Laudos de avaliação: metodologias utilizadas, erros e vieses","type":"thesis"},"uris":["http://www.mendeley.com/documents/?uuid=522cb00e-3c7d-474d-9285-924800677c33"]}],"mendeley":{"formattedCitation":"(NODA, 2018)","plainTextFormattedCitation":"(NODA, 2018)","previouslyFormattedCitation":"(NODA, 2018)"},"properties":{"noteIndex":0},"schema":"https://github.com/citation-style-language/schema/raw/master/csl-citation.json"}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(NODA, 2018)</w:t>
            </w:r>
            <w:r w:rsidRPr="00E06427">
              <w:rPr>
                <w:rFonts w:ascii="Roboto Lt" w:hAnsi="Roboto Lt" w:cs="Times New Roman"/>
                <w:sz w:val="18"/>
                <w:szCs w:val="18"/>
              </w:rPr>
              <w:fldChar w:fldCharType="end"/>
            </w:r>
          </w:p>
        </w:tc>
        <w:tc>
          <w:tcPr>
            <w:tcW w:w="5103" w:type="dxa"/>
            <w:tcBorders>
              <w:top w:val="single" w:sz="8" w:space="0" w:color="auto"/>
              <w:left w:val="single" w:sz="4" w:space="0" w:color="auto"/>
              <w:bottom w:val="single" w:sz="4" w:space="0" w:color="auto"/>
              <w:right w:val="single" w:sz="4" w:space="0" w:color="auto"/>
            </w:tcBorders>
            <w:shd w:val="clear" w:color="auto" w:fill="FFFFFF"/>
            <w:vAlign w:val="center"/>
          </w:tcPr>
          <w:p w14:paraId="783C80FC" w14:textId="77777777" w:rsidR="00B22560" w:rsidRPr="00E06427" w:rsidRDefault="00B22560" w:rsidP="00023034">
            <w:pPr>
              <w:pStyle w:val="Texto"/>
              <w:spacing w:line="240" w:lineRule="auto"/>
              <w:ind w:firstLine="0"/>
              <w:jc w:val="left"/>
              <w:rPr>
                <w:rFonts w:ascii="Roboto Lt" w:hAnsi="Roboto Lt"/>
                <w:sz w:val="18"/>
                <w:szCs w:val="18"/>
              </w:rPr>
            </w:pPr>
            <w:r w:rsidRPr="00E06427">
              <w:rPr>
                <w:rFonts w:ascii="Roboto Lt" w:hAnsi="Roboto Lt" w:cs="Times New Roman"/>
                <w:sz w:val="18"/>
                <w:szCs w:val="18"/>
              </w:rPr>
              <w:t>Laudos de avaliação: metodologias utilizadas, erros e vieses</w:t>
            </w:r>
          </w:p>
        </w:tc>
        <w:tc>
          <w:tcPr>
            <w:tcW w:w="1276" w:type="dxa"/>
            <w:tcBorders>
              <w:top w:val="single" w:sz="8" w:space="0" w:color="auto"/>
              <w:left w:val="single" w:sz="4" w:space="0" w:color="auto"/>
              <w:bottom w:val="single" w:sz="4" w:space="0" w:color="auto"/>
              <w:right w:val="single" w:sz="4" w:space="0" w:color="auto"/>
            </w:tcBorders>
            <w:shd w:val="clear" w:color="auto" w:fill="FFFFFF"/>
            <w:vAlign w:val="center"/>
          </w:tcPr>
          <w:p w14:paraId="442D3B0F"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USP</w:t>
            </w:r>
          </w:p>
        </w:tc>
        <w:tc>
          <w:tcPr>
            <w:tcW w:w="1176" w:type="dxa"/>
            <w:tcBorders>
              <w:top w:val="single" w:sz="8" w:space="0" w:color="auto"/>
              <w:left w:val="single" w:sz="4" w:space="0" w:color="auto"/>
              <w:bottom w:val="single" w:sz="4" w:space="0" w:color="auto"/>
            </w:tcBorders>
            <w:shd w:val="clear" w:color="auto" w:fill="FFFFFF"/>
            <w:vAlign w:val="center"/>
          </w:tcPr>
          <w:p w14:paraId="163F7D80"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Tese</w:t>
            </w:r>
          </w:p>
        </w:tc>
      </w:tr>
      <w:tr w:rsidR="003F334F" w:rsidRPr="00E06427" w14:paraId="0189613C" w14:textId="77777777" w:rsidTr="00623281">
        <w:tc>
          <w:tcPr>
            <w:tcW w:w="1588" w:type="dxa"/>
            <w:tcBorders>
              <w:top w:val="single" w:sz="4" w:space="0" w:color="auto"/>
              <w:bottom w:val="single" w:sz="4" w:space="0" w:color="auto"/>
              <w:right w:val="single" w:sz="4" w:space="0" w:color="auto"/>
            </w:tcBorders>
            <w:shd w:val="clear" w:color="auto" w:fill="FFFFFF"/>
            <w:vAlign w:val="center"/>
          </w:tcPr>
          <w:p w14:paraId="4EEFA0B8"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{"citationItems":[{"id":"ITEM-1","itemData":{"DOI":"10.11606/D.12.2019.tde-17032020-170550","abstract":"Em 2010, com o fim da exclusividade das bandeiras de cartão de crédito, o mercado de meios de pagamento eletrônicos sofreu mudanças que favoreceram a competição no setor. Essa instabilidade fez com que muitas empresas buscassem soluções para manter o market share, incluindo a mudança de gestão baseada em Metodologias Tradicionais para metodologias mais ágeis. O propósito dessa dissertação é analisar como uma empresa de grande porte do setor de meios de pagamento eletrônicos no Brasil é afetada pelas barreiras identificadas na implementação de Metodologia Ágil . Em relação aos procedimentos metodológicos, foi elaborada uma triangulação de métodos quantitativos e qualitativos. Na fase qualitativa foi desenvolvido um estudo de caso único com base em entrevistas semiestruturadas com diferentes representantes dentro da empresa. Na segunda fase foi realizada uma survey junto aos demais funcionários e os dados coletados foram posteriormente analisados e comparados com as informações obtidas através das entrevistas. Os resultados obtidos apontaram a cultura organizacional burocrática, a falta de participação dos clientes e o estilo de gestão controlador, como as maiores barreiras enfrentadas pela empresa na adoção de Metodologia Ágil . Também foi possível apontar esforços da empresa no sentido de contornar tais barreiras como, por exemplo, a criação de comunidades ágeis para diminuir a distância entre as áreas negociais e as áreas tecnológicas buscando desenvolver soluções conjuntas e efetivas, que realmente atendam à demanda do mercado.","author":[{"dropping-particle":"","family":"Franzolin","given":"Camila Ticiana Silva","non-dropping-particle":"","parse-names":false,"suffix":""}],"id":"ITEM-1","issued":{"date-parts":[["2019","12","11"]]},"publisher":"Universidade de São Paulo","publisher-place":"São Paulo","title":"Barreiras na implementação de metodologias ágeis: estudo de caso em uma empresa de meios de pagamento","type":"thesis"},"uris":["http://www.mendeley.com/documents/?uuid=5f9a183c-8200-4721-9b7f-8c75d7b0b4f1"]}],"mendeley":{"formattedCitation":"(FRANZOLIN, 2019)","plainTextFormattedCitation":"(FRANZOLIN, 2019)","previouslyFormattedCitation":"(FRANZOLIN, 2019)"},"properties":{"noteIndex":0},"schema":"https://github.com/citation-style-language/schema/raw/master/csl-citation.json"}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(FRANZOLIN, 2019)</w:t>
            </w:r>
            <w:r w:rsidRPr="00E06427">
              <w:rPr>
                <w:rFonts w:ascii="Roboto Lt" w:hAnsi="Roboto Lt" w:cs="Times New Roman"/>
                <w:sz w:val="18"/>
                <w:szCs w:val="18"/>
              </w:rPr>
              <w:fldChar w:fldCharType="end"/>
            </w:r>
          </w:p>
        </w:tc>
        <w:tc>
          <w:tcPr>
            <w:tcW w:w="5103" w:type="dxa"/>
            <w:tcBorders>
              <w:top w:val="single" w:sz="4" w:space="0" w:color="auto"/>
              <w:left w:val="single" w:sz="4" w:space="0" w:color="auto"/>
              <w:bottom w:val="single" w:sz="4" w:space="0" w:color="auto"/>
              <w:right w:val="single" w:sz="4" w:space="0" w:color="auto"/>
            </w:tcBorders>
            <w:shd w:val="clear" w:color="auto" w:fill="FFFFFF"/>
            <w:vAlign w:val="center"/>
          </w:tcPr>
          <w:p w14:paraId="59F597D9" w14:textId="77777777" w:rsidR="00B22560" w:rsidRPr="00E06427" w:rsidRDefault="00B22560" w:rsidP="00023034">
            <w:pPr>
              <w:pStyle w:val="Texto"/>
              <w:spacing w:line="240" w:lineRule="auto"/>
              <w:ind w:firstLine="0"/>
              <w:jc w:val="left"/>
              <w:rPr>
                <w:rFonts w:ascii="Roboto Lt" w:hAnsi="Roboto Lt"/>
                <w:sz w:val="18"/>
                <w:szCs w:val="18"/>
              </w:rPr>
            </w:pPr>
            <w:r w:rsidRPr="00E06427">
              <w:rPr>
                <w:rFonts w:ascii="Roboto Lt" w:hAnsi="Roboto Lt" w:cs="Times New Roman"/>
                <w:sz w:val="18"/>
                <w:szCs w:val="18"/>
              </w:rPr>
              <w:t>Barreiras na implementação de Metodologias Ágeis: estudo de caso em empresas de meios de pagamento.</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DCF33FA"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USP</w:t>
            </w:r>
          </w:p>
        </w:tc>
        <w:tc>
          <w:tcPr>
            <w:tcW w:w="1176" w:type="dxa"/>
            <w:tcBorders>
              <w:top w:val="single" w:sz="4" w:space="0" w:color="auto"/>
              <w:left w:val="single" w:sz="4" w:space="0" w:color="auto"/>
              <w:bottom w:val="single" w:sz="4" w:space="0" w:color="auto"/>
            </w:tcBorders>
            <w:shd w:val="clear" w:color="auto" w:fill="FFFFFF"/>
            <w:vAlign w:val="center"/>
          </w:tcPr>
          <w:p w14:paraId="5109D6FC"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Dissertação</w:t>
            </w:r>
          </w:p>
        </w:tc>
      </w:tr>
      <w:tr w:rsidR="003F334F" w:rsidRPr="00E06427" w14:paraId="174D2494" w14:textId="77777777" w:rsidTr="00623281">
        <w:tc>
          <w:tcPr>
            <w:tcW w:w="1588" w:type="dxa"/>
            <w:tcBorders>
              <w:top w:val="single" w:sz="4" w:space="0" w:color="auto"/>
              <w:bottom w:val="single" w:sz="4" w:space="0" w:color="auto"/>
              <w:right w:val="single" w:sz="4" w:space="0" w:color="auto"/>
            </w:tcBorders>
            <w:shd w:val="clear" w:color="auto" w:fill="FFFFFF"/>
            <w:vAlign w:val="center"/>
          </w:tcPr>
          <w:p w14:paraId="0E63EC8D"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{"citationItems":[{"id":"ITEM-1","itemData":{"abstract":"O presente estudo tem como objetivo compreender a natureza de duas metodologias de avaliação que se relacionam através de diferentes campos do conhecimento: o de utilidade social e o de impacto social. Cada qual contribuindo com conceitos, noções e uma amplitude de técnicas de aplicação. Para esta proposta, buscamos analisar a metodologia de avaliação da Mandala de autoavaliação reflexiva da sustentabilidade a partir da utilidade social, assim como a metodologia do Guia de avaliação de impacto socioambiental para utilização em negócios e investimentos de impacto a partir da reflexão do que aproxima e diferencia as metodologias de avaliação. Nesse sentido, os objetivos do trabalho se apresentam por i) situar o contexto de origem e desenvolvimento do tema de avaliação de utilidade social e de impacto social; (ii) realizar a experiência de uso das metodologias de avaliação e finalmente (iii) analisar os pontos comuns e as distinções entre as duas metodologias de avaliação. No contexto da aplicação, integrou-se a experiência de uso das metodologias à atuação de um Banco Comunitário de Desenvolvimento (BCD) Matarandiba – Ilhamar, no intuito de apoiar-se em uma experiência socioeconômica que busca fortalecer a economia local. Este trabalho de pesquisa se caracteriza como qualitativa, do tipo interpretativa, que utiliza análise de conteúdo como técnica de análise dos dados. Sendo assim, o estudo realizado aponta para a compreensão de bases distintas das duas noções através das metodologias que se relacionam por utilidade social e por impacto social, as quais expressam diferentes vertentes em termos de legitimidade buscada, a escala de efeitos analisados e os métodos empregados. Ao confrontar os principais pontos de referência de ambas metodologias é possível estabelecer distinções significativas quanto a preferência por procedimentos participativos e negociados com apropriação e adaptação de critérios e indicadores para fins sociais imbricados às questões de utilidade social, enquanto que por outra vertente existe procedimentos de uma avaliação sumativa sujeitos ao conceito de impacto social os quais estabelecem uma base de compreensão baseada em verificação de processos de intervenção sobre uma visão objetiva para mensuração de impacto.","author":[{"dropping-particle":"de","family":"Abreu","given":"Camila Costa Campos","non-dropping-particle":"","parse-names":false,"suffix":""}],"id":"ITEM-1","issued":{"date-parts":[["2020"]]},"publisher":"Universidade Federal da Bahia","title":"Reflexões sobre utilidade social e impacto social em metodologias de avaliação à luz da experiência de Matarandiba","type":"thesis"},"uris":["http://www.mendeley.com/documents/?uuid=0cf840e1-5ab3-4596-91be-fab8fe3e8240"]}],"mendeley":{"formattedCitation":"(ABREU, 2020)","plainTextFormattedCitation":"(ABREU, 2020)","previouslyFormattedCitation":"(ABREU, 2020)"},"properties":{"noteIndex":0},"schema":"https://github.com/citation-style-language/schema/raw/master/csl-citation.json"}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(ABREU, 2020)</w:t>
            </w:r>
            <w:r w:rsidRPr="00E06427">
              <w:rPr>
                <w:rFonts w:ascii="Roboto Lt" w:hAnsi="Roboto Lt" w:cs="Times New Roman"/>
                <w:sz w:val="18"/>
                <w:szCs w:val="18"/>
              </w:rPr>
              <w:fldChar w:fldCharType="end"/>
            </w:r>
          </w:p>
        </w:tc>
        <w:tc>
          <w:tcPr>
            <w:tcW w:w="5103" w:type="dxa"/>
            <w:tcBorders>
              <w:top w:val="single" w:sz="4" w:space="0" w:color="auto"/>
              <w:left w:val="single" w:sz="4" w:space="0" w:color="auto"/>
              <w:bottom w:val="single" w:sz="4" w:space="0" w:color="auto"/>
              <w:right w:val="single" w:sz="4" w:space="0" w:color="auto"/>
            </w:tcBorders>
            <w:shd w:val="clear" w:color="auto" w:fill="FFFFFF"/>
            <w:vAlign w:val="center"/>
          </w:tcPr>
          <w:p w14:paraId="2A76A814" w14:textId="77777777" w:rsidR="00B22560" w:rsidRPr="00E06427" w:rsidRDefault="00B22560" w:rsidP="00023034">
            <w:pPr>
              <w:pStyle w:val="Texto"/>
              <w:spacing w:line="240" w:lineRule="auto"/>
              <w:ind w:firstLine="0"/>
              <w:jc w:val="left"/>
              <w:rPr>
                <w:rFonts w:ascii="Roboto Lt" w:hAnsi="Roboto Lt" w:cs="Times New Roman"/>
                <w:sz w:val="18"/>
                <w:szCs w:val="18"/>
              </w:rPr>
            </w:pPr>
            <w:r w:rsidRPr="00E06427">
              <w:rPr>
                <w:rFonts w:ascii="Roboto Lt" w:hAnsi="Roboto Lt" w:cs="Times New Roman"/>
                <w:sz w:val="18"/>
                <w:szCs w:val="18"/>
              </w:rPr>
              <w:t xml:space="preserve">Utilização social e impacto social: Reflexões sobre o uso de metodologias de avaliação à luz da experiência de </w:t>
            </w:r>
            <w:proofErr w:type="spellStart"/>
            <w:r w:rsidRPr="00E06427">
              <w:rPr>
                <w:rFonts w:ascii="Roboto Lt" w:hAnsi="Roboto Lt" w:cs="Times New Roman"/>
                <w:sz w:val="18"/>
                <w:szCs w:val="18"/>
              </w:rPr>
              <w:t>Matarandiba</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51AD7DA"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UFBA</w:t>
            </w:r>
          </w:p>
        </w:tc>
        <w:tc>
          <w:tcPr>
            <w:tcW w:w="1176" w:type="dxa"/>
            <w:tcBorders>
              <w:top w:val="single" w:sz="4" w:space="0" w:color="auto"/>
              <w:left w:val="single" w:sz="4" w:space="0" w:color="auto"/>
              <w:bottom w:val="single" w:sz="4" w:space="0" w:color="auto"/>
            </w:tcBorders>
            <w:shd w:val="clear" w:color="auto" w:fill="FFFFFF"/>
            <w:vAlign w:val="center"/>
          </w:tcPr>
          <w:p w14:paraId="11D79A75"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Dissertação</w:t>
            </w:r>
          </w:p>
        </w:tc>
      </w:tr>
      <w:tr w:rsidR="003F334F" w:rsidRPr="00E06427" w14:paraId="1B0D7D8E" w14:textId="77777777" w:rsidTr="00623281">
        <w:tc>
          <w:tcPr>
            <w:tcW w:w="1588" w:type="dxa"/>
            <w:tcBorders>
              <w:top w:val="single" w:sz="4" w:space="0" w:color="auto"/>
              <w:bottom w:val="single" w:sz="4" w:space="0" w:color="auto"/>
              <w:right w:val="single" w:sz="4" w:space="0" w:color="auto"/>
            </w:tcBorders>
            <w:shd w:val="clear" w:color="auto" w:fill="FFFFFF"/>
            <w:vAlign w:val="center"/>
          </w:tcPr>
          <w:p w14:paraId="05810817"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{"citationItems":[{"id":"ITEM-1","itemData":{"DOI":"10.11606/D.12.2020.tde-10052021-203512","abstract":"O objetivo do presente estudo é identificar as metodologias de mensuração de desempenho das organizações mais pesquisados pela comunidade científica e mais utilizados pelos stakeholders do ecossistema brasileiro de startups, empreendedorismo, inovação e tecnologia e apontar se existe semelhança ou diferença entre os sistemas estudados. Para isso, foi realizada uma pesquisa bibliométrica descritiva nas bases de dados científicos Web of Science e uma coleta de dados através de formulário survey com empresas do ecossistema brasileiro de startups. Os dados mostram que as metodologias mais pesquisadas são, de fato, as mais utilizadas pelas empresas com exceção de uma metodologia, objectives and key results. Espera-se que os dados encontrados contribuam de forma prática para a tomada de decisão de gestores no que tange a escolha de metodologias de gestão de desempenho (Business Performance Measurement Systems - BPM). E de forma científica, a pesquisa se propõe a fornecer um modelo de classificação de sistemas BPM pautado em Ferramentas, Funções e Processos (Bourne et al, 2007), além de evidenciar uma janela de oportunidade para novas pesquisas em uma metodologia pouco estudada. O estudo se diferencia por conectar dados científicos e dados coletados nas empresas estabelecendo uma relação entre teoria e prática além de configurar uma das primeiras pesquisas científicas sobre a metodologia de objectives and key results - OKR e, possivelmente, um dos primeiros estudos acadêmicos a estabelecer análises entre OKR e Balanced Scorecard e Management by Objectives. Ao final, apresenta duas contribuições sendo: um modelo de classificação de metodologias de mensuração de desempenho com base científica e prática, e uma tabela de análise comparativa entre as principais características das três metodologias segundo autores referência para os três sistemas.","author":[{"dropping-particle":"","family":"Fazoli","given":"Daniel Augusto","non-dropping-particle":"","parse-names":false,"suffix":""}],"id":"ITEM-1","issued":{"date-parts":[["2020","11","11"]]},"publisher":"Universidade de São Paulo","publisher-place":"São Paulo","title":"Metodologias de mensuração de performance: evolução e análise comparativa de métodos selecionados","type":"thesis"},"uris":["http://www.mendeley.com/documents/?uuid=043029b4-18c3-45da-8a6a-beaa8ed85d92"]}],"mendeley":{"formattedCitation":"(FAZOLI, 2020)","plainTextFormattedCitation":"(FAZOLI, 2020)","previouslyFormattedCitation":"(FAZOLI, 2020)"},"properties":{"noteIndex":0},"schema":"https://github.com/citation-style-language/schema/raw/master/csl-citation.json"}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(FAZOLI, 2020)</w:t>
            </w:r>
            <w:r w:rsidRPr="00E06427">
              <w:rPr>
                <w:rFonts w:ascii="Roboto Lt" w:hAnsi="Roboto Lt" w:cs="Times New Roman"/>
                <w:sz w:val="18"/>
                <w:szCs w:val="18"/>
              </w:rPr>
              <w:fldChar w:fldCharType="end"/>
            </w:r>
          </w:p>
        </w:tc>
        <w:tc>
          <w:tcPr>
            <w:tcW w:w="5103" w:type="dxa"/>
            <w:tcBorders>
              <w:top w:val="single" w:sz="4" w:space="0" w:color="auto"/>
              <w:left w:val="single" w:sz="4" w:space="0" w:color="auto"/>
              <w:bottom w:val="single" w:sz="4" w:space="0" w:color="auto"/>
              <w:right w:val="single" w:sz="4" w:space="0" w:color="auto"/>
            </w:tcBorders>
            <w:shd w:val="clear" w:color="auto" w:fill="FFFFFF"/>
            <w:vAlign w:val="center"/>
          </w:tcPr>
          <w:p w14:paraId="42200CAC" w14:textId="77777777" w:rsidR="00B22560" w:rsidRPr="00E06427" w:rsidRDefault="00B22560" w:rsidP="00023034">
            <w:pPr>
              <w:pStyle w:val="Texto"/>
              <w:spacing w:line="240" w:lineRule="auto"/>
              <w:ind w:firstLine="0"/>
              <w:jc w:val="left"/>
              <w:rPr>
                <w:rFonts w:ascii="Roboto Lt" w:hAnsi="Roboto Lt" w:cs="Times New Roman"/>
                <w:sz w:val="18"/>
                <w:szCs w:val="18"/>
              </w:rPr>
            </w:pPr>
            <w:r w:rsidRPr="00E06427">
              <w:rPr>
                <w:rFonts w:ascii="Roboto Lt" w:hAnsi="Roboto Lt" w:cs="Times New Roman"/>
                <w:sz w:val="18"/>
                <w:szCs w:val="18"/>
              </w:rPr>
              <w:t>Metodologias de mensuração de performance: Evolução e análise comparativa de métodos selecionados.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292E80E"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USP</w:t>
            </w:r>
          </w:p>
        </w:tc>
        <w:tc>
          <w:tcPr>
            <w:tcW w:w="1176" w:type="dxa"/>
            <w:tcBorders>
              <w:top w:val="single" w:sz="4" w:space="0" w:color="auto"/>
              <w:left w:val="single" w:sz="4" w:space="0" w:color="auto"/>
              <w:bottom w:val="single" w:sz="4" w:space="0" w:color="auto"/>
            </w:tcBorders>
            <w:shd w:val="clear" w:color="auto" w:fill="FFFFFF"/>
            <w:vAlign w:val="center"/>
          </w:tcPr>
          <w:p w14:paraId="38DD40D8"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Dissertação</w:t>
            </w:r>
          </w:p>
        </w:tc>
      </w:tr>
      <w:tr w:rsidR="003F334F" w:rsidRPr="00E06427" w14:paraId="5C1FEF5A" w14:textId="77777777" w:rsidTr="00023034">
        <w:tc>
          <w:tcPr>
            <w:tcW w:w="1588" w:type="dxa"/>
            <w:tcBorders>
              <w:top w:val="single" w:sz="4" w:space="0" w:color="auto"/>
              <w:bottom w:val="single" w:sz="4" w:space="0" w:color="auto"/>
              <w:right w:val="single" w:sz="4" w:space="0" w:color="auto"/>
            </w:tcBorders>
            <w:shd w:val="clear" w:color="auto" w:fill="FFFFFF"/>
            <w:vAlign w:val="center"/>
          </w:tcPr>
          <w:p w14:paraId="6F967751" w14:textId="11E7B94A"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{"citationItems":[{"id":"ITEM-1","itemData":{"abstract":"As tecnologias que sustentam a quarta revolução industrial estão causando um grande impacto nos negócios. Com a inteligência artificial, os papéis e as responsabilidades nas organizações estão sendo redefinidos. Com isso, as habilidades comportamentais ou soft skills tornaram-se cruciais nas organizações. Por um lado, as empresas demandam profissionais com habilidades comportamentais, além das técnicas. Por outro lado, as escolas de negócios são desafiadas a encontrar os métodos mais adequados para criar ambientes de prática e estimular o desenvolvimento dessas habilidades e preparar os profissionais para atuar nas organizações. A partir disso, este estudo teve como objetivo analisar as contribuições de um modelo de aprendizado híbrido – tendência global na educação – com metodologias ativas, especificamente, jogo de empresas (JE), para desenvolver soft skills na educação executiva e gerencial. Para isso, fez-se um quase-experimento em blocos cruzados por meio do qual foi possível verificar: (i) o alinhamento entre as soft skills consideradas as mais importantes para o mercado e as soft skills desenvolvidas no JE; (ii) a relação entre o perfil dos participantes e o desenvolvimento de soft skills no JE; (iii) as diferenças entre as soft skills desenvolvidas online e presencialmente e a relação delas com a modalidade. Por meio de métodos mistos, este estudo combinou a modelagem de equações estruturais com análise fatorial, análise de trajetória, regressões e análises de variância com os resultados de uma análise categorial-temática. Coletaram-se dados antes, durante e ao final do JE com estudantes de uma escola de negócios brasileira e de uma universidade pública espanhola e, neles, os participantes por meio de auto relato e avaliação por pares indicaram as soft skills desenvolvidas no JE. Os resultados indicaram que as soft skills desenvolvidas no JE estão alinhadas com as soft skills consideradas as mais importantes para o mercado; evidenciou que o JE é ainda mais eficaz para desenvolver habilidades com participantes que possuem menos experiência laboral e teve o seu potencial reforçado como estratégia de aprendizagem para desenvolver habilidades comportamentais em executivos, gerentes e educandos em gestão e negócios. A principal contribuição desse estudo foi que independentemente da modalidade, online ou presencial, os participantes desenvolveram em níveis elevados todas as soft skills analisadas. O estudo sugeriu recomendações aos profissionais, pesq…","author":[{"dropping-particle":"da","family":"Silva","given":"Sheila Serafim","non-dropping-particle":"","parse-names":false,"suffix":""}],"id":"ITEM-1","issued":{"date-parts":[["2020"]]},"publisher":"Universidade de São Paulo","title":"Blended learning com jogos de empresas para desenvolver soft skills na educação executiva e gerencial: um quase-experimento","type":"thesis"},"uris":["http://www.mendeley.com/documents/?uuid=7216a5a1-c461-411a-8518-02f20d1a0021"]}],"mendeley":{"formattedCitation":"(SILVA, S. S. Da, 2020)","plainTextFormattedCitation":"(SILVA, S. S. Da, 2020)","previouslyFormattedCitation":"(SILVA, S. S. Da, 2020)"},"properties":{"noteIndex":0},"schema":"https://github.com/citation-style-language/schema/raw/master/csl-citation.json"}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(SILVA, S. S., 2020)</w:t>
            </w:r>
            <w:r w:rsidRPr="00E06427">
              <w:rPr>
                <w:rFonts w:ascii="Roboto Lt" w:hAnsi="Roboto Lt" w:cs="Times New Roman"/>
                <w:sz w:val="18"/>
                <w:szCs w:val="18"/>
              </w:rPr>
              <w:fldChar w:fldCharType="end"/>
            </w:r>
          </w:p>
        </w:tc>
        <w:tc>
          <w:tcPr>
            <w:tcW w:w="5103" w:type="dxa"/>
            <w:tcBorders>
              <w:top w:val="single" w:sz="4" w:space="0" w:color="auto"/>
              <w:left w:val="single" w:sz="4" w:space="0" w:color="auto"/>
              <w:bottom w:val="single" w:sz="4" w:space="0" w:color="auto"/>
              <w:right w:val="single" w:sz="4" w:space="0" w:color="auto"/>
            </w:tcBorders>
            <w:shd w:val="clear" w:color="auto" w:fill="FFFFFF"/>
            <w:vAlign w:val="center"/>
          </w:tcPr>
          <w:p w14:paraId="7A6C4A3F" w14:textId="77777777" w:rsidR="00B22560" w:rsidRPr="00E06427" w:rsidRDefault="00B22560" w:rsidP="00023034">
            <w:pPr>
              <w:pStyle w:val="Texto"/>
              <w:spacing w:line="240" w:lineRule="auto"/>
              <w:ind w:firstLine="0"/>
              <w:jc w:val="left"/>
              <w:rPr>
                <w:rFonts w:ascii="Roboto Lt" w:hAnsi="Roboto Lt"/>
                <w:sz w:val="18"/>
                <w:szCs w:val="18"/>
              </w:rPr>
            </w:pPr>
            <w:proofErr w:type="spellStart"/>
            <w:r w:rsidRPr="00E06427">
              <w:rPr>
                <w:rFonts w:ascii="Roboto Lt" w:hAnsi="Roboto Lt" w:cs="Times New Roman"/>
                <w:i/>
                <w:iCs/>
                <w:sz w:val="18"/>
                <w:szCs w:val="18"/>
              </w:rPr>
              <w:t>Blended</w:t>
            </w:r>
            <w:proofErr w:type="spellEnd"/>
            <w:r w:rsidRPr="00E06427">
              <w:rPr>
                <w:rFonts w:ascii="Roboto Lt" w:hAnsi="Roboto Lt" w:cs="Times New Roman"/>
                <w:i/>
                <w:iCs/>
                <w:sz w:val="18"/>
                <w:szCs w:val="18"/>
              </w:rPr>
              <w:t xml:space="preserve"> learning</w:t>
            </w:r>
            <w:r w:rsidRPr="00E06427">
              <w:rPr>
                <w:rFonts w:ascii="Roboto Lt" w:hAnsi="Roboto Lt" w:cs="Times New Roman"/>
                <w:sz w:val="18"/>
                <w:szCs w:val="18"/>
              </w:rPr>
              <w:t xml:space="preserve"> como jogos de empresas para desenvolver </w:t>
            </w:r>
            <w:r w:rsidRPr="00E06427">
              <w:rPr>
                <w:rFonts w:ascii="Roboto Lt" w:hAnsi="Roboto Lt" w:cs="Times New Roman"/>
                <w:i/>
                <w:iCs/>
                <w:sz w:val="18"/>
                <w:szCs w:val="18"/>
              </w:rPr>
              <w:t xml:space="preserve">soft </w:t>
            </w:r>
            <w:proofErr w:type="spellStart"/>
            <w:r w:rsidRPr="00E06427">
              <w:rPr>
                <w:rFonts w:ascii="Roboto Lt" w:hAnsi="Roboto Lt" w:cs="Times New Roman"/>
                <w:i/>
                <w:iCs/>
                <w:sz w:val="18"/>
                <w:szCs w:val="18"/>
              </w:rPr>
              <w:t>slills</w:t>
            </w:r>
            <w:proofErr w:type="spellEnd"/>
            <w:r w:rsidRPr="00E06427">
              <w:rPr>
                <w:rFonts w:ascii="Roboto Lt" w:hAnsi="Roboto Lt" w:cs="Times New Roman"/>
                <w:sz w:val="18"/>
                <w:szCs w:val="18"/>
              </w:rPr>
              <w:t xml:space="preserve"> na educação executiva e gerencial: um quase-experimento.</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7693B6A"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USP</w:t>
            </w:r>
          </w:p>
        </w:tc>
        <w:tc>
          <w:tcPr>
            <w:tcW w:w="1176" w:type="dxa"/>
            <w:tcBorders>
              <w:top w:val="single" w:sz="4" w:space="0" w:color="auto"/>
              <w:left w:val="single" w:sz="4" w:space="0" w:color="auto"/>
              <w:bottom w:val="single" w:sz="4" w:space="0" w:color="auto"/>
            </w:tcBorders>
            <w:shd w:val="clear" w:color="auto" w:fill="FFFFFF"/>
            <w:vAlign w:val="center"/>
          </w:tcPr>
          <w:p w14:paraId="0B1913F9" w14:textId="77777777" w:rsidR="00B22560" w:rsidRPr="00E06427" w:rsidRDefault="00B22560" w:rsidP="00623281">
            <w:pPr>
              <w:pStyle w:val="Texto"/>
              <w:spacing w:line="240" w:lineRule="auto"/>
              <w:ind w:firstLine="0"/>
              <w:jc w:val="center"/>
              <w:rPr>
                <w:rFonts w:ascii="Roboto Lt" w:hAnsi="Roboto Lt"/>
                <w:sz w:val="18"/>
                <w:szCs w:val="18"/>
              </w:rPr>
            </w:pPr>
            <w:r w:rsidRPr="00E06427">
              <w:rPr>
                <w:rFonts w:ascii="Roboto Lt" w:hAnsi="Roboto Lt" w:cs="Times New Roman"/>
                <w:sz w:val="18"/>
                <w:szCs w:val="18"/>
              </w:rPr>
              <w:t>Tese</w:t>
            </w:r>
          </w:p>
        </w:tc>
      </w:tr>
      <w:tr w:rsidR="003F334F" w:rsidRPr="00E06427" w14:paraId="247363C0" w14:textId="77777777" w:rsidTr="00023034">
        <w:tc>
          <w:tcPr>
            <w:tcW w:w="1588" w:type="dxa"/>
            <w:tcBorders>
              <w:top w:val="single" w:sz="4" w:space="0" w:color="auto"/>
              <w:bottom w:val="single" w:sz="4" w:space="0" w:color="auto"/>
              <w:right w:val="single" w:sz="4" w:space="0" w:color="auto"/>
            </w:tcBorders>
            <w:shd w:val="clear" w:color="auto" w:fill="FFFFFF"/>
            <w:vAlign w:val="center"/>
          </w:tcPr>
          <w:p w14:paraId="502E3CDD"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fldChar w:fldCharType="begin" w:fldLock="1"/>
            </w:r>
            <w:r w:rsidRPr="00E06427">
              <w:rPr>
                <w:rFonts w:ascii="Roboto Lt" w:hAnsi="Roboto Lt" w:cs="Times New Roman"/>
                <w:sz w:val="18"/>
                <w:szCs w:val="18"/>
              </w:rPr>
              <w:instrText>ADDIN CSL_CITATION {"citationItems":[{"id":"ITEM-1","itemData":{"abstract":"As startups contribuem com o progresso social e econômico do mundo, porém nos estágios iniciais de seu desenvolvimento sofrem com a definição e inovação no modelo de negócio. Neste cenário, emergem as incubadoras com a proposta de um ambiente inovador e com um conjunto de benefícios para potencializar o crescimento das startups. E as abordagens ágeis, propostas pelas incubadoras, surgem como conjunto de técnicas para apoiar os empreendedores das startups na inovação de modelo de negócio. No entanto, a literatura é escassa na descrição sobre quais os desafios encontrados pelas startups na implementação dos métodos ágeis e como as incubadoras de empresas, enquanto ambientes de inovação, realizam a conexão da gestão da inovação e modelo de negócios com sua aplicação. Para preencher essa lacuna, o objetivo desta pesquisa é descrever como as incubadoras e startups implementam as abordagens ágeis e sua contribuição da inovação dos seus modelos de negócios. Assim, realizou-se um estudo qualitativo, com abordagem de casos múltiplos, considerando incubadoras e startups incubadas. Desta forma, esta pesquisa contribui na compreensão do suporte oferecido pela incubadora na aplicação das abordagens ágeis e suas contribuições na inovação dos modelos de negócios.","author":[{"dropping-particle":"","family":"MOTA","given":"Patrícia Guimarães","non-dropping-particle":"","parse-names":false,"suffix":""}],"id":"ITEM-1","issued":{"date-parts":[["2021"]]},"publisher":"Universidade Federal de Goiás","title":"A utilização de metodologias ágeis e sua contribuição na inovação de modelo de negócios: Um estudo de casos múltiplos no contexto de incubadoras e startups.","type":"thesis"},"uris":["http://www.mendeley.com/documents/?uuid=ef8d0c45-e1f2-41d0-a1f5-83fa6ee92576"]}],"mendeley":{"formattedCitation":"(MOTA, 2021)","plainTextFormattedCitation":"(MOTA, 2021)","previouslyFormattedCitation":"(MOTA, 2021)"},"properties":{"noteIndex":0},"schema":"https://github.com/citation-style-language/schema/raw/master/csl-citation.json"}</w:instrText>
            </w:r>
            <w:r w:rsidRPr="00E06427">
              <w:rPr>
                <w:rFonts w:ascii="Roboto Lt" w:hAnsi="Roboto Lt" w:cs="Times New Roman"/>
                <w:sz w:val="18"/>
                <w:szCs w:val="18"/>
              </w:rPr>
              <w:fldChar w:fldCharType="separate"/>
            </w:r>
            <w:r w:rsidRPr="00E06427">
              <w:rPr>
                <w:rFonts w:ascii="Roboto Lt" w:hAnsi="Roboto Lt" w:cs="Times New Roman"/>
                <w:noProof/>
                <w:sz w:val="18"/>
                <w:szCs w:val="18"/>
              </w:rPr>
              <w:t>(MOTA, 2021)</w:t>
            </w:r>
            <w:r w:rsidRPr="00E06427">
              <w:rPr>
                <w:rFonts w:ascii="Roboto Lt" w:hAnsi="Roboto Lt" w:cs="Times New Roman"/>
                <w:sz w:val="18"/>
                <w:szCs w:val="18"/>
              </w:rPr>
              <w:fldChar w:fldCharType="end"/>
            </w:r>
          </w:p>
        </w:tc>
        <w:tc>
          <w:tcPr>
            <w:tcW w:w="5103" w:type="dxa"/>
            <w:tcBorders>
              <w:top w:val="single" w:sz="4" w:space="0" w:color="auto"/>
              <w:left w:val="single" w:sz="4" w:space="0" w:color="auto"/>
              <w:bottom w:val="single" w:sz="4" w:space="0" w:color="auto"/>
              <w:right w:val="single" w:sz="4" w:space="0" w:color="auto"/>
            </w:tcBorders>
            <w:shd w:val="clear" w:color="auto" w:fill="FFFFFF"/>
            <w:vAlign w:val="center"/>
          </w:tcPr>
          <w:p w14:paraId="18E1DD14" w14:textId="77777777" w:rsidR="00B22560" w:rsidRPr="00E06427" w:rsidRDefault="00B22560" w:rsidP="00023034">
            <w:pPr>
              <w:pStyle w:val="Texto"/>
              <w:spacing w:line="240" w:lineRule="auto"/>
              <w:ind w:firstLine="0"/>
              <w:jc w:val="left"/>
              <w:rPr>
                <w:rFonts w:ascii="Roboto Lt" w:hAnsi="Roboto Lt" w:cs="Times New Roman"/>
                <w:sz w:val="18"/>
                <w:szCs w:val="18"/>
              </w:rPr>
            </w:pPr>
            <w:r w:rsidRPr="00E06427">
              <w:rPr>
                <w:rFonts w:ascii="Roboto Lt" w:hAnsi="Roboto Lt" w:cs="Times New Roman"/>
                <w:sz w:val="18"/>
                <w:szCs w:val="18"/>
              </w:rPr>
              <w:t>A utilização de metodologias ágeis e sua contribuição na inovação de modelo de negócios: Um estudo de casos múltiplos no contexto de incubadoras e startups.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BEB063C"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UFG</w:t>
            </w:r>
          </w:p>
        </w:tc>
        <w:tc>
          <w:tcPr>
            <w:tcW w:w="1176" w:type="dxa"/>
            <w:tcBorders>
              <w:top w:val="single" w:sz="4" w:space="0" w:color="auto"/>
              <w:left w:val="single" w:sz="4" w:space="0" w:color="auto"/>
              <w:bottom w:val="single" w:sz="4" w:space="0" w:color="auto"/>
            </w:tcBorders>
            <w:shd w:val="clear" w:color="auto" w:fill="FFFFFF"/>
            <w:vAlign w:val="center"/>
          </w:tcPr>
          <w:p w14:paraId="725AE796" w14:textId="77777777" w:rsidR="00B22560" w:rsidRPr="00E06427" w:rsidRDefault="00B22560" w:rsidP="00623281">
            <w:pPr>
              <w:pStyle w:val="Texto"/>
              <w:spacing w:line="240" w:lineRule="auto"/>
              <w:ind w:firstLine="0"/>
              <w:jc w:val="center"/>
              <w:rPr>
                <w:rFonts w:ascii="Roboto Lt" w:hAnsi="Roboto Lt" w:cs="Times New Roman"/>
                <w:sz w:val="18"/>
                <w:szCs w:val="18"/>
              </w:rPr>
            </w:pPr>
            <w:r w:rsidRPr="00E06427">
              <w:rPr>
                <w:rFonts w:ascii="Roboto Lt" w:hAnsi="Roboto Lt" w:cs="Times New Roman"/>
                <w:sz w:val="18"/>
                <w:szCs w:val="18"/>
              </w:rPr>
              <w:t>Dissertação</w:t>
            </w:r>
          </w:p>
        </w:tc>
      </w:tr>
    </w:tbl>
    <w:p w14:paraId="79C672C5" w14:textId="20C13A76" w:rsidR="00B22560" w:rsidRPr="00023034" w:rsidRDefault="00B22560" w:rsidP="00226493">
      <w:pPr>
        <w:pStyle w:val="WW-Legenda"/>
        <w:spacing w:before="0" w:after="0"/>
        <w:jc w:val="left"/>
        <w:rPr>
          <w:rFonts w:ascii="Roboto Lt" w:hAnsi="Roboto Lt" w:cs="Times New Roman"/>
          <w:szCs w:val="20"/>
        </w:rPr>
      </w:pPr>
      <w:r w:rsidRPr="00023034">
        <w:rPr>
          <w:rFonts w:ascii="Roboto Lt" w:hAnsi="Roboto Lt" w:cs="Times New Roman"/>
          <w:b/>
          <w:bCs w:val="0"/>
          <w:szCs w:val="20"/>
        </w:rPr>
        <w:t xml:space="preserve">  Fonte:</w:t>
      </w:r>
      <w:r w:rsidRPr="00023034">
        <w:rPr>
          <w:rFonts w:ascii="Roboto Lt" w:hAnsi="Roboto Lt" w:cs="Times New Roman"/>
          <w:szCs w:val="20"/>
        </w:rPr>
        <w:t xml:space="preserve"> Autor</w:t>
      </w:r>
      <w:r w:rsidR="0097370C" w:rsidRPr="00023034">
        <w:rPr>
          <w:rFonts w:ascii="Roboto Lt" w:hAnsi="Roboto Lt" w:cs="Times New Roman"/>
          <w:szCs w:val="20"/>
        </w:rPr>
        <w:t>es</w:t>
      </w:r>
      <w:r w:rsidRPr="00023034">
        <w:rPr>
          <w:rFonts w:ascii="Roboto Lt" w:hAnsi="Roboto Lt" w:cs="Times New Roman"/>
          <w:szCs w:val="20"/>
        </w:rPr>
        <w:t xml:space="preserve"> da pesquisa (2023).</w:t>
      </w:r>
    </w:p>
    <w:p w14:paraId="4D2DEE58" w14:textId="77777777" w:rsidR="00B22560" w:rsidRPr="00E06427" w:rsidRDefault="00B22560" w:rsidP="00226493">
      <w:pPr>
        <w:pStyle w:val="Texto"/>
        <w:spacing w:line="240" w:lineRule="auto"/>
        <w:rPr>
          <w:rFonts w:ascii="Roboto Lt" w:hAnsi="Roboto Lt"/>
        </w:rPr>
      </w:pPr>
    </w:p>
    <w:p w14:paraId="66AB63A0" w14:textId="3BE262DE" w:rsidR="00B22560" w:rsidRPr="00E06427" w:rsidRDefault="00B22560" w:rsidP="004D6AD2">
      <w:pPr>
        <w:pStyle w:val="Texto"/>
        <w:ind w:firstLine="708"/>
        <w:rPr>
          <w:rFonts w:ascii="Roboto Lt" w:hAnsi="Roboto Lt" w:cs="Times New Roman"/>
          <w:szCs w:val="24"/>
        </w:rPr>
      </w:pPr>
      <w:r w:rsidRPr="00E06427">
        <w:rPr>
          <w:rFonts w:ascii="Roboto Lt" w:hAnsi="Roboto Lt" w:cs="Times New Roman"/>
          <w:szCs w:val="24"/>
          <w:shd w:val="clear" w:color="auto" w:fill="FFFFFF"/>
        </w:rPr>
        <w:t>O único estudo trata de metodologias ativas de ensino/aprendizagem é o de</w:t>
      </w:r>
      <w:r w:rsidR="00EB1528" w:rsidRPr="00E06427">
        <w:rPr>
          <w:rFonts w:ascii="Roboto Lt" w:hAnsi="Roboto Lt" w:cs="Times New Roman"/>
          <w:szCs w:val="24"/>
          <w:shd w:val="clear" w:color="auto" w:fill="FFFFFF"/>
        </w:rPr>
        <w:t xml:space="preserve"> Silva (2020) </w:t>
      </w:r>
      <w:r w:rsidRPr="00E06427">
        <w:rPr>
          <w:rFonts w:ascii="Roboto Lt" w:hAnsi="Roboto Lt" w:cs="Times New Roman"/>
          <w:szCs w:val="24"/>
        </w:rPr>
        <w:t xml:space="preserve">ao </w:t>
      </w:r>
      <w:r w:rsidRPr="00E06427">
        <w:rPr>
          <w:rFonts w:ascii="Roboto Lt" w:hAnsi="Roboto Lt" w:cs="Times New Roman"/>
          <w:szCs w:val="24"/>
          <w:shd w:val="clear" w:color="auto" w:fill="FFFFFF"/>
        </w:rPr>
        <w:t>analisar as contribuições de um modelo de aprendizado híbrido (</w:t>
      </w:r>
      <w:proofErr w:type="spellStart"/>
      <w:r w:rsidRPr="00E06427">
        <w:rPr>
          <w:rFonts w:ascii="Roboto Lt" w:hAnsi="Roboto Lt" w:cs="Times New Roman"/>
          <w:i/>
          <w:iCs/>
          <w:szCs w:val="24"/>
          <w:shd w:val="clear" w:color="auto" w:fill="FFFFFF"/>
        </w:rPr>
        <w:t>Blended</w:t>
      </w:r>
      <w:proofErr w:type="spellEnd"/>
      <w:r w:rsidRPr="00E06427">
        <w:rPr>
          <w:rFonts w:ascii="Roboto Lt" w:hAnsi="Roboto Lt" w:cs="Times New Roman"/>
          <w:i/>
          <w:iCs/>
          <w:szCs w:val="24"/>
          <w:shd w:val="clear" w:color="auto" w:fill="FFFFFF"/>
        </w:rPr>
        <w:t xml:space="preserve"> Learning</w:t>
      </w:r>
      <w:r w:rsidRPr="00E06427">
        <w:rPr>
          <w:rFonts w:ascii="Roboto Lt" w:hAnsi="Roboto Lt" w:cs="Times New Roman"/>
          <w:szCs w:val="24"/>
          <w:shd w:val="clear" w:color="auto" w:fill="FFFFFF"/>
        </w:rPr>
        <w:t>) para desenvolver soft skills na educação executiva e gerencial.</w:t>
      </w:r>
      <w:r w:rsidR="004D6AD2" w:rsidRPr="00E06427">
        <w:rPr>
          <w:rFonts w:ascii="Roboto Lt" w:hAnsi="Roboto Lt" w:cs="Times New Roman"/>
          <w:szCs w:val="24"/>
          <w:shd w:val="clear" w:color="auto" w:fill="FFFFFF"/>
        </w:rPr>
        <w:t xml:space="preserve"> </w:t>
      </w:r>
      <w:r w:rsidRPr="00E06427">
        <w:rPr>
          <w:rFonts w:ascii="Roboto Lt" w:hAnsi="Roboto Lt" w:cs="Times New Roman"/>
          <w:szCs w:val="24"/>
        </w:rPr>
        <w:t xml:space="preserve">Este cenário demonstra que as metodologias ativas representam um campo de estudo, </w:t>
      </w:r>
      <w:r w:rsidRPr="00E06427">
        <w:rPr>
          <w:rFonts w:ascii="Roboto Lt" w:hAnsi="Roboto Lt" w:cs="Times New Roman"/>
          <w:szCs w:val="24"/>
        </w:rPr>
        <w:lastRenderedPageBreak/>
        <w:t xml:space="preserve">pouco explorado na área da administração brasileira, principalmente como fator relacionado a </w:t>
      </w:r>
      <w:r w:rsidR="00EB7203" w:rsidRPr="00E06427">
        <w:rPr>
          <w:rFonts w:ascii="Roboto Lt" w:hAnsi="Roboto Lt" w:cs="Times New Roman"/>
          <w:szCs w:val="24"/>
        </w:rPr>
        <w:t xml:space="preserve">avaliação </w:t>
      </w:r>
      <w:r w:rsidR="00647612" w:rsidRPr="00E06427">
        <w:rPr>
          <w:rFonts w:ascii="Roboto Lt" w:hAnsi="Roboto Lt" w:cs="Times New Roman"/>
          <w:szCs w:val="24"/>
        </w:rPr>
        <w:t>da qualidade do ensino superior em administração.</w:t>
      </w:r>
    </w:p>
    <w:p w14:paraId="7C330471" w14:textId="4763C59A" w:rsidR="00B07C8A" w:rsidRPr="00E06427" w:rsidRDefault="00594CD8" w:rsidP="00B22560">
      <w:pPr>
        <w:autoSpaceDE w:val="0"/>
        <w:autoSpaceDN w:val="0"/>
        <w:adjustRightInd w:val="0"/>
        <w:ind w:firstLine="708"/>
        <w:rPr>
          <w:rFonts w:cs="Times New Roman"/>
          <w:szCs w:val="24"/>
        </w:rPr>
      </w:pPr>
      <w:r w:rsidRPr="00E06427">
        <w:rPr>
          <w:rFonts w:cs="Times New Roman"/>
          <w:szCs w:val="24"/>
        </w:rPr>
        <w:t xml:space="preserve">Com relação </w:t>
      </w:r>
      <w:r w:rsidR="003B438A" w:rsidRPr="00E06427">
        <w:rPr>
          <w:rFonts w:cs="Times New Roman"/>
          <w:szCs w:val="24"/>
        </w:rPr>
        <w:t>à</w:t>
      </w:r>
      <w:r w:rsidRPr="00E06427">
        <w:rPr>
          <w:rFonts w:cs="Times New Roman"/>
          <w:szCs w:val="24"/>
        </w:rPr>
        <w:t xml:space="preserve"> pesquisa </w:t>
      </w:r>
      <w:r w:rsidR="00E2268D" w:rsidRPr="00E06427">
        <w:rPr>
          <w:rFonts w:cs="Times New Roman"/>
          <w:szCs w:val="24"/>
        </w:rPr>
        <w:t>nas base</w:t>
      </w:r>
      <w:r w:rsidR="00617A1E" w:rsidRPr="00E06427">
        <w:rPr>
          <w:rFonts w:cs="Times New Roman"/>
          <w:szCs w:val="24"/>
        </w:rPr>
        <w:t>s</w:t>
      </w:r>
      <w:r w:rsidR="00E2268D" w:rsidRPr="00E06427">
        <w:rPr>
          <w:rFonts w:cs="Times New Roman"/>
          <w:szCs w:val="24"/>
        </w:rPr>
        <w:t xml:space="preserve"> de dados internacionais, </w:t>
      </w:r>
      <w:r w:rsidR="00617A1E" w:rsidRPr="00E06427">
        <w:rPr>
          <w:rFonts w:cs="Times New Roman"/>
          <w:szCs w:val="24"/>
        </w:rPr>
        <w:t xml:space="preserve">o fluxo sugerido pela </w:t>
      </w:r>
      <w:r w:rsidR="002F7596" w:rsidRPr="00E06427">
        <w:rPr>
          <w:rFonts w:cs="Times New Roman"/>
          <w:szCs w:val="24"/>
        </w:rPr>
        <w:t xml:space="preserve">declaração </w:t>
      </w:r>
      <w:r w:rsidR="002F7596" w:rsidRPr="00E06427">
        <w:rPr>
          <w:rFonts w:cs="Times New Roman"/>
          <w:i/>
          <w:iCs/>
          <w:szCs w:val="24"/>
        </w:rPr>
        <w:t>PRISMA</w:t>
      </w:r>
      <w:r w:rsidR="002F7596" w:rsidRPr="00E06427">
        <w:rPr>
          <w:rFonts w:cs="Times New Roman"/>
          <w:szCs w:val="24"/>
        </w:rPr>
        <w:t xml:space="preserve"> </w:t>
      </w:r>
      <w:r w:rsidR="00372631" w:rsidRPr="00E06427">
        <w:rPr>
          <w:rFonts w:cs="Times New Roman"/>
          <w:szCs w:val="24"/>
        </w:rPr>
        <w:t xml:space="preserve">revelados </w:t>
      </w:r>
      <w:r w:rsidR="00CD0813" w:rsidRPr="00E06427">
        <w:rPr>
          <w:rFonts w:cs="Times New Roman"/>
          <w:szCs w:val="24"/>
        </w:rPr>
        <w:t>na figura abaixo</w:t>
      </w:r>
      <w:r w:rsidR="0084570F" w:rsidRPr="00E06427">
        <w:rPr>
          <w:rFonts w:cs="Times New Roman"/>
          <w:szCs w:val="24"/>
        </w:rPr>
        <w:t>.</w:t>
      </w:r>
      <w:r w:rsidR="00617A1E" w:rsidRPr="00E06427">
        <w:rPr>
          <w:rFonts w:cs="Times New Roman"/>
          <w:szCs w:val="24"/>
        </w:rPr>
        <w:t xml:space="preserve"> </w:t>
      </w:r>
    </w:p>
    <w:p w14:paraId="0DA95E45" w14:textId="77777777" w:rsidR="00B62213" w:rsidRPr="00E06427" w:rsidRDefault="00B62213" w:rsidP="00886FFD">
      <w:pPr>
        <w:spacing w:line="240" w:lineRule="auto"/>
        <w:jc w:val="center"/>
        <w:rPr>
          <w:rFonts w:eastAsia="Times New Roman" w:cs="Times New Roman"/>
          <w:bCs/>
          <w:sz w:val="22"/>
          <w:szCs w:val="20"/>
        </w:rPr>
      </w:pPr>
    </w:p>
    <w:p w14:paraId="2D6E3FB0" w14:textId="5A8A7B4F" w:rsidR="00886FFD" w:rsidRPr="00E06427" w:rsidRDefault="00886FFD" w:rsidP="00886FFD">
      <w:pPr>
        <w:spacing w:line="240" w:lineRule="auto"/>
        <w:jc w:val="center"/>
        <w:rPr>
          <w:rFonts w:eastAsia="Times New Roman" w:cs="Times New Roman"/>
          <w:bCs/>
          <w:sz w:val="22"/>
          <w:szCs w:val="20"/>
        </w:rPr>
      </w:pPr>
      <w:r w:rsidRPr="00E06427">
        <w:rPr>
          <w:rFonts w:eastAsia="Times New Roman" w:cs="Times New Roman"/>
          <w:bCs/>
          <w:sz w:val="22"/>
          <w:szCs w:val="20"/>
        </w:rPr>
        <w:t>Figura 0</w:t>
      </w:r>
      <w:r w:rsidR="00A8504C" w:rsidRPr="00E06427">
        <w:rPr>
          <w:rFonts w:eastAsia="Times New Roman" w:cs="Times New Roman"/>
          <w:bCs/>
          <w:sz w:val="22"/>
          <w:szCs w:val="20"/>
        </w:rPr>
        <w:t>4</w:t>
      </w:r>
      <w:r w:rsidRPr="00E06427">
        <w:rPr>
          <w:rFonts w:eastAsia="Times New Roman" w:cs="Times New Roman"/>
          <w:bCs/>
          <w:sz w:val="22"/>
          <w:szCs w:val="20"/>
        </w:rPr>
        <w:t xml:space="preserve"> – Etapas seguidas para coleta e análise das pesquisas elegíveis</w:t>
      </w:r>
    </w:p>
    <w:p w14:paraId="702CCD53" w14:textId="164D4816" w:rsidR="00886FFD" w:rsidRPr="00E06427" w:rsidRDefault="000C7D4F"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59264" behindDoc="0" locked="0" layoutInCell="1" hidden="0" allowOverlap="1" wp14:anchorId="1A1A977E" wp14:editId="44CD30F6">
                <wp:simplePos x="0" y="0"/>
                <wp:positionH relativeFrom="column">
                  <wp:posOffset>530951</wp:posOffset>
                </wp:positionH>
                <wp:positionV relativeFrom="paragraph">
                  <wp:posOffset>35741</wp:posOffset>
                </wp:positionV>
                <wp:extent cx="4765040" cy="298450"/>
                <wp:effectExtent l="0" t="0" r="16510" b="25400"/>
                <wp:wrapNone/>
                <wp:docPr id="16" name="Fluxograma: Processo Alternativo 16"/>
                <wp:cNvGraphicFramePr/>
                <a:graphic xmlns:a="http://schemas.openxmlformats.org/drawingml/2006/main">
                  <a:graphicData uri="http://schemas.microsoft.com/office/word/2010/wordprocessingShape">
                    <wps:wsp>
                      <wps:cNvSpPr/>
                      <wps:spPr>
                        <a:xfrm>
                          <a:off x="0" y="0"/>
                          <a:ext cx="4765040" cy="298450"/>
                        </a:xfrm>
                        <a:prstGeom prst="flowChartAlternateProcess">
                          <a:avLst/>
                        </a:prstGeom>
                        <a:solidFill>
                          <a:schemeClr val="bg1">
                            <a:lumMod val="85000"/>
                          </a:schemeClr>
                        </a:solidFill>
                        <a:ln w="12700" cap="flat" cmpd="sng">
                          <a:solidFill>
                            <a:schemeClr val="tx1"/>
                          </a:solidFill>
                          <a:prstDash val="solid"/>
                          <a:miter lim="800000"/>
                          <a:headEnd type="none" w="sm" len="sm"/>
                          <a:tailEnd type="none" w="sm" len="sm"/>
                        </a:ln>
                      </wps:spPr>
                      <wps:txbx>
                        <w:txbxContent>
                          <w:p w14:paraId="7F55628F" w14:textId="77777777" w:rsidR="00886FFD" w:rsidRPr="00A864A6" w:rsidRDefault="00886FFD" w:rsidP="00886FFD">
                            <w:pPr>
                              <w:spacing w:line="240" w:lineRule="auto"/>
                              <w:jc w:val="center"/>
                              <w:textDirection w:val="btLr"/>
                              <w:rPr>
                                <w:rFonts w:cs="Times New Roman"/>
                                <w:szCs w:val="24"/>
                              </w:rPr>
                            </w:pPr>
                            <w:r w:rsidRPr="00A864A6">
                              <w:rPr>
                                <w:rFonts w:eastAsia="Arial" w:cs="Times New Roman"/>
                                <w:b/>
                                <w:color w:val="000000"/>
                                <w:sz w:val="20"/>
                                <w:szCs w:val="24"/>
                              </w:rPr>
                              <w:t xml:space="preserve">Identificação de estudos por meio de base de dados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A1A977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16" o:spid="_x0000_s1026" type="#_x0000_t176" style="position:absolute;left:0;text-align:left;margin-left:41.8pt;margin-top:2.8pt;width:375.2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" fillcolor="#d8d8d8 [2732]" strokecolor="black [3213]" strokeweight="1pt">
                <v:stroke startarrowwidth="narrow" startarrowlength="short" endarrowwidth="narrow" endarrowlength="short"/>
                <v:textbox inset="2.53958mm,1.2694mm,2.53958mm,1.2694mm">
                  <w:txbxContent>
                    <w:p w14:paraId="7F55628F" w14:textId="77777777" w:rsidR="00886FFD" w:rsidRPr="00A864A6" w:rsidRDefault="00886FFD" w:rsidP="00886FFD">
                      <w:pPr>
                        <w:spacing w:line="240" w:lineRule="auto"/>
                        <w:jc w:val="center"/>
                        <w:textDirection w:val="btLr"/>
                        <w:rPr>
                          <w:rFonts w:cs="Times New Roman"/>
                          <w:szCs w:val="24"/>
                        </w:rPr>
                      </w:pPr>
                      <w:r w:rsidRPr="00A864A6">
                        <w:rPr>
                          <w:rFonts w:eastAsia="Arial" w:cs="Times New Roman"/>
                          <w:b/>
                          <w:color w:val="000000"/>
                          <w:sz w:val="20"/>
                          <w:szCs w:val="24"/>
                        </w:rPr>
                        <w:t xml:space="preserve">Identificação de estudos por meio de base de dados </w:t>
                      </w:r>
                    </w:p>
                  </w:txbxContent>
                </v:textbox>
              </v:shape>
            </w:pict>
          </mc:Fallback>
        </mc:AlternateContent>
      </w:r>
    </w:p>
    <w:p w14:paraId="01CDCC10" w14:textId="543D2A4C" w:rsidR="00886FFD" w:rsidRPr="00E06427" w:rsidRDefault="00886FFD" w:rsidP="00886FFD">
      <w:pPr>
        <w:spacing w:line="240" w:lineRule="auto"/>
        <w:rPr>
          <w:rFonts w:eastAsia="Times New Roman" w:cs="Times New Roman"/>
          <w:color w:val="70AD47" w:themeColor="accent6"/>
          <w:szCs w:val="24"/>
        </w:rPr>
      </w:pPr>
    </w:p>
    <w:p w14:paraId="4F1A2C4C" w14:textId="60F810BE" w:rsidR="00886FFD" w:rsidRPr="00E06427" w:rsidRDefault="00A14E7D"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1312" behindDoc="0" locked="0" layoutInCell="1" hidden="0" allowOverlap="1" wp14:anchorId="6F3716DA" wp14:editId="7D399D21">
                <wp:simplePos x="0" y="0"/>
                <wp:positionH relativeFrom="column">
                  <wp:posOffset>3176179</wp:posOffset>
                </wp:positionH>
                <wp:positionV relativeFrom="paragraph">
                  <wp:posOffset>47082</wp:posOffset>
                </wp:positionV>
                <wp:extent cx="2141220" cy="897890"/>
                <wp:effectExtent l="0" t="0" r="11430" b="16510"/>
                <wp:wrapNone/>
                <wp:docPr id="17" name="Retângulo 17"/>
                <wp:cNvGraphicFramePr/>
                <a:graphic xmlns:a="http://schemas.openxmlformats.org/drawingml/2006/main">
                  <a:graphicData uri="http://schemas.microsoft.com/office/word/2010/wordprocessingShape">
                    <wps:wsp>
                      <wps:cNvSpPr/>
                      <wps:spPr>
                        <a:xfrm>
                          <a:off x="0" y="0"/>
                          <a:ext cx="2141220" cy="897890"/>
                        </a:xfrm>
                        <a:prstGeom prst="rect">
                          <a:avLst/>
                        </a:prstGeom>
                        <a:noFill/>
                        <a:ln w="12700" cap="flat" cmpd="sng">
                          <a:solidFill>
                            <a:schemeClr val="dk1"/>
                          </a:solidFill>
                          <a:prstDash val="solid"/>
                          <a:miter lim="800000"/>
                          <a:headEnd type="none" w="sm" len="sm"/>
                          <a:tailEnd type="none" w="sm" len="sm"/>
                        </a:ln>
                      </wps:spPr>
                      <wps:txbx>
                        <w:txbxContent>
                          <w:p w14:paraId="09B30742" w14:textId="77777777" w:rsidR="00886FFD" w:rsidRPr="00DA1C34" w:rsidRDefault="00886FFD" w:rsidP="00886FFD">
                            <w:pPr>
                              <w:spacing w:line="240" w:lineRule="auto"/>
                              <w:jc w:val="center"/>
                              <w:textDirection w:val="btLr"/>
                              <w:rPr>
                                <w:rFonts w:eastAsia="Arial" w:cs="Times New Roman"/>
                                <w:color w:val="000000"/>
                                <w:sz w:val="18"/>
                              </w:rPr>
                            </w:pPr>
                            <w:r>
                              <w:rPr>
                                <w:rFonts w:eastAsia="Arial" w:cs="Times New Roman"/>
                                <w:color w:val="000000"/>
                                <w:sz w:val="18"/>
                              </w:rPr>
                              <w:t xml:space="preserve">Registros </w:t>
                            </w:r>
                            <w:r w:rsidRPr="00DA1C34">
                              <w:rPr>
                                <w:rFonts w:eastAsia="Arial" w:cs="Times New Roman"/>
                                <w:color w:val="000000"/>
                                <w:sz w:val="18"/>
                              </w:rPr>
                              <w:t>duplicados removidos antes da triagem (n =</w:t>
                            </w:r>
                            <w:r>
                              <w:rPr>
                                <w:rFonts w:eastAsia="Arial" w:cs="Times New Roman"/>
                                <w:color w:val="000000"/>
                                <w:sz w:val="18"/>
                              </w:rPr>
                              <w:t xml:space="preserve"> 04</w:t>
                            </w:r>
                            <w:r w:rsidRPr="00DA1C34">
                              <w:rPr>
                                <w:rFonts w:eastAsia="Arial" w:cs="Times New Roman"/>
                                <w:color w:val="000000"/>
                                <w:sz w:val="18"/>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F3716DA" id="Retângulo 17" o:spid="_x0000_s1027" style="position:absolute;left:0;text-align:left;margin-left:250.1pt;margin-top:3.7pt;width:168.6pt;height: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" filled="f" strokecolor="black [3200]" strokeweight="1pt">
                <v:stroke startarrowwidth="narrow" startarrowlength="short" endarrowwidth="narrow" endarrowlength="short"/>
                <v:textbox inset="2.53958mm,1.2694mm,2.53958mm,1.2694mm">
                  <w:txbxContent>
                    <w:p w14:paraId="09B30742" w14:textId="77777777" w:rsidR="00886FFD" w:rsidRPr="00DA1C34" w:rsidRDefault="00886FFD" w:rsidP="00886FFD">
                      <w:pPr>
                        <w:spacing w:line="240" w:lineRule="auto"/>
                        <w:jc w:val="center"/>
                        <w:textDirection w:val="btLr"/>
                        <w:rPr>
                          <w:rFonts w:eastAsia="Arial" w:cs="Times New Roman"/>
                          <w:color w:val="000000"/>
                          <w:sz w:val="18"/>
                        </w:rPr>
                      </w:pPr>
                      <w:r>
                        <w:rPr>
                          <w:rFonts w:eastAsia="Arial" w:cs="Times New Roman"/>
                          <w:color w:val="000000"/>
                          <w:sz w:val="18"/>
                        </w:rPr>
                        <w:t xml:space="preserve">Registros </w:t>
                      </w:r>
                      <w:r w:rsidRPr="00DA1C34">
                        <w:rPr>
                          <w:rFonts w:eastAsia="Arial" w:cs="Times New Roman"/>
                          <w:color w:val="000000"/>
                          <w:sz w:val="18"/>
                        </w:rPr>
                        <w:t>duplicados removidos antes da triagem (n =</w:t>
                      </w:r>
                      <w:r>
                        <w:rPr>
                          <w:rFonts w:eastAsia="Arial" w:cs="Times New Roman"/>
                          <w:color w:val="000000"/>
                          <w:sz w:val="18"/>
                        </w:rPr>
                        <w:t xml:space="preserve"> 04</w:t>
                      </w:r>
                      <w:r w:rsidRPr="00DA1C34">
                        <w:rPr>
                          <w:rFonts w:eastAsia="Arial" w:cs="Times New Roman"/>
                          <w:color w:val="000000"/>
                          <w:sz w:val="18"/>
                        </w:rPr>
                        <w:t>)</w:t>
                      </w:r>
                    </w:p>
                  </w:txbxContent>
                </v:textbox>
              </v:rect>
            </w:pict>
          </mc:Fallback>
        </mc:AlternateContent>
      </w:r>
      <w:r w:rsidRPr="00E06427">
        <w:rPr>
          <w:rFonts w:cs="Times New Roman"/>
          <w:noProof/>
          <w:color w:val="70AD47" w:themeColor="accent6"/>
        </w:rPr>
        <mc:AlternateContent>
          <mc:Choice Requires="wps">
            <w:drawing>
              <wp:anchor distT="0" distB="0" distL="114300" distR="114300" simplePos="0" relativeHeight="251660288" behindDoc="0" locked="0" layoutInCell="1" hidden="0" allowOverlap="1" wp14:anchorId="2560702C" wp14:editId="57A87C25">
                <wp:simplePos x="0" y="0"/>
                <wp:positionH relativeFrom="column">
                  <wp:posOffset>530951</wp:posOffset>
                </wp:positionH>
                <wp:positionV relativeFrom="paragraph">
                  <wp:posOffset>47081</wp:posOffset>
                </wp:positionV>
                <wp:extent cx="2297430" cy="898071"/>
                <wp:effectExtent l="0" t="0" r="26670" b="16510"/>
                <wp:wrapNone/>
                <wp:docPr id="18" name="Retângulo 18"/>
                <wp:cNvGraphicFramePr/>
                <a:graphic xmlns:a="http://schemas.openxmlformats.org/drawingml/2006/main">
                  <a:graphicData uri="http://schemas.microsoft.com/office/word/2010/wordprocessingShape">
                    <wps:wsp>
                      <wps:cNvSpPr/>
                      <wps:spPr>
                        <a:xfrm>
                          <a:off x="0" y="0"/>
                          <a:ext cx="2297430" cy="898071"/>
                        </a:xfrm>
                        <a:prstGeom prst="rect">
                          <a:avLst/>
                        </a:prstGeom>
                        <a:noFill/>
                        <a:ln w="12700" cap="flat" cmpd="sng">
                          <a:solidFill>
                            <a:schemeClr val="dk1"/>
                          </a:solidFill>
                          <a:prstDash val="solid"/>
                          <a:miter lim="800000"/>
                          <a:headEnd type="none" w="sm" len="sm"/>
                          <a:tailEnd type="none" w="sm" len="sm"/>
                        </a:ln>
                      </wps:spPr>
                      <wps:txbx>
                        <w:txbxContent>
                          <w:p w14:paraId="342A1378" w14:textId="77777777" w:rsidR="00886FFD" w:rsidRDefault="00886FFD" w:rsidP="00886FFD">
                            <w:pPr>
                              <w:spacing w:line="240" w:lineRule="auto"/>
                              <w:textDirection w:val="btLr"/>
                              <w:rPr>
                                <w:rFonts w:ascii="Arial" w:eastAsia="Arial" w:hAnsi="Arial" w:cs="Arial"/>
                                <w:b/>
                                <w:bCs/>
                                <w:color w:val="000000"/>
                                <w:sz w:val="18"/>
                              </w:rPr>
                            </w:pPr>
                          </w:p>
                          <w:p w14:paraId="4D39A7AD" w14:textId="77777777" w:rsidR="00886FFD" w:rsidRPr="00DA1C34" w:rsidRDefault="00886FFD" w:rsidP="00886FFD">
                            <w:pPr>
                              <w:spacing w:line="240" w:lineRule="auto"/>
                              <w:textDirection w:val="btLr"/>
                              <w:rPr>
                                <w:rFonts w:cs="Times New Roman"/>
                                <w:b/>
                                <w:bCs/>
                              </w:rPr>
                            </w:pPr>
                            <w:r w:rsidRPr="00DA1C34">
                              <w:rPr>
                                <w:rFonts w:eastAsia="Arial" w:cs="Times New Roman"/>
                                <w:b/>
                                <w:bCs/>
                                <w:color w:val="000000"/>
                                <w:sz w:val="18"/>
                              </w:rPr>
                              <w:t>Busca nas Base de Dados:</w:t>
                            </w:r>
                            <w:r>
                              <w:rPr>
                                <w:rFonts w:eastAsia="Arial" w:cs="Times New Roman"/>
                                <w:b/>
                                <w:bCs/>
                                <w:color w:val="000000"/>
                                <w:sz w:val="18"/>
                              </w:rPr>
                              <w:t xml:space="preserve"> (n = 52)</w:t>
                            </w:r>
                          </w:p>
                          <w:p w14:paraId="37E283D2" w14:textId="77777777" w:rsidR="00886FFD" w:rsidRPr="00DA1C34" w:rsidRDefault="00886FFD" w:rsidP="00886FFD">
                            <w:pPr>
                              <w:spacing w:line="240" w:lineRule="auto"/>
                              <w:textDirection w:val="btLr"/>
                              <w:rPr>
                                <w:rFonts w:cs="Times New Roman"/>
                              </w:rPr>
                            </w:pPr>
                            <w:r w:rsidRPr="00DA1C34">
                              <w:rPr>
                                <w:rFonts w:eastAsia="Arial" w:cs="Times New Roman"/>
                                <w:color w:val="000000"/>
                                <w:sz w:val="18"/>
                              </w:rPr>
                              <w:t xml:space="preserve">Base de dados </w:t>
                            </w:r>
                            <w:r w:rsidRPr="00DA1C34">
                              <w:rPr>
                                <w:rFonts w:eastAsia="Arial" w:cs="Times New Roman"/>
                                <w:i/>
                                <w:iCs/>
                                <w:color w:val="000000"/>
                                <w:sz w:val="18"/>
                              </w:rPr>
                              <w:t>Scopus</w:t>
                            </w:r>
                            <w:r w:rsidRPr="00DA1C34">
                              <w:rPr>
                                <w:rFonts w:eastAsia="Arial" w:cs="Times New Roman"/>
                                <w:color w:val="000000"/>
                                <w:sz w:val="18"/>
                              </w:rPr>
                              <w:t xml:space="preserve"> (n =</w:t>
                            </w:r>
                            <w:r>
                              <w:rPr>
                                <w:rFonts w:eastAsia="Arial" w:cs="Times New Roman"/>
                                <w:color w:val="000000"/>
                                <w:sz w:val="18"/>
                              </w:rPr>
                              <w:t xml:space="preserve"> 09</w:t>
                            </w:r>
                            <w:r w:rsidRPr="00DA1C34">
                              <w:rPr>
                                <w:rFonts w:eastAsia="Arial" w:cs="Times New Roman"/>
                                <w:color w:val="000000"/>
                                <w:sz w:val="18"/>
                              </w:rPr>
                              <w:t>)</w:t>
                            </w:r>
                          </w:p>
                          <w:p w14:paraId="07E7DF51" w14:textId="77777777" w:rsidR="00886FFD" w:rsidRPr="00DA1C34" w:rsidRDefault="00886FFD" w:rsidP="00886FFD">
                            <w:pPr>
                              <w:spacing w:line="240" w:lineRule="auto"/>
                              <w:textDirection w:val="btLr"/>
                              <w:rPr>
                                <w:rFonts w:cs="Times New Roman"/>
                              </w:rPr>
                            </w:pPr>
                            <w:r w:rsidRPr="00DA1C34">
                              <w:rPr>
                                <w:rFonts w:eastAsia="Arial" w:cs="Times New Roman"/>
                                <w:color w:val="000000"/>
                                <w:sz w:val="18"/>
                              </w:rPr>
                              <w:t xml:space="preserve">Base de dados </w:t>
                            </w:r>
                            <w:r w:rsidRPr="00DA1C34">
                              <w:rPr>
                                <w:rFonts w:eastAsia="Arial" w:cs="Times New Roman"/>
                                <w:i/>
                                <w:iCs/>
                                <w:color w:val="000000"/>
                                <w:sz w:val="18"/>
                              </w:rPr>
                              <w:t>Web of Science</w:t>
                            </w:r>
                            <w:r w:rsidRPr="00DA1C34">
                              <w:rPr>
                                <w:rFonts w:eastAsia="Arial" w:cs="Times New Roman"/>
                                <w:color w:val="000000"/>
                                <w:sz w:val="18"/>
                              </w:rPr>
                              <w:t xml:space="preserve"> (n =</w:t>
                            </w:r>
                            <w:r>
                              <w:rPr>
                                <w:rFonts w:eastAsia="Arial" w:cs="Times New Roman"/>
                                <w:color w:val="000000"/>
                                <w:sz w:val="18"/>
                              </w:rPr>
                              <w:t xml:space="preserve"> 39</w:t>
                            </w:r>
                            <w:r w:rsidRPr="00DA1C34">
                              <w:rPr>
                                <w:rFonts w:eastAsia="Arial" w:cs="Times New Roman"/>
                                <w:color w:val="000000"/>
                                <w:sz w:val="18"/>
                              </w:rPr>
                              <w:t>)</w:t>
                            </w:r>
                          </w:p>
                          <w:p w14:paraId="656ED99A" w14:textId="77777777" w:rsidR="00886FFD" w:rsidRPr="00DA1C34" w:rsidRDefault="00886FFD" w:rsidP="00886FFD">
                            <w:pPr>
                              <w:spacing w:line="240" w:lineRule="auto"/>
                              <w:textDirection w:val="btLr"/>
                              <w:rPr>
                                <w:rFonts w:eastAsia="Arial" w:cs="Times New Roman"/>
                                <w:color w:val="000000"/>
                                <w:sz w:val="18"/>
                              </w:rPr>
                            </w:pPr>
                            <w:r w:rsidRPr="00DA1C34">
                              <w:rPr>
                                <w:rFonts w:eastAsia="Arial" w:cs="Times New Roman"/>
                                <w:color w:val="000000"/>
                                <w:sz w:val="18"/>
                              </w:rPr>
                              <w:t xml:space="preserve">Base de dados </w:t>
                            </w:r>
                            <w:r w:rsidRPr="00DA1C34">
                              <w:rPr>
                                <w:rFonts w:cs="Times New Roman"/>
                                <w:i/>
                                <w:iCs/>
                                <w:color w:val="333333"/>
                                <w:sz w:val="18"/>
                                <w:szCs w:val="18"/>
                                <w:shd w:val="clear" w:color="auto" w:fill="FFFFFF"/>
                              </w:rPr>
                              <w:t>Science Direct</w:t>
                            </w:r>
                            <w:r w:rsidRPr="00DA1C34">
                              <w:rPr>
                                <w:rFonts w:eastAsia="Arial" w:cs="Times New Roman"/>
                                <w:color w:val="000000"/>
                                <w:sz w:val="18"/>
                              </w:rPr>
                              <w:t xml:space="preserve"> (n =</w:t>
                            </w:r>
                            <w:r>
                              <w:rPr>
                                <w:rFonts w:eastAsia="Arial" w:cs="Times New Roman"/>
                                <w:color w:val="000000"/>
                                <w:sz w:val="18"/>
                              </w:rPr>
                              <w:t xml:space="preserve"> 04</w:t>
                            </w:r>
                            <w:r w:rsidRPr="00DA1C34">
                              <w:rPr>
                                <w:rFonts w:eastAsia="Arial" w:cs="Times New Roman"/>
                                <w:color w:val="000000"/>
                                <w:sz w:val="18"/>
                              </w:rPr>
                              <w:t>)</w:t>
                            </w:r>
                          </w:p>
                          <w:p w14:paraId="689EC51B" w14:textId="77777777" w:rsidR="00886FFD" w:rsidRDefault="00886FFD" w:rsidP="00886FFD">
                            <w:pPr>
                              <w:spacing w:line="240" w:lineRule="auto"/>
                              <w:ind w:left="282" w:firstLine="565"/>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560702C" id="Retângulo 18" o:spid="_x0000_s1028" style="position:absolute;left:0;text-align:left;margin-left:41.8pt;margin-top:3.7pt;width:180.9pt;height:7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" filled="f" strokecolor="black [3200]" strokeweight="1pt">
                <v:stroke startarrowwidth="narrow" startarrowlength="short" endarrowwidth="narrow" endarrowlength="short"/>
                <v:textbox inset="2.53958mm,1.2694mm,2.53958mm,1.2694mm">
                  <w:txbxContent>
                    <w:p w14:paraId="342A1378" w14:textId="77777777" w:rsidR="00886FFD" w:rsidRDefault="00886FFD" w:rsidP="00886FFD">
                      <w:pPr>
                        <w:spacing w:line="240" w:lineRule="auto"/>
                        <w:textDirection w:val="btLr"/>
                        <w:rPr>
                          <w:rFonts w:ascii="Arial" w:eastAsia="Arial" w:hAnsi="Arial" w:cs="Arial"/>
                          <w:b/>
                          <w:bCs/>
                          <w:color w:val="000000"/>
                          <w:sz w:val="18"/>
                        </w:rPr>
                      </w:pPr>
                    </w:p>
                    <w:p w14:paraId="4D39A7AD" w14:textId="77777777" w:rsidR="00886FFD" w:rsidRPr="00DA1C34" w:rsidRDefault="00886FFD" w:rsidP="00886FFD">
                      <w:pPr>
                        <w:spacing w:line="240" w:lineRule="auto"/>
                        <w:textDirection w:val="btLr"/>
                        <w:rPr>
                          <w:rFonts w:cs="Times New Roman"/>
                          <w:b/>
                          <w:bCs/>
                        </w:rPr>
                      </w:pPr>
                      <w:r w:rsidRPr="00DA1C34">
                        <w:rPr>
                          <w:rFonts w:eastAsia="Arial" w:cs="Times New Roman"/>
                          <w:b/>
                          <w:bCs/>
                          <w:color w:val="000000"/>
                          <w:sz w:val="18"/>
                        </w:rPr>
                        <w:t>Busca nas Base de Dados:</w:t>
                      </w:r>
                      <w:r>
                        <w:rPr>
                          <w:rFonts w:eastAsia="Arial" w:cs="Times New Roman"/>
                          <w:b/>
                          <w:bCs/>
                          <w:color w:val="000000"/>
                          <w:sz w:val="18"/>
                        </w:rPr>
                        <w:t xml:space="preserve"> (n = 52)</w:t>
                      </w:r>
                    </w:p>
                    <w:p w14:paraId="37E283D2" w14:textId="77777777" w:rsidR="00886FFD" w:rsidRPr="00DA1C34" w:rsidRDefault="00886FFD" w:rsidP="00886FFD">
                      <w:pPr>
                        <w:spacing w:line="240" w:lineRule="auto"/>
                        <w:textDirection w:val="btLr"/>
                        <w:rPr>
                          <w:rFonts w:cs="Times New Roman"/>
                        </w:rPr>
                      </w:pPr>
                      <w:r w:rsidRPr="00DA1C34">
                        <w:rPr>
                          <w:rFonts w:eastAsia="Arial" w:cs="Times New Roman"/>
                          <w:color w:val="000000"/>
                          <w:sz w:val="18"/>
                        </w:rPr>
                        <w:t xml:space="preserve">Base de dados </w:t>
                      </w:r>
                      <w:r w:rsidRPr="00DA1C34">
                        <w:rPr>
                          <w:rFonts w:eastAsia="Arial" w:cs="Times New Roman"/>
                          <w:i/>
                          <w:iCs/>
                          <w:color w:val="000000"/>
                          <w:sz w:val="18"/>
                        </w:rPr>
                        <w:t>Scopus</w:t>
                      </w:r>
                      <w:r w:rsidRPr="00DA1C34">
                        <w:rPr>
                          <w:rFonts w:eastAsia="Arial" w:cs="Times New Roman"/>
                          <w:color w:val="000000"/>
                          <w:sz w:val="18"/>
                        </w:rPr>
                        <w:t xml:space="preserve"> (n =</w:t>
                      </w:r>
                      <w:r>
                        <w:rPr>
                          <w:rFonts w:eastAsia="Arial" w:cs="Times New Roman"/>
                          <w:color w:val="000000"/>
                          <w:sz w:val="18"/>
                        </w:rPr>
                        <w:t xml:space="preserve"> 09</w:t>
                      </w:r>
                      <w:r w:rsidRPr="00DA1C34">
                        <w:rPr>
                          <w:rFonts w:eastAsia="Arial" w:cs="Times New Roman"/>
                          <w:color w:val="000000"/>
                          <w:sz w:val="18"/>
                        </w:rPr>
                        <w:t>)</w:t>
                      </w:r>
                    </w:p>
                    <w:p w14:paraId="07E7DF51" w14:textId="77777777" w:rsidR="00886FFD" w:rsidRPr="00DA1C34" w:rsidRDefault="00886FFD" w:rsidP="00886FFD">
                      <w:pPr>
                        <w:spacing w:line="240" w:lineRule="auto"/>
                        <w:textDirection w:val="btLr"/>
                        <w:rPr>
                          <w:rFonts w:cs="Times New Roman"/>
                        </w:rPr>
                      </w:pPr>
                      <w:r w:rsidRPr="00DA1C34">
                        <w:rPr>
                          <w:rFonts w:eastAsia="Arial" w:cs="Times New Roman"/>
                          <w:color w:val="000000"/>
                          <w:sz w:val="18"/>
                        </w:rPr>
                        <w:t xml:space="preserve">Base de dados </w:t>
                      </w:r>
                      <w:r w:rsidRPr="00DA1C34">
                        <w:rPr>
                          <w:rFonts w:eastAsia="Arial" w:cs="Times New Roman"/>
                          <w:i/>
                          <w:iCs/>
                          <w:color w:val="000000"/>
                          <w:sz w:val="18"/>
                        </w:rPr>
                        <w:t>Web of Science</w:t>
                      </w:r>
                      <w:r w:rsidRPr="00DA1C34">
                        <w:rPr>
                          <w:rFonts w:eastAsia="Arial" w:cs="Times New Roman"/>
                          <w:color w:val="000000"/>
                          <w:sz w:val="18"/>
                        </w:rPr>
                        <w:t xml:space="preserve"> (n =</w:t>
                      </w:r>
                      <w:r>
                        <w:rPr>
                          <w:rFonts w:eastAsia="Arial" w:cs="Times New Roman"/>
                          <w:color w:val="000000"/>
                          <w:sz w:val="18"/>
                        </w:rPr>
                        <w:t xml:space="preserve"> 39</w:t>
                      </w:r>
                      <w:r w:rsidRPr="00DA1C34">
                        <w:rPr>
                          <w:rFonts w:eastAsia="Arial" w:cs="Times New Roman"/>
                          <w:color w:val="000000"/>
                          <w:sz w:val="18"/>
                        </w:rPr>
                        <w:t>)</w:t>
                      </w:r>
                    </w:p>
                    <w:p w14:paraId="656ED99A" w14:textId="77777777" w:rsidR="00886FFD" w:rsidRPr="00DA1C34" w:rsidRDefault="00886FFD" w:rsidP="00886FFD">
                      <w:pPr>
                        <w:spacing w:line="240" w:lineRule="auto"/>
                        <w:textDirection w:val="btLr"/>
                        <w:rPr>
                          <w:rFonts w:eastAsia="Arial" w:cs="Times New Roman"/>
                          <w:color w:val="000000"/>
                          <w:sz w:val="18"/>
                        </w:rPr>
                      </w:pPr>
                      <w:r w:rsidRPr="00DA1C34">
                        <w:rPr>
                          <w:rFonts w:eastAsia="Arial" w:cs="Times New Roman"/>
                          <w:color w:val="000000"/>
                          <w:sz w:val="18"/>
                        </w:rPr>
                        <w:t xml:space="preserve">Base de dados </w:t>
                      </w:r>
                      <w:r w:rsidRPr="00DA1C34">
                        <w:rPr>
                          <w:rFonts w:cs="Times New Roman"/>
                          <w:i/>
                          <w:iCs/>
                          <w:color w:val="333333"/>
                          <w:sz w:val="18"/>
                          <w:szCs w:val="18"/>
                          <w:shd w:val="clear" w:color="auto" w:fill="FFFFFF"/>
                        </w:rPr>
                        <w:t>Science Direct</w:t>
                      </w:r>
                      <w:r w:rsidRPr="00DA1C34">
                        <w:rPr>
                          <w:rFonts w:eastAsia="Arial" w:cs="Times New Roman"/>
                          <w:color w:val="000000"/>
                          <w:sz w:val="18"/>
                        </w:rPr>
                        <w:t xml:space="preserve"> (n =</w:t>
                      </w:r>
                      <w:r>
                        <w:rPr>
                          <w:rFonts w:eastAsia="Arial" w:cs="Times New Roman"/>
                          <w:color w:val="000000"/>
                          <w:sz w:val="18"/>
                        </w:rPr>
                        <w:t xml:space="preserve"> 04</w:t>
                      </w:r>
                      <w:r w:rsidRPr="00DA1C34">
                        <w:rPr>
                          <w:rFonts w:eastAsia="Arial" w:cs="Times New Roman"/>
                          <w:color w:val="000000"/>
                          <w:sz w:val="18"/>
                        </w:rPr>
                        <w:t>)</w:t>
                      </w:r>
                    </w:p>
                    <w:p w14:paraId="689EC51B" w14:textId="77777777" w:rsidR="00886FFD" w:rsidRDefault="00886FFD" w:rsidP="00886FFD">
                      <w:pPr>
                        <w:spacing w:line="240" w:lineRule="auto"/>
                        <w:ind w:left="282" w:firstLine="565"/>
                        <w:textDirection w:val="btLr"/>
                      </w:pPr>
                    </w:p>
                  </w:txbxContent>
                </v:textbox>
              </v:rect>
            </w:pict>
          </mc:Fallback>
        </mc:AlternateContent>
      </w:r>
    </w:p>
    <w:p w14:paraId="3A223914" w14:textId="0D5C005B" w:rsidR="00886FFD" w:rsidRPr="00E06427" w:rsidRDefault="00A14E7D"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2336" behindDoc="0" locked="0" layoutInCell="1" hidden="0" allowOverlap="1" wp14:anchorId="6BA778A5" wp14:editId="5750CF09">
                <wp:simplePos x="0" y="0"/>
                <wp:positionH relativeFrom="column">
                  <wp:posOffset>-193062</wp:posOffset>
                </wp:positionH>
                <wp:positionV relativeFrom="paragraph">
                  <wp:posOffset>165624</wp:posOffset>
                </wp:positionV>
                <wp:extent cx="864369" cy="287655"/>
                <wp:effectExtent l="2540" t="0" r="14605" b="14605"/>
                <wp:wrapNone/>
                <wp:docPr id="19" name="Fluxograma: Processo Alternativo 19"/>
                <wp:cNvGraphicFramePr/>
                <a:graphic xmlns:a="http://schemas.openxmlformats.org/drawingml/2006/main">
                  <a:graphicData uri="http://schemas.microsoft.com/office/word/2010/wordprocessingShape">
                    <wps:wsp>
                      <wps:cNvSpPr/>
                      <wps:spPr>
                        <a:xfrm rot="16200000">
                          <a:off x="0" y="0"/>
                          <a:ext cx="864369" cy="287655"/>
                        </a:xfrm>
                        <a:prstGeom prst="flowChartAlternateProcess">
                          <a:avLst/>
                        </a:prstGeom>
                        <a:solidFill>
                          <a:schemeClr val="lt2"/>
                        </a:solidFill>
                        <a:ln w="12700" cap="flat" cmpd="sng">
                          <a:solidFill>
                            <a:schemeClr val="dk1"/>
                          </a:solidFill>
                          <a:prstDash val="solid"/>
                          <a:miter lim="800000"/>
                          <a:headEnd type="none" w="sm" len="sm"/>
                          <a:tailEnd type="none" w="sm" len="sm"/>
                        </a:ln>
                      </wps:spPr>
                      <wps:txbx>
                        <w:txbxContent>
                          <w:p w14:paraId="2DFC86AF"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Identificação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778A5" id="Fluxograma: Processo Alternativo 19" o:spid="_x0000_s1029" type="#_x0000_t176" style="position:absolute;left:0;text-align:left;margin-left:-15.2pt;margin-top:13.05pt;width:68.05pt;height:22.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" fillcolor="#e7e6e6 [3203]" strokecolor="black [3200]" strokeweight="1pt">
                <v:stroke startarrowwidth="narrow" startarrowlength="short" endarrowwidth="narrow" endarrowlength="short"/>
                <v:textbox inset="2.53958mm,1.2694mm,2.53958mm,1.2694mm">
                  <w:txbxContent>
                    <w:p w14:paraId="2DFC86AF"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Identificação</w:t>
                      </w:r>
                    </w:p>
                  </w:txbxContent>
                </v:textbox>
              </v:shape>
            </w:pict>
          </mc:Fallback>
        </mc:AlternateContent>
      </w:r>
    </w:p>
    <w:p w14:paraId="4DF47A19" w14:textId="1D86648C" w:rsidR="00886FFD" w:rsidRPr="00E06427" w:rsidRDefault="00A14E7D"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3360" behindDoc="0" locked="0" layoutInCell="1" hidden="0" allowOverlap="1" wp14:anchorId="4355A8BD" wp14:editId="0A2EB90B">
                <wp:simplePos x="0" y="0"/>
                <wp:positionH relativeFrom="column">
                  <wp:posOffset>2831465</wp:posOffset>
                </wp:positionH>
                <wp:positionV relativeFrom="paragraph">
                  <wp:posOffset>144689</wp:posOffset>
                </wp:positionV>
                <wp:extent cx="334645" cy="0"/>
                <wp:effectExtent l="0" t="76200" r="27305" b="95250"/>
                <wp:wrapNone/>
                <wp:docPr id="20" name="Conector de Seta Reta 20"/>
                <wp:cNvGraphicFramePr/>
                <a:graphic xmlns:a="http://schemas.openxmlformats.org/drawingml/2006/main">
                  <a:graphicData uri="http://schemas.microsoft.com/office/word/2010/wordprocessingShape">
                    <wps:wsp>
                      <wps:cNvCnPr/>
                      <wps:spPr>
                        <a:xfrm>
                          <a:off x="0" y="0"/>
                          <a:ext cx="334645"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74C51B57" id="_x0000_t32" coordsize="21600,21600" o:spt="32" o:oned="t" path="m,l21600,21600e" filled="f">
                <v:path arrowok="t" fillok="f" o:connecttype="none"/>
                <o:lock v:ext="edit" shapetype="t"/>
              </v:shapetype>
              <v:shape id="Conector de Seta Reta 20" o:spid="_x0000_s1026" type="#_x0000_t32" style="position:absolute;margin-left:222.95pt;margin-top:11.4pt;width:26.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" strokecolor="black [3200]">
                <v:stroke startarrowwidth="narrow" startarrowlength="short" endarrow="block" joinstyle="miter"/>
              </v:shape>
            </w:pict>
          </mc:Fallback>
        </mc:AlternateContent>
      </w:r>
    </w:p>
    <w:p w14:paraId="36FCF603" w14:textId="386D7750" w:rsidR="00886FFD" w:rsidRPr="00E06427" w:rsidRDefault="00886FFD" w:rsidP="00886FFD">
      <w:pPr>
        <w:spacing w:line="240" w:lineRule="auto"/>
        <w:rPr>
          <w:rFonts w:eastAsia="Times New Roman" w:cs="Times New Roman"/>
          <w:color w:val="70AD47" w:themeColor="accent6"/>
          <w:szCs w:val="24"/>
        </w:rPr>
      </w:pPr>
    </w:p>
    <w:p w14:paraId="21769E45" w14:textId="43A56850" w:rsidR="00886FFD" w:rsidRPr="00E06427" w:rsidRDefault="00886FFD" w:rsidP="00886FFD">
      <w:pPr>
        <w:spacing w:line="240" w:lineRule="auto"/>
        <w:rPr>
          <w:rFonts w:eastAsia="Times New Roman" w:cs="Times New Roman"/>
          <w:color w:val="70AD47" w:themeColor="accent6"/>
          <w:szCs w:val="24"/>
        </w:rPr>
      </w:pPr>
    </w:p>
    <w:p w14:paraId="5EA273FD" w14:textId="3B9FA07A" w:rsidR="00886FFD" w:rsidRPr="00E06427" w:rsidRDefault="000C7D4F"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4384" behindDoc="0" locked="0" layoutInCell="1" hidden="0" allowOverlap="1" wp14:anchorId="0B8965C9" wp14:editId="4955EBDC">
                <wp:simplePos x="0" y="0"/>
                <wp:positionH relativeFrom="column">
                  <wp:posOffset>1646555</wp:posOffset>
                </wp:positionH>
                <wp:positionV relativeFrom="paragraph">
                  <wp:posOffset>63137</wp:posOffset>
                </wp:positionV>
                <wp:extent cx="0" cy="128905"/>
                <wp:effectExtent l="76200" t="0" r="57150" b="61595"/>
                <wp:wrapNone/>
                <wp:docPr id="21" name="Conector de Seta Reta 21"/>
                <wp:cNvGraphicFramePr/>
                <a:graphic xmlns:a="http://schemas.openxmlformats.org/drawingml/2006/main">
                  <a:graphicData uri="http://schemas.microsoft.com/office/word/2010/wordprocessingShape">
                    <wps:wsp>
                      <wps:cNvCnPr/>
                      <wps:spPr>
                        <a:xfrm>
                          <a:off x="0" y="0"/>
                          <a:ext cx="0" cy="12890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32B65705" id="Conector de Seta Reta 21" o:spid="_x0000_s1026" type="#_x0000_t32" style="position:absolute;margin-left:129.65pt;margin-top:4.95pt;width:0;height: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" strokecolor="black [3200]">
                <v:stroke startarrowwidth="narrow" startarrowlength="short" endarrow="block" joinstyle="miter"/>
              </v:shape>
            </w:pict>
          </mc:Fallback>
        </mc:AlternateContent>
      </w:r>
    </w:p>
    <w:p w14:paraId="19489039" w14:textId="6AAB6339" w:rsidR="00886FFD" w:rsidRPr="00E06427" w:rsidRDefault="00A72340"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6432" behindDoc="0" locked="0" layoutInCell="1" hidden="0" allowOverlap="1" wp14:anchorId="2CD2E1C0" wp14:editId="47DA6414">
                <wp:simplePos x="0" y="0"/>
                <wp:positionH relativeFrom="column">
                  <wp:posOffset>3176179</wp:posOffset>
                </wp:positionH>
                <wp:positionV relativeFrom="paragraph">
                  <wp:posOffset>35106</wp:posOffset>
                </wp:positionV>
                <wp:extent cx="2156460" cy="631190"/>
                <wp:effectExtent l="0" t="0" r="15240" b="16510"/>
                <wp:wrapNone/>
                <wp:docPr id="22" name="Retângulo 22"/>
                <wp:cNvGraphicFramePr/>
                <a:graphic xmlns:a="http://schemas.openxmlformats.org/drawingml/2006/main">
                  <a:graphicData uri="http://schemas.microsoft.com/office/word/2010/wordprocessingShape">
                    <wps:wsp>
                      <wps:cNvSpPr/>
                      <wps:spPr>
                        <a:xfrm>
                          <a:off x="0" y="0"/>
                          <a:ext cx="2156460" cy="631190"/>
                        </a:xfrm>
                        <a:prstGeom prst="rect">
                          <a:avLst/>
                        </a:prstGeom>
                        <a:noFill/>
                        <a:ln w="12700" cap="flat" cmpd="sng">
                          <a:solidFill>
                            <a:schemeClr val="dk1"/>
                          </a:solidFill>
                          <a:prstDash val="solid"/>
                          <a:miter lim="800000"/>
                          <a:headEnd type="none" w="sm" len="sm"/>
                          <a:tailEnd type="none" w="sm" len="sm"/>
                        </a:ln>
                      </wps:spPr>
                      <wps:txbx>
                        <w:txbxContent>
                          <w:p w14:paraId="4BC7B44D" w14:textId="77777777" w:rsidR="00886FFD" w:rsidRPr="0058448A" w:rsidRDefault="00886FFD" w:rsidP="00886FFD">
                            <w:pPr>
                              <w:spacing w:line="240" w:lineRule="auto"/>
                              <w:textDirection w:val="btLr"/>
                              <w:rPr>
                                <w:rFonts w:eastAsia="Arial" w:cs="Times New Roman"/>
                                <w:color w:val="000000"/>
                                <w:sz w:val="18"/>
                              </w:rPr>
                            </w:pPr>
                            <w:r w:rsidRPr="0058448A">
                              <w:rPr>
                                <w:rFonts w:eastAsia="Arial" w:cs="Times New Roman"/>
                                <w:color w:val="000000"/>
                                <w:sz w:val="18"/>
                              </w:rPr>
                              <w:t>Registros excluídos após leitura de título e resumo (n =</w:t>
                            </w:r>
                            <w:r>
                              <w:rPr>
                                <w:rFonts w:eastAsia="Arial" w:cs="Times New Roman"/>
                                <w:color w:val="000000"/>
                                <w:sz w:val="18"/>
                              </w:rPr>
                              <w:t xml:space="preserve"> 29)</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CD2E1C0" id="Retângulo 22" o:spid="_x0000_s1030" style="position:absolute;left:0;text-align:left;margin-left:250.1pt;margin-top:2.75pt;width:169.8pt;height:4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" filled="f" strokecolor="black [3200]" strokeweight="1pt">
                <v:stroke startarrowwidth="narrow" startarrowlength="short" endarrowwidth="narrow" endarrowlength="short"/>
                <v:textbox inset="2.53958mm,1.2694mm,2.53958mm,1.2694mm">
                  <w:txbxContent>
                    <w:p w14:paraId="4BC7B44D" w14:textId="77777777" w:rsidR="00886FFD" w:rsidRPr="0058448A" w:rsidRDefault="00886FFD" w:rsidP="00886FFD">
                      <w:pPr>
                        <w:spacing w:line="240" w:lineRule="auto"/>
                        <w:textDirection w:val="btLr"/>
                        <w:rPr>
                          <w:rFonts w:eastAsia="Arial" w:cs="Times New Roman"/>
                          <w:color w:val="000000"/>
                          <w:sz w:val="18"/>
                        </w:rPr>
                      </w:pPr>
                      <w:r w:rsidRPr="0058448A">
                        <w:rPr>
                          <w:rFonts w:eastAsia="Arial" w:cs="Times New Roman"/>
                          <w:color w:val="000000"/>
                          <w:sz w:val="18"/>
                        </w:rPr>
                        <w:t>Registros excluídos após leitura de título e resumo (n =</w:t>
                      </w:r>
                      <w:r>
                        <w:rPr>
                          <w:rFonts w:eastAsia="Arial" w:cs="Times New Roman"/>
                          <w:color w:val="000000"/>
                          <w:sz w:val="18"/>
                        </w:rPr>
                        <w:t xml:space="preserve"> 29)</w:t>
                      </w:r>
                    </w:p>
                  </w:txbxContent>
                </v:textbox>
              </v:rect>
            </w:pict>
          </mc:Fallback>
        </mc:AlternateContent>
      </w:r>
      <w:r w:rsidR="00A14E7D" w:rsidRPr="00E06427">
        <w:rPr>
          <w:rFonts w:cs="Times New Roman"/>
          <w:noProof/>
          <w:color w:val="70AD47" w:themeColor="accent6"/>
        </w:rPr>
        <mc:AlternateContent>
          <mc:Choice Requires="wps">
            <w:drawing>
              <wp:anchor distT="0" distB="0" distL="114300" distR="114300" simplePos="0" relativeHeight="251665408" behindDoc="0" locked="0" layoutInCell="1" hidden="0" allowOverlap="1" wp14:anchorId="67E4FA84" wp14:editId="095DC0B1">
                <wp:simplePos x="0" y="0"/>
                <wp:positionH relativeFrom="column">
                  <wp:posOffset>530951</wp:posOffset>
                </wp:positionH>
                <wp:positionV relativeFrom="paragraph">
                  <wp:posOffset>35107</wp:posOffset>
                </wp:positionV>
                <wp:extent cx="2279650" cy="631372"/>
                <wp:effectExtent l="0" t="0" r="25400" b="16510"/>
                <wp:wrapNone/>
                <wp:docPr id="23" name="Retângulo 23"/>
                <wp:cNvGraphicFramePr/>
                <a:graphic xmlns:a="http://schemas.openxmlformats.org/drawingml/2006/main">
                  <a:graphicData uri="http://schemas.microsoft.com/office/word/2010/wordprocessingShape">
                    <wps:wsp>
                      <wps:cNvSpPr/>
                      <wps:spPr>
                        <a:xfrm>
                          <a:off x="0" y="0"/>
                          <a:ext cx="2279650" cy="631372"/>
                        </a:xfrm>
                        <a:prstGeom prst="rect">
                          <a:avLst/>
                        </a:prstGeom>
                        <a:noFill/>
                        <a:ln w="12700" cap="flat" cmpd="sng">
                          <a:solidFill>
                            <a:schemeClr val="dk1"/>
                          </a:solidFill>
                          <a:prstDash val="solid"/>
                          <a:miter lim="800000"/>
                          <a:headEnd type="none" w="sm" len="sm"/>
                          <a:tailEnd type="none" w="sm" len="sm"/>
                        </a:ln>
                      </wps:spPr>
                      <wps:txbx>
                        <w:txbxContent>
                          <w:p w14:paraId="475CC7D0" w14:textId="77777777" w:rsidR="00886FFD" w:rsidRPr="0058448A" w:rsidRDefault="00886FFD" w:rsidP="00886FFD">
                            <w:pPr>
                              <w:spacing w:line="240" w:lineRule="auto"/>
                              <w:textDirection w:val="btLr"/>
                              <w:rPr>
                                <w:rFonts w:eastAsia="Arial" w:cs="Times New Roman"/>
                                <w:b/>
                                <w:bCs/>
                                <w:color w:val="000000"/>
                                <w:sz w:val="18"/>
                                <w:szCs w:val="18"/>
                              </w:rPr>
                            </w:pPr>
                            <w:r>
                              <w:rPr>
                                <w:rFonts w:eastAsia="Arial" w:cs="Times New Roman"/>
                                <w:b/>
                                <w:bCs/>
                                <w:color w:val="000000"/>
                                <w:sz w:val="18"/>
                                <w:szCs w:val="18"/>
                              </w:rPr>
                              <w:t xml:space="preserve">Primeira </w:t>
                            </w:r>
                            <w:r w:rsidRPr="0058448A">
                              <w:rPr>
                                <w:rFonts w:eastAsia="Arial" w:cs="Times New Roman"/>
                                <w:b/>
                                <w:bCs/>
                                <w:color w:val="000000"/>
                                <w:sz w:val="18"/>
                                <w:szCs w:val="18"/>
                              </w:rPr>
                              <w:t>Triagem:</w:t>
                            </w:r>
                          </w:p>
                          <w:p w14:paraId="4D6A483C" w14:textId="77777777" w:rsidR="00886FFD" w:rsidRPr="00DA1C34" w:rsidRDefault="00886FFD" w:rsidP="00886FFD">
                            <w:pPr>
                              <w:spacing w:line="240" w:lineRule="auto"/>
                              <w:textDirection w:val="btLr"/>
                              <w:rPr>
                                <w:rFonts w:eastAsia="Arial" w:cs="Times New Roman"/>
                                <w:color w:val="000000"/>
                                <w:sz w:val="18"/>
                                <w:szCs w:val="18"/>
                              </w:rPr>
                            </w:pPr>
                            <w:r w:rsidRPr="00DA1C34">
                              <w:rPr>
                                <w:rFonts w:eastAsia="Arial" w:cs="Times New Roman"/>
                                <w:color w:val="000000"/>
                                <w:sz w:val="18"/>
                                <w:szCs w:val="18"/>
                              </w:rPr>
                              <w:t>Registros selecionados (n =</w:t>
                            </w:r>
                            <w:r>
                              <w:rPr>
                                <w:rFonts w:eastAsia="Arial" w:cs="Times New Roman"/>
                                <w:color w:val="000000"/>
                                <w:sz w:val="18"/>
                                <w:szCs w:val="18"/>
                              </w:rPr>
                              <w:t xml:space="preserve"> 48</w:t>
                            </w:r>
                            <w:r w:rsidRPr="00DA1C34">
                              <w:rPr>
                                <w:rFonts w:eastAsia="Arial" w:cs="Times New Roman"/>
                                <w:color w:val="000000"/>
                                <w:sz w:val="18"/>
                                <w:szCs w:val="18"/>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7E4FA84" id="Retângulo 23" o:spid="_x0000_s1031" style="position:absolute;left:0;text-align:left;margin-left:41.8pt;margin-top:2.75pt;width:179.5pt;height:4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" filled="f" strokecolor="black [3200]" strokeweight="1pt">
                <v:stroke startarrowwidth="narrow" startarrowlength="short" endarrowwidth="narrow" endarrowlength="short"/>
                <v:textbox inset="2.53958mm,1.2694mm,2.53958mm,1.2694mm">
                  <w:txbxContent>
                    <w:p w14:paraId="475CC7D0" w14:textId="77777777" w:rsidR="00886FFD" w:rsidRPr="0058448A" w:rsidRDefault="00886FFD" w:rsidP="00886FFD">
                      <w:pPr>
                        <w:spacing w:line="240" w:lineRule="auto"/>
                        <w:textDirection w:val="btLr"/>
                        <w:rPr>
                          <w:rFonts w:eastAsia="Arial" w:cs="Times New Roman"/>
                          <w:b/>
                          <w:bCs/>
                          <w:color w:val="000000"/>
                          <w:sz w:val="18"/>
                          <w:szCs w:val="18"/>
                        </w:rPr>
                      </w:pPr>
                      <w:r>
                        <w:rPr>
                          <w:rFonts w:eastAsia="Arial" w:cs="Times New Roman"/>
                          <w:b/>
                          <w:bCs/>
                          <w:color w:val="000000"/>
                          <w:sz w:val="18"/>
                          <w:szCs w:val="18"/>
                        </w:rPr>
                        <w:t xml:space="preserve">Primeira </w:t>
                      </w:r>
                      <w:r w:rsidRPr="0058448A">
                        <w:rPr>
                          <w:rFonts w:eastAsia="Arial" w:cs="Times New Roman"/>
                          <w:b/>
                          <w:bCs/>
                          <w:color w:val="000000"/>
                          <w:sz w:val="18"/>
                          <w:szCs w:val="18"/>
                        </w:rPr>
                        <w:t>Triagem:</w:t>
                      </w:r>
                    </w:p>
                    <w:p w14:paraId="4D6A483C" w14:textId="77777777" w:rsidR="00886FFD" w:rsidRPr="00DA1C34" w:rsidRDefault="00886FFD" w:rsidP="00886FFD">
                      <w:pPr>
                        <w:spacing w:line="240" w:lineRule="auto"/>
                        <w:textDirection w:val="btLr"/>
                        <w:rPr>
                          <w:rFonts w:eastAsia="Arial" w:cs="Times New Roman"/>
                          <w:color w:val="000000"/>
                          <w:sz w:val="18"/>
                          <w:szCs w:val="18"/>
                        </w:rPr>
                      </w:pPr>
                      <w:r w:rsidRPr="00DA1C34">
                        <w:rPr>
                          <w:rFonts w:eastAsia="Arial" w:cs="Times New Roman"/>
                          <w:color w:val="000000"/>
                          <w:sz w:val="18"/>
                          <w:szCs w:val="18"/>
                        </w:rPr>
                        <w:t>Registros selecionados (n =</w:t>
                      </w:r>
                      <w:r>
                        <w:rPr>
                          <w:rFonts w:eastAsia="Arial" w:cs="Times New Roman"/>
                          <w:color w:val="000000"/>
                          <w:sz w:val="18"/>
                          <w:szCs w:val="18"/>
                        </w:rPr>
                        <w:t xml:space="preserve"> 48</w:t>
                      </w:r>
                      <w:r w:rsidRPr="00DA1C34">
                        <w:rPr>
                          <w:rFonts w:eastAsia="Arial" w:cs="Times New Roman"/>
                          <w:color w:val="000000"/>
                          <w:sz w:val="18"/>
                          <w:szCs w:val="18"/>
                        </w:rPr>
                        <w:t>)</w:t>
                      </w:r>
                    </w:p>
                  </w:txbxContent>
                </v:textbox>
              </v:rect>
            </w:pict>
          </mc:Fallback>
        </mc:AlternateContent>
      </w:r>
    </w:p>
    <w:p w14:paraId="0FD18FFC" w14:textId="4D25FE20" w:rsidR="00886FFD" w:rsidRPr="00E06427" w:rsidRDefault="00A14E7D"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8480" behindDoc="0" locked="0" layoutInCell="1" hidden="0" allowOverlap="1" wp14:anchorId="770EB8D5" wp14:editId="0CAE1E94">
                <wp:simplePos x="0" y="0"/>
                <wp:positionH relativeFrom="column">
                  <wp:posOffset>-87926</wp:posOffset>
                </wp:positionH>
                <wp:positionV relativeFrom="paragraph">
                  <wp:posOffset>51912</wp:posOffset>
                </wp:positionV>
                <wp:extent cx="637495" cy="262890"/>
                <wp:effectExtent l="0" t="3492" r="26352" b="26353"/>
                <wp:wrapNone/>
                <wp:docPr id="24" name="Fluxograma: Processo Alternativo 24"/>
                <wp:cNvGraphicFramePr/>
                <a:graphic xmlns:a="http://schemas.openxmlformats.org/drawingml/2006/main">
                  <a:graphicData uri="http://schemas.microsoft.com/office/word/2010/wordprocessingShape">
                    <wps:wsp>
                      <wps:cNvSpPr/>
                      <wps:spPr>
                        <a:xfrm rot="16200000">
                          <a:off x="0" y="0"/>
                          <a:ext cx="637495" cy="262890"/>
                        </a:xfrm>
                        <a:prstGeom prst="flowChartAlternateProcess">
                          <a:avLst/>
                        </a:prstGeom>
                        <a:solidFill>
                          <a:schemeClr val="lt2"/>
                        </a:solidFill>
                        <a:ln w="12700" cap="flat" cmpd="sng">
                          <a:solidFill>
                            <a:schemeClr val="dk1"/>
                          </a:solidFill>
                          <a:prstDash val="solid"/>
                          <a:miter lim="800000"/>
                          <a:headEnd type="none" w="sm" len="sm"/>
                          <a:tailEnd type="none" w="sm" len="sm"/>
                        </a:ln>
                      </wps:spPr>
                      <wps:txbx>
                        <w:txbxContent>
                          <w:p w14:paraId="0161FF31"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Triagem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0EB8D5" id="Fluxograma: Processo Alternativo 24" o:spid="_x0000_s1032" type="#_x0000_t176" style="position:absolute;left:0;text-align:left;margin-left:-6.9pt;margin-top:4.1pt;width:50.2pt;height:20.7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" fillcolor="#e7e6e6 [3203]" strokecolor="black [3200]" strokeweight="1pt">
                <v:stroke startarrowwidth="narrow" startarrowlength="short" endarrowwidth="narrow" endarrowlength="short"/>
                <v:textbox inset="2.53958mm,1.2694mm,2.53958mm,1.2694mm">
                  <w:txbxContent>
                    <w:p w14:paraId="0161FF31"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Triagem</w:t>
                      </w:r>
                    </w:p>
                  </w:txbxContent>
                </v:textbox>
              </v:shape>
            </w:pict>
          </mc:Fallback>
        </mc:AlternateContent>
      </w:r>
      <w:r w:rsidR="00886FFD" w:rsidRPr="00E06427">
        <w:rPr>
          <w:rFonts w:cs="Times New Roman"/>
          <w:noProof/>
          <w:color w:val="70AD47" w:themeColor="accent6"/>
        </w:rPr>
        <mc:AlternateContent>
          <mc:Choice Requires="wps">
            <w:drawing>
              <wp:anchor distT="0" distB="0" distL="114300" distR="114300" simplePos="0" relativeHeight="251667456" behindDoc="0" locked="0" layoutInCell="1" hidden="0" allowOverlap="1" wp14:anchorId="4483AB0C" wp14:editId="47B63E2D">
                <wp:simplePos x="0" y="0"/>
                <wp:positionH relativeFrom="column">
                  <wp:posOffset>2809240</wp:posOffset>
                </wp:positionH>
                <wp:positionV relativeFrom="paragraph">
                  <wp:posOffset>163888</wp:posOffset>
                </wp:positionV>
                <wp:extent cx="355600" cy="0"/>
                <wp:effectExtent l="0" t="76200" r="25400" b="95250"/>
                <wp:wrapNone/>
                <wp:docPr id="25" name="Conector de Seta Reta 25"/>
                <wp:cNvGraphicFramePr/>
                <a:graphic xmlns:a="http://schemas.openxmlformats.org/drawingml/2006/main">
                  <a:graphicData uri="http://schemas.microsoft.com/office/word/2010/wordprocessingShape">
                    <wps:wsp>
                      <wps:cNvCnPr/>
                      <wps:spPr>
                        <a:xfrm>
                          <a:off x="0" y="0"/>
                          <a:ext cx="3556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2DDBFDB" id="Conector de Seta Reta 25" o:spid="_x0000_s1026" type="#_x0000_t32" style="position:absolute;margin-left:221.2pt;margin-top:12.9pt;width:2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" strokecolor="black [3200]">
                <v:stroke startarrowwidth="narrow" startarrowlength="short" endarrow="block" joinstyle="miter"/>
              </v:shape>
            </w:pict>
          </mc:Fallback>
        </mc:AlternateContent>
      </w:r>
    </w:p>
    <w:p w14:paraId="758D6FA4" w14:textId="0928B0EE" w:rsidR="00886FFD" w:rsidRPr="00E06427" w:rsidRDefault="00886FFD" w:rsidP="00886FFD">
      <w:pPr>
        <w:spacing w:line="240" w:lineRule="auto"/>
        <w:rPr>
          <w:rFonts w:eastAsia="Times New Roman" w:cs="Times New Roman"/>
          <w:color w:val="70AD47" w:themeColor="accent6"/>
          <w:szCs w:val="24"/>
        </w:rPr>
      </w:pPr>
    </w:p>
    <w:p w14:paraId="4E00D027" w14:textId="3272BFFA" w:rsidR="00886FFD" w:rsidRPr="00E06427" w:rsidRDefault="00A72340"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69504" behindDoc="0" locked="0" layoutInCell="1" hidden="0" allowOverlap="1" wp14:anchorId="32042331" wp14:editId="457CCDB1">
                <wp:simplePos x="0" y="0"/>
                <wp:positionH relativeFrom="column">
                  <wp:posOffset>4264025</wp:posOffset>
                </wp:positionH>
                <wp:positionV relativeFrom="paragraph">
                  <wp:posOffset>132987</wp:posOffset>
                </wp:positionV>
                <wp:extent cx="0" cy="162560"/>
                <wp:effectExtent l="76200" t="0" r="57150" b="66040"/>
                <wp:wrapNone/>
                <wp:docPr id="26" name="Conector de Seta Reta 26"/>
                <wp:cNvGraphicFramePr/>
                <a:graphic xmlns:a="http://schemas.openxmlformats.org/drawingml/2006/main">
                  <a:graphicData uri="http://schemas.microsoft.com/office/word/2010/wordprocessingShape">
                    <wps:wsp>
                      <wps:cNvCnPr/>
                      <wps:spPr>
                        <a:xfrm>
                          <a:off x="0" y="0"/>
                          <a:ext cx="0" cy="16256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01E5C58" id="Conector de Seta Reta 26" o:spid="_x0000_s1026" type="#_x0000_t32" style="position:absolute;margin-left:335.75pt;margin-top:10.45pt;width:0;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" strokecolor="black [3200]">
                <v:stroke startarrowwidth="narrow" startarrowlength="short" endarrow="block" joinstyle="miter"/>
              </v:shape>
            </w:pict>
          </mc:Fallback>
        </mc:AlternateContent>
      </w:r>
      <w:r w:rsidRPr="00E06427">
        <w:rPr>
          <w:rFonts w:cs="Times New Roman"/>
          <w:noProof/>
          <w:color w:val="70AD47" w:themeColor="accent6"/>
        </w:rPr>
        <mc:AlternateContent>
          <mc:Choice Requires="wps">
            <w:drawing>
              <wp:anchor distT="0" distB="0" distL="114300" distR="114300" simplePos="0" relativeHeight="251671552" behindDoc="0" locked="0" layoutInCell="1" hidden="0" allowOverlap="1" wp14:anchorId="5EE0A3E1" wp14:editId="13BF5D3D">
                <wp:simplePos x="0" y="0"/>
                <wp:positionH relativeFrom="column">
                  <wp:posOffset>1672590</wp:posOffset>
                </wp:positionH>
                <wp:positionV relativeFrom="paragraph">
                  <wp:posOffset>127998</wp:posOffset>
                </wp:positionV>
                <wp:extent cx="0" cy="146685"/>
                <wp:effectExtent l="76200" t="0" r="57150" b="62865"/>
                <wp:wrapNone/>
                <wp:docPr id="27" name="Conector de Seta Reta 27"/>
                <wp:cNvGraphicFramePr/>
                <a:graphic xmlns:a="http://schemas.openxmlformats.org/drawingml/2006/main">
                  <a:graphicData uri="http://schemas.microsoft.com/office/word/2010/wordprocessingShape">
                    <wps:wsp>
                      <wps:cNvCnPr/>
                      <wps:spPr>
                        <a:xfrm flipH="1">
                          <a:off x="0" y="0"/>
                          <a:ext cx="0" cy="14668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75797C7" id="Conector de Seta Reta 27" o:spid="_x0000_s1026" type="#_x0000_t32" style="position:absolute;margin-left:131.7pt;margin-top:10.1pt;width:0;height:11.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" strokecolor="black [3200]">
                <v:stroke startarrowwidth="narrow" startarrowlength="short" endarrow="block" joinstyle="miter"/>
              </v:shape>
            </w:pict>
          </mc:Fallback>
        </mc:AlternateContent>
      </w:r>
    </w:p>
    <w:p w14:paraId="103E3F76" w14:textId="4C9270DC" w:rsidR="00886FFD" w:rsidRPr="00E06427" w:rsidRDefault="002E0343"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70528" behindDoc="0" locked="0" layoutInCell="1" hidden="0" allowOverlap="1" wp14:anchorId="5CD11351" wp14:editId="7D25FD44">
                <wp:simplePos x="0" y="0"/>
                <wp:positionH relativeFrom="margin">
                  <wp:posOffset>3165294</wp:posOffset>
                </wp:positionH>
                <wp:positionV relativeFrom="paragraph">
                  <wp:posOffset>128724</wp:posOffset>
                </wp:positionV>
                <wp:extent cx="2179955" cy="720589"/>
                <wp:effectExtent l="0" t="0" r="10795" b="22860"/>
                <wp:wrapNone/>
                <wp:docPr id="28" name="Retângulo 28"/>
                <wp:cNvGraphicFramePr/>
                <a:graphic xmlns:a="http://schemas.openxmlformats.org/drawingml/2006/main">
                  <a:graphicData uri="http://schemas.microsoft.com/office/word/2010/wordprocessingShape">
                    <wps:wsp>
                      <wps:cNvSpPr/>
                      <wps:spPr>
                        <a:xfrm>
                          <a:off x="0" y="0"/>
                          <a:ext cx="2179955" cy="720589"/>
                        </a:xfrm>
                        <a:prstGeom prst="rect">
                          <a:avLst/>
                        </a:prstGeom>
                        <a:noFill/>
                        <a:ln w="12700" cap="flat" cmpd="sng">
                          <a:solidFill>
                            <a:schemeClr val="dk1"/>
                          </a:solidFill>
                          <a:prstDash val="solid"/>
                          <a:miter lim="800000"/>
                          <a:headEnd type="none" w="sm" len="sm"/>
                          <a:tailEnd type="none" w="sm" len="sm"/>
                        </a:ln>
                      </wps:spPr>
                      <wps:txbx>
                        <w:txbxContent>
                          <w:p w14:paraId="2787A2AA" w14:textId="77777777" w:rsidR="00886FFD" w:rsidRPr="0058448A" w:rsidRDefault="00886FFD" w:rsidP="00886FFD">
                            <w:pPr>
                              <w:spacing w:line="240" w:lineRule="auto"/>
                              <w:textDirection w:val="btLr"/>
                              <w:rPr>
                                <w:rFonts w:eastAsia="Arial" w:cs="Times New Roman"/>
                                <w:sz w:val="18"/>
                              </w:rPr>
                            </w:pPr>
                            <w:r>
                              <w:rPr>
                                <w:rFonts w:eastAsia="Arial" w:cs="Times New Roman"/>
                                <w:b/>
                                <w:bCs/>
                                <w:color w:val="000000"/>
                                <w:sz w:val="18"/>
                              </w:rPr>
                              <w:t>Segunda Triagem</w:t>
                            </w:r>
                            <w:r w:rsidRPr="0058448A">
                              <w:rPr>
                                <w:rFonts w:eastAsia="Arial" w:cs="Times New Roman"/>
                                <w:b/>
                                <w:bCs/>
                                <w:color w:val="000000"/>
                                <w:sz w:val="18"/>
                              </w:rPr>
                              <w:t>:</w:t>
                            </w:r>
                            <w:r w:rsidRPr="0058448A">
                              <w:rPr>
                                <w:rFonts w:eastAsia="Arial" w:cs="Times New Roman"/>
                                <w:color w:val="000000"/>
                                <w:sz w:val="18"/>
                              </w:rPr>
                              <w:t xml:space="preserve"> Documentos incluídos para leitura do texto </w:t>
                            </w:r>
                            <w:r w:rsidRPr="0058448A">
                              <w:rPr>
                                <w:rFonts w:eastAsia="Arial" w:cs="Times New Roman"/>
                                <w:sz w:val="18"/>
                              </w:rPr>
                              <w:t>completo (n =</w:t>
                            </w:r>
                            <w:r>
                              <w:rPr>
                                <w:rFonts w:eastAsia="Arial" w:cs="Times New Roman"/>
                                <w:sz w:val="18"/>
                              </w:rPr>
                              <w:t xml:space="preserve"> 19</w:t>
                            </w:r>
                            <w:r w:rsidRPr="0058448A">
                              <w:rPr>
                                <w:rFonts w:eastAsia="Arial" w:cs="Times New Roman"/>
                                <w:sz w:val="18"/>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CD11351" id="Retângulo 28" o:spid="_x0000_s1033" style="position:absolute;left:0;text-align:left;margin-left:249.25pt;margin-top:10.15pt;width:171.65pt;height:5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" filled="f" strokecolor="black [3200]" strokeweight="1pt">
                <v:stroke startarrowwidth="narrow" startarrowlength="short" endarrowwidth="narrow" endarrowlength="short"/>
                <v:textbox inset="2.53958mm,1.2694mm,2.53958mm,1.2694mm">
                  <w:txbxContent>
                    <w:p w14:paraId="2787A2AA" w14:textId="77777777" w:rsidR="00886FFD" w:rsidRPr="0058448A" w:rsidRDefault="00886FFD" w:rsidP="00886FFD">
                      <w:pPr>
                        <w:spacing w:line="240" w:lineRule="auto"/>
                        <w:textDirection w:val="btLr"/>
                        <w:rPr>
                          <w:rFonts w:eastAsia="Arial" w:cs="Times New Roman"/>
                          <w:sz w:val="18"/>
                        </w:rPr>
                      </w:pPr>
                      <w:r>
                        <w:rPr>
                          <w:rFonts w:eastAsia="Arial" w:cs="Times New Roman"/>
                          <w:b/>
                          <w:bCs/>
                          <w:color w:val="000000"/>
                          <w:sz w:val="18"/>
                        </w:rPr>
                        <w:t>Segunda Triagem</w:t>
                      </w:r>
                      <w:r w:rsidRPr="0058448A">
                        <w:rPr>
                          <w:rFonts w:eastAsia="Arial" w:cs="Times New Roman"/>
                          <w:b/>
                          <w:bCs/>
                          <w:color w:val="000000"/>
                          <w:sz w:val="18"/>
                        </w:rPr>
                        <w:t>:</w:t>
                      </w:r>
                      <w:r w:rsidRPr="0058448A">
                        <w:rPr>
                          <w:rFonts w:eastAsia="Arial" w:cs="Times New Roman"/>
                          <w:color w:val="000000"/>
                          <w:sz w:val="18"/>
                        </w:rPr>
                        <w:t xml:space="preserve"> Documentos incluídos para leitura do texto </w:t>
                      </w:r>
                      <w:r w:rsidRPr="0058448A">
                        <w:rPr>
                          <w:rFonts w:eastAsia="Arial" w:cs="Times New Roman"/>
                          <w:sz w:val="18"/>
                        </w:rPr>
                        <w:t>completo (n =</w:t>
                      </w:r>
                      <w:r>
                        <w:rPr>
                          <w:rFonts w:eastAsia="Arial" w:cs="Times New Roman"/>
                          <w:sz w:val="18"/>
                        </w:rPr>
                        <w:t xml:space="preserve"> 19</w:t>
                      </w:r>
                      <w:r w:rsidRPr="0058448A">
                        <w:rPr>
                          <w:rFonts w:eastAsia="Arial" w:cs="Times New Roman"/>
                          <w:sz w:val="18"/>
                        </w:rPr>
                        <w:t>)</w:t>
                      </w:r>
                    </w:p>
                  </w:txbxContent>
                </v:textbox>
                <w10:wrap anchorx="margin"/>
              </v:rect>
            </w:pict>
          </mc:Fallback>
        </mc:AlternateContent>
      </w:r>
      <w:r w:rsidRPr="00E06427">
        <w:rPr>
          <w:rFonts w:cs="Times New Roman"/>
          <w:noProof/>
          <w:color w:val="70AD47" w:themeColor="accent6"/>
        </w:rPr>
        <mc:AlternateContent>
          <mc:Choice Requires="wps">
            <w:drawing>
              <wp:anchor distT="0" distB="0" distL="114300" distR="114300" simplePos="0" relativeHeight="251672576" behindDoc="0" locked="0" layoutInCell="1" hidden="0" allowOverlap="1" wp14:anchorId="14ECE814" wp14:editId="34C2649E">
                <wp:simplePos x="0" y="0"/>
                <wp:positionH relativeFrom="column">
                  <wp:posOffset>536394</wp:posOffset>
                </wp:positionH>
                <wp:positionV relativeFrom="paragraph">
                  <wp:posOffset>128725</wp:posOffset>
                </wp:positionV>
                <wp:extent cx="2273300" cy="713014"/>
                <wp:effectExtent l="0" t="0" r="12700" b="11430"/>
                <wp:wrapNone/>
                <wp:docPr id="29" name="Retângulo 29"/>
                <wp:cNvGraphicFramePr/>
                <a:graphic xmlns:a="http://schemas.openxmlformats.org/drawingml/2006/main">
                  <a:graphicData uri="http://schemas.microsoft.com/office/word/2010/wordprocessingShape">
                    <wps:wsp>
                      <wps:cNvSpPr/>
                      <wps:spPr>
                        <a:xfrm>
                          <a:off x="0" y="0"/>
                          <a:ext cx="2273300" cy="713014"/>
                        </a:xfrm>
                        <a:prstGeom prst="rect">
                          <a:avLst/>
                        </a:prstGeom>
                        <a:noFill/>
                        <a:ln w="12700" cap="flat" cmpd="sng">
                          <a:solidFill>
                            <a:schemeClr val="dk1"/>
                          </a:solidFill>
                          <a:prstDash val="solid"/>
                          <a:miter lim="800000"/>
                          <a:headEnd type="none" w="sm" len="sm"/>
                          <a:tailEnd type="none" w="sm" len="sm"/>
                        </a:ln>
                      </wps:spPr>
                      <wps:txbx>
                        <w:txbxContent>
                          <w:p w14:paraId="19781F84" w14:textId="77777777" w:rsidR="00886FFD" w:rsidRPr="0058448A" w:rsidRDefault="00886FFD" w:rsidP="00886FFD">
                            <w:pPr>
                              <w:spacing w:line="240" w:lineRule="auto"/>
                              <w:textDirection w:val="btLr"/>
                              <w:rPr>
                                <w:rFonts w:eastAsia="Arial" w:cs="Times New Roman"/>
                                <w:color w:val="000000"/>
                                <w:sz w:val="18"/>
                              </w:rPr>
                            </w:pPr>
                            <w:r w:rsidRPr="0058448A">
                              <w:rPr>
                                <w:rFonts w:eastAsia="Arial" w:cs="Times New Roman"/>
                                <w:b/>
                                <w:bCs/>
                                <w:color w:val="000000"/>
                                <w:sz w:val="18"/>
                              </w:rPr>
                              <w:t>Inclusão:</w:t>
                            </w:r>
                            <w:r w:rsidRPr="0058448A">
                              <w:rPr>
                                <w:rFonts w:eastAsia="Arial" w:cs="Times New Roman"/>
                                <w:color w:val="000000"/>
                                <w:sz w:val="18"/>
                              </w:rPr>
                              <w:t xml:space="preserve"> Estudos incluídos na revisão após a leitura do texto completo e avaliação de qualidade (n =</w:t>
                            </w:r>
                            <w:r>
                              <w:rPr>
                                <w:rFonts w:eastAsia="Arial" w:cs="Times New Roman"/>
                                <w:color w:val="000000"/>
                                <w:sz w:val="18"/>
                              </w:rPr>
                              <w:t xml:space="preserve"> 07</w:t>
                            </w:r>
                            <w:r w:rsidRPr="0058448A">
                              <w:rPr>
                                <w:rFonts w:eastAsia="Arial" w:cs="Times New Roman"/>
                                <w:color w:val="000000"/>
                                <w:sz w:val="18"/>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4ECE814" id="Retângulo 29" o:spid="_x0000_s1034" style="position:absolute;left:0;text-align:left;margin-left:42.25pt;margin-top:10.15pt;width:179pt;height:5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" filled="f" strokecolor="black [3200]" strokeweight="1pt">
                <v:stroke startarrowwidth="narrow" startarrowlength="short" endarrowwidth="narrow" endarrowlength="short"/>
                <v:textbox inset="2.53958mm,1.2694mm,2.53958mm,1.2694mm">
                  <w:txbxContent>
                    <w:p w14:paraId="19781F84" w14:textId="77777777" w:rsidR="00886FFD" w:rsidRPr="0058448A" w:rsidRDefault="00886FFD" w:rsidP="00886FFD">
                      <w:pPr>
                        <w:spacing w:line="240" w:lineRule="auto"/>
                        <w:textDirection w:val="btLr"/>
                        <w:rPr>
                          <w:rFonts w:eastAsia="Arial" w:cs="Times New Roman"/>
                          <w:color w:val="000000"/>
                          <w:sz w:val="18"/>
                        </w:rPr>
                      </w:pPr>
                      <w:r w:rsidRPr="0058448A">
                        <w:rPr>
                          <w:rFonts w:eastAsia="Arial" w:cs="Times New Roman"/>
                          <w:b/>
                          <w:bCs/>
                          <w:color w:val="000000"/>
                          <w:sz w:val="18"/>
                        </w:rPr>
                        <w:t>Inclusão:</w:t>
                      </w:r>
                      <w:r w:rsidRPr="0058448A">
                        <w:rPr>
                          <w:rFonts w:eastAsia="Arial" w:cs="Times New Roman"/>
                          <w:color w:val="000000"/>
                          <w:sz w:val="18"/>
                        </w:rPr>
                        <w:t xml:space="preserve"> Estudos incluídos na revisão após a leitura do texto completo e avaliação de qualidade (n =</w:t>
                      </w:r>
                      <w:r>
                        <w:rPr>
                          <w:rFonts w:eastAsia="Arial" w:cs="Times New Roman"/>
                          <w:color w:val="000000"/>
                          <w:sz w:val="18"/>
                        </w:rPr>
                        <w:t xml:space="preserve"> 07</w:t>
                      </w:r>
                      <w:r w:rsidRPr="0058448A">
                        <w:rPr>
                          <w:rFonts w:eastAsia="Arial" w:cs="Times New Roman"/>
                          <w:color w:val="000000"/>
                          <w:sz w:val="18"/>
                        </w:rPr>
                        <w:t>)</w:t>
                      </w:r>
                    </w:p>
                  </w:txbxContent>
                </v:textbox>
              </v:rect>
            </w:pict>
          </mc:Fallback>
        </mc:AlternateContent>
      </w:r>
    </w:p>
    <w:p w14:paraId="3F155CCC" w14:textId="49654199" w:rsidR="00886FFD" w:rsidRPr="00E06427" w:rsidRDefault="002E0343" w:rsidP="00886FFD">
      <w:pPr>
        <w:spacing w:line="240" w:lineRule="auto"/>
        <w:rPr>
          <w:rFonts w:eastAsia="Times New Roman" w:cs="Times New Roman"/>
          <w:color w:val="70AD47" w:themeColor="accent6"/>
          <w:szCs w:val="24"/>
        </w:rPr>
      </w:pPr>
      <w:r w:rsidRPr="00E06427">
        <w:rPr>
          <w:rFonts w:cs="Times New Roman"/>
          <w:noProof/>
          <w:color w:val="70AD47" w:themeColor="accent6"/>
        </w:rPr>
        <mc:AlternateContent>
          <mc:Choice Requires="wps">
            <w:drawing>
              <wp:anchor distT="0" distB="0" distL="114300" distR="114300" simplePos="0" relativeHeight="251673600" behindDoc="0" locked="0" layoutInCell="1" hidden="0" allowOverlap="1" wp14:anchorId="34A0F985" wp14:editId="14FB032F">
                <wp:simplePos x="0" y="0"/>
                <wp:positionH relativeFrom="column">
                  <wp:posOffset>-131015</wp:posOffset>
                </wp:positionH>
                <wp:positionV relativeFrom="paragraph">
                  <wp:posOffset>172290</wp:posOffset>
                </wp:positionV>
                <wp:extent cx="721859" cy="288290"/>
                <wp:effectExtent l="6985" t="0" r="28575" b="28575"/>
                <wp:wrapNone/>
                <wp:docPr id="30" name="Fluxograma: Processo Alternativo 30"/>
                <wp:cNvGraphicFramePr/>
                <a:graphic xmlns:a="http://schemas.openxmlformats.org/drawingml/2006/main">
                  <a:graphicData uri="http://schemas.microsoft.com/office/word/2010/wordprocessingShape">
                    <wps:wsp>
                      <wps:cNvSpPr/>
                      <wps:spPr>
                        <a:xfrm rot="16200000">
                          <a:off x="0" y="0"/>
                          <a:ext cx="721859" cy="288290"/>
                        </a:xfrm>
                        <a:prstGeom prst="flowChartAlternateProcess">
                          <a:avLst/>
                        </a:prstGeom>
                        <a:solidFill>
                          <a:schemeClr val="lt2"/>
                        </a:solidFill>
                        <a:ln w="12700" cap="flat" cmpd="sng">
                          <a:solidFill>
                            <a:schemeClr val="dk1"/>
                          </a:solidFill>
                          <a:prstDash val="solid"/>
                          <a:miter lim="800000"/>
                          <a:headEnd type="none" w="sm" len="sm"/>
                          <a:tailEnd type="none" w="sm" len="sm"/>
                        </a:ln>
                      </wps:spPr>
                      <wps:txbx>
                        <w:txbxContent>
                          <w:p w14:paraId="305DBC12"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Inclusão</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shape w14:anchorId="34A0F985" id="Fluxograma: Processo Alternativo 30" o:spid="_x0000_s1035" type="#_x0000_t176" style="position:absolute;left:0;text-align:left;margin-left:-10.3pt;margin-top:13.55pt;width:56.85pt;height:22.7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" fillcolor="#e7e6e6 [3203]" strokecolor="black [3200]" strokeweight="1pt">
                <v:stroke startarrowwidth="narrow" startarrowlength="short" endarrowwidth="narrow" endarrowlength="short"/>
                <v:textbox inset="2.53958mm,1.2694mm,2.53958mm,1.2694mm">
                  <w:txbxContent>
                    <w:p w14:paraId="305DBC12" w14:textId="77777777" w:rsidR="00886FFD" w:rsidRPr="003241AC" w:rsidRDefault="00886FFD" w:rsidP="00886FFD">
                      <w:pPr>
                        <w:spacing w:line="240" w:lineRule="auto"/>
                        <w:jc w:val="center"/>
                        <w:textDirection w:val="btLr"/>
                        <w:rPr>
                          <w:sz w:val="22"/>
                          <w:szCs w:val="20"/>
                        </w:rPr>
                      </w:pPr>
                      <w:r w:rsidRPr="003241AC">
                        <w:rPr>
                          <w:rFonts w:ascii="Arial" w:eastAsia="Arial" w:hAnsi="Arial" w:cs="Arial"/>
                          <w:b/>
                          <w:color w:val="000000"/>
                          <w:sz w:val="16"/>
                          <w:szCs w:val="20"/>
                        </w:rPr>
                        <w:t>Inclusão</w:t>
                      </w:r>
                    </w:p>
                  </w:txbxContent>
                </v:textbox>
              </v:shape>
            </w:pict>
          </mc:Fallback>
        </mc:AlternateContent>
      </w:r>
    </w:p>
    <w:p w14:paraId="3195CA2A" w14:textId="1A1C7B3F" w:rsidR="00886FFD" w:rsidRPr="00E06427" w:rsidRDefault="00886FFD" w:rsidP="00886FFD">
      <w:pPr>
        <w:spacing w:line="240" w:lineRule="auto"/>
        <w:rPr>
          <w:rFonts w:eastAsia="Times New Roman" w:cs="Times New Roman"/>
          <w:color w:val="70AD47" w:themeColor="accent6"/>
          <w:szCs w:val="24"/>
        </w:rPr>
      </w:pPr>
    </w:p>
    <w:p w14:paraId="5A796EBE" w14:textId="1F1F5501" w:rsidR="00886FFD" w:rsidRPr="00E06427" w:rsidRDefault="00886FFD" w:rsidP="00886FFD">
      <w:pPr>
        <w:spacing w:line="240" w:lineRule="auto"/>
        <w:rPr>
          <w:rFonts w:eastAsia="Times New Roman" w:cs="Times New Roman"/>
          <w:color w:val="70AD47" w:themeColor="accent6"/>
          <w:szCs w:val="24"/>
        </w:rPr>
      </w:pPr>
    </w:p>
    <w:p w14:paraId="7F9A65C8" w14:textId="5CBDC767" w:rsidR="00886FFD" w:rsidRPr="00E06427" w:rsidRDefault="00886FFD" w:rsidP="00886FFD">
      <w:pPr>
        <w:spacing w:line="240" w:lineRule="auto"/>
        <w:rPr>
          <w:rFonts w:eastAsia="Times New Roman" w:cs="Times New Roman"/>
          <w:color w:val="70AD47" w:themeColor="accent6"/>
          <w:szCs w:val="24"/>
        </w:rPr>
      </w:pPr>
    </w:p>
    <w:p w14:paraId="0FEFD89B" w14:textId="213F728F" w:rsidR="00886FFD" w:rsidRPr="00023034" w:rsidRDefault="00886FFD" w:rsidP="00342E82">
      <w:pPr>
        <w:spacing w:line="240" w:lineRule="auto"/>
        <w:rPr>
          <w:sz w:val="20"/>
          <w:szCs w:val="18"/>
        </w:rPr>
      </w:pPr>
      <w:r w:rsidRPr="00023034">
        <w:rPr>
          <w:rFonts w:eastAsia="Times New Roman" w:cs="Times New Roman"/>
          <w:color w:val="70AD47" w:themeColor="accent6"/>
          <w:sz w:val="22"/>
        </w:rPr>
        <w:t xml:space="preserve">   </w:t>
      </w:r>
      <w:r w:rsidRPr="00023034">
        <w:rPr>
          <w:rFonts w:eastAsia="Times New Roman" w:cs="Times New Roman"/>
          <w:b/>
          <w:bCs/>
          <w:sz w:val="20"/>
          <w:szCs w:val="18"/>
        </w:rPr>
        <w:t>Fonte:</w:t>
      </w:r>
      <w:r w:rsidRPr="00023034">
        <w:rPr>
          <w:rFonts w:eastAsia="Times New Roman" w:cs="Times New Roman"/>
          <w:sz w:val="20"/>
          <w:szCs w:val="18"/>
        </w:rPr>
        <w:t xml:space="preserve"> Adaptado de Page </w:t>
      </w:r>
      <w:r w:rsidRPr="00023034">
        <w:rPr>
          <w:rFonts w:eastAsia="Times New Roman" w:cs="Times New Roman"/>
          <w:i/>
          <w:iCs/>
          <w:sz w:val="20"/>
          <w:szCs w:val="18"/>
        </w:rPr>
        <w:t>et al.</w:t>
      </w:r>
      <w:r w:rsidRPr="00023034">
        <w:rPr>
          <w:rFonts w:eastAsia="Times New Roman" w:cs="Times New Roman"/>
          <w:sz w:val="20"/>
          <w:szCs w:val="18"/>
        </w:rPr>
        <w:t xml:space="preserve"> (2021).</w:t>
      </w:r>
    </w:p>
    <w:p w14:paraId="0D26AA4B" w14:textId="77777777" w:rsidR="007537CC" w:rsidRPr="00E06427" w:rsidRDefault="007537CC" w:rsidP="00226493">
      <w:pPr>
        <w:spacing w:line="240" w:lineRule="auto"/>
        <w:rPr>
          <w:rFonts w:eastAsia="Arial" w:cs="Times New Roman"/>
          <w:spacing w:val="-2"/>
          <w:szCs w:val="24"/>
        </w:rPr>
      </w:pPr>
    </w:p>
    <w:p w14:paraId="1F32CA64" w14:textId="6E51EA6D" w:rsidR="00C96FF9" w:rsidRPr="00E06427" w:rsidRDefault="007537CC" w:rsidP="001772DE">
      <w:pPr>
        <w:rPr>
          <w:rFonts w:eastAsia="Arial" w:cs="Times New Roman"/>
          <w:spacing w:val="-2"/>
          <w:szCs w:val="24"/>
        </w:rPr>
      </w:pPr>
      <w:r w:rsidRPr="00E06427">
        <w:rPr>
          <w:rFonts w:eastAsia="Arial" w:cs="Times New Roman"/>
          <w:spacing w:val="-2"/>
          <w:szCs w:val="24"/>
        </w:rPr>
        <w:tab/>
      </w:r>
      <w:r w:rsidR="00C96FF9" w:rsidRPr="00E06427">
        <w:rPr>
          <w:rFonts w:eastAsia="Arial" w:cs="Times New Roman"/>
          <w:spacing w:val="-2"/>
          <w:szCs w:val="24"/>
        </w:rPr>
        <w:t xml:space="preserve">Na fase inicial, foram selecionados 52 artigos nas três bases de dados analisadas: 9 da Scopus, 39 da Web </w:t>
      </w:r>
      <w:proofErr w:type="spellStart"/>
      <w:r w:rsidR="00C96FF9" w:rsidRPr="00E06427">
        <w:rPr>
          <w:rFonts w:eastAsia="Arial" w:cs="Times New Roman"/>
          <w:spacing w:val="-2"/>
          <w:szCs w:val="24"/>
        </w:rPr>
        <w:t>of</w:t>
      </w:r>
      <w:proofErr w:type="spellEnd"/>
      <w:r w:rsidR="00C96FF9" w:rsidRPr="00E06427">
        <w:rPr>
          <w:rFonts w:eastAsia="Arial" w:cs="Times New Roman"/>
          <w:spacing w:val="-2"/>
          <w:szCs w:val="24"/>
        </w:rPr>
        <w:t xml:space="preserve"> Science e 4 da Science Direct. Desses, 4 foram removidos por serem duplicados, resultando em um total de 48 pesquisas para a próxima fase. Após a análise dos títulos e resumos, foram descartados 29 artigos e selecionados 19 para uma leitura completa. Dessa leitura, apenas 7 artigos foram considerados adequados para inclusão na seleção final da revisão.</w:t>
      </w:r>
    </w:p>
    <w:p w14:paraId="0B228BE6" w14:textId="19841059" w:rsidR="00FE6421" w:rsidRPr="00E06427" w:rsidRDefault="00367F35" w:rsidP="00A219EB">
      <w:pPr>
        <w:rPr>
          <w:rFonts w:eastAsia="Arial" w:cs="Times New Roman"/>
          <w:spacing w:val="-2"/>
          <w:szCs w:val="24"/>
        </w:rPr>
      </w:pPr>
      <w:r w:rsidRPr="00E06427">
        <w:rPr>
          <w:rFonts w:eastAsia="Arial" w:cs="Times New Roman"/>
          <w:spacing w:val="-2"/>
          <w:szCs w:val="24"/>
        </w:rPr>
        <w:tab/>
      </w:r>
      <w:r w:rsidR="00197A7E" w:rsidRPr="00E06427">
        <w:rPr>
          <w:rFonts w:eastAsia="Arial" w:cs="Times New Roman"/>
          <w:spacing w:val="-2"/>
          <w:szCs w:val="24"/>
        </w:rPr>
        <w:t xml:space="preserve">A leitura dos artigos selecionados identificou características fundamentais sobre o tema: </w:t>
      </w:r>
      <w:r w:rsidR="00523B8E" w:rsidRPr="00E06427">
        <w:rPr>
          <w:rFonts w:eastAsia="Arial" w:cs="Times New Roman"/>
          <w:spacing w:val="-2"/>
          <w:szCs w:val="24"/>
        </w:rPr>
        <w:t xml:space="preserve">devido </w:t>
      </w:r>
      <w:r w:rsidR="0015038B" w:rsidRPr="00E06427">
        <w:rPr>
          <w:rFonts w:eastAsia="Arial" w:cs="Times New Roman"/>
          <w:spacing w:val="-2"/>
          <w:szCs w:val="24"/>
        </w:rPr>
        <w:t>à</w:t>
      </w:r>
      <w:r w:rsidR="00523B8E" w:rsidRPr="00E06427">
        <w:rPr>
          <w:rFonts w:eastAsia="Arial" w:cs="Times New Roman"/>
          <w:spacing w:val="-2"/>
          <w:szCs w:val="24"/>
        </w:rPr>
        <w:t xml:space="preserve"> complexidade e abstração, </w:t>
      </w:r>
      <w:r w:rsidR="00197A7E" w:rsidRPr="00E06427">
        <w:rPr>
          <w:rFonts w:eastAsia="Arial" w:cs="Times New Roman"/>
          <w:spacing w:val="-2"/>
          <w:szCs w:val="24"/>
        </w:rPr>
        <w:t>a qualidade é</w:t>
      </w:r>
      <w:r w:rsidR="00806290" w:rsidRPr="00E06427">
        <w:rPr>
          <w:rFonts w:eastAsia="Arial" w:cs="Times New Roman"/>
          <w:spacing w:val="-2"/>
          <w:szCs w:val="24"/>
        </w:rPr>
        <w:t xml:space="preserve"> </w:t>
      </w:r>
      <w:r w:rsidR="00197A7E" w:rsidRPr="00E06427">
        <w:rPr>
          <w:rFonts w:eastAsia="Arial" w:cs="Times New Roman"/>
          <w:spacing w:val="-2"/>
          <w:szCs w:val="24"/>
        </w:rPr>
        <w:t xml:space="preserve">desafiadora </w:t>
      </w:r>
      <w:r w:rsidR="00806290" w:rsidRPr="00E06427">
        <w:rPr>
          <w:rFonts w:eastAsia="Arial" w:cs="Times New Roman"/>
          <w:spacing w:val="-2"/>
          <w:szCs w:val="24"/>
        </w:rPr>
        <w:t>para</w:t>
      </w:r>
      <w:r w:rsidR="00197A7E" w:rsidRPr="00E06427">
        <w:rPr>
          <w:rFonts w:eastAsia="Arial" w:cs="Times New Roman"/>
          <w:spacing w:val="-2"/>
          <w:szCs w:val="24"/>
        </w:rPr>
        <w:t xml:space="preserve"> ser definida de forma unificada e aplicável a todas as áreas</w:t>
      </w:r>
      <w:r w:rsidR="00523B8E" w:rsidRPr="00E06427">
        <w:rPr>
          <w:rFonts w:eastAsia="Arial" w:cs="Times New Roman"/>
          <w:spacing w:val="-2"/>
          <w:szCs w:val="24"/>
        </w:rPr>
        <w:t xml:space="preserve">. </w:t>
      </w:r>
      <w:r w:rsidR="00197A7E" w:rsidRPr="00E06427">
        <w:rPr>
          <w:rFonts w:eastAsia="Arial" w:cs="Times New Roman"/>
          <w:spacing w:val="-2"/>
          <w:szCs w:val="24"/>
        </w:rPr>
        <w:t>No ensino superior, pode ser abordada de várias maneiras, impactando as escolhas de indicadores e os processos de avaliação, auditoria e controle</w:t>
      </w:r>
      <w:r w:rsidR="00644B38" w:rsidRPr="00E06427">
        <w:rPr>
          <w:rFonts w:eastAsia="Arial" w:cs="Times New Roman"/>
          <w:spacing w:val="-2"/>
          <w:szCs w:val="24"/>
        </w:rPr>
        <w:t>.</w:t>
      </w:r>
    </w:p>
    <w:p w14:paraId="6FEEDF76" w14:textId="5FBB54AA" w:rsidR="00FE6421" w:rsidRPr="00E06427" w:rsidRDefault="0019012B" w:rsidP="00A219EB">
      <w:pPr>
        <w:rPr>
          <w:rFonts w:eastAsia="Arial" w:cs="Times New Roman"/>
          <w:spacing w:val="-2"/>
          <w:szCs w:val="24"/>
        </w:rPr>
      </w:pPr>
      <w:r w:rsidRPr="00E06427">
        <w:rPr>
          <w:rFonts w:eastAsia="Arial" w:cs="Times New Roman"/>
          <w:spacing w:val="-2"/>
          <w:szCs w:val="24"/>
        </w:rPr>
        <w:lastRenderedPageBreak/>
        <w:tab/>
        <w:t xml:space="preserve">A tabela </w:t>
      </w:r>
      <w:r w:rsidR="00A802DB" w:rsidRPr="00E06427">
        <w:rPr>
          <w:rFonts w:eastAsia="Arial" w:cs="Times New Roman"/>
          <w:spacing w:val="-2"/>
          <w:szCs w:val="24"/>
        </w:rPr>
        <w:t>abaixo</w:t>
      </w:r>
      <w:r w:rsidR="007B2214" w:rsidRPr="00E06427">
        <w:rPr>
          <w:rFonts w:eastAsia="Arial" w:cs="Times New Roman"/>
          <w:spacing w:val="-2"/>
          <w:szCs w:val="24"/>
        </w:rPr>
        <w:t xml:space="preserve"> </w:t>
      </w:r>
      <w:r w:rsidRPr="00E06427">
        <w:rPr>
          <w:rFonts w:eastAsia="Arial" w:cs="Times New Roman"/>
          <w:spacing w:val="-2"/>
          <w:szCs w:val="24"/>
        </w:rPr>
        <w:t xml:space="preserve">apresenta </w:t>
      </w:r>
      <w:r w:rsidR="002D56CD" w:rsidRPr="00E06427">
        <w:rPr>
          <w:rFonts w:eastAsia="Arial" w:cs="Times New Roman"/>
          <w:spacing w:val="-2"/>
          <w:szCs w:val="24"/>
        </w:rPr>
        <w:t xml:space="preserve">os artigos selecionados </w:t>
      </w:r>
      <w:r w:rsidR="0049112E" w:rsidRPr="00E06427">
        <w:rPr>
          <w:rFonts w:eastAsia="Arial" w:cs="Times New Roman"/>
          <w:spacing w:val="-2"/>
          <w:szCs w:val="24"/>
        </w:rPr>
        <w:t xml:space="preserve">e cada </w:t>
      </w:r>
      <w:r w:rsidR="002473F5" w:rsidRPr="00E06427">
        <w:rPr>
          <w:rFonts w:cs="Times New Roman"/>
          <w:szCs w:val="24"/>
        </w:rPr>
        <w:t xml:space="preserve">um desses estudos oferece insights valiosos e </w:t>
      </w:r>
      <w:r w:rsidR="007B2214" w:rsidRPr="00E06427">
        <w:rPr>
          <w:rFonts w:cs="Times New Roman"/>
          <w:szCs w:val="24"/>
        </w:rPr>
        <w:t>contextos</w:t>
      </w:r>
      <w:r w:rsidR="002473F5" w:rsidRPr="00E06427">
        <w:rPr>
          <w:rFonts w:cs="Times New Roman"/>
          <w:szCs w:val="24"/>
        </w:rPr>
        <w:t xml:space="preserve"> distintas, proporcionando uma visão enriquecedora </w:t>
      </w:r>
      <w:r w:rsidR="005A67A8" w:rsidRPr="00E06427">
        <w:rPr>
          <w:rFonts w:cs="Times New Roman"/>
          <w:szCs w:val="24"/>
        </w:rPr>
        <w:t xml:space="preserve">da </w:t>
      </w:r>
      <w:r w:rsidR="002473F5" w:rsidRPr="00E06427">
        <w:rPr>
          <w:rFonts w:cs="Times New Roman"/>
          <w:szCs w:val="24"/>
        </w:rPr>
        <w:t>temática.</w:t>
      </w:r>
    </w:p>
    <w:p w14:paraId="59B79B70" w14:textId="77777777" w:rsidR="000F4659" w:rsidRPr="00E06427" w:rsidRDefault="000F4659" w:rsidP="008126D1">
      <w:pPr>
        <w:spacing w:line="240" w:lineRule="auto"/>
        <w:jc w:val="center"/>
        <w:rPr>
          <w:rFonts w:eastAsia="Times New Roman" w:cs="Times New Roman"/>
        </w:rPr>
      </w:pPr>
    </w:p>
    <w:p w14:paraId="4BF59C56" w14:textId="77777777" w:rsidR="00263336" w:rsidRPr="00E06427" w:rsidRDefault="00263336" w:rsidP="008126D1">
      <w:pPr>
        <w:spacing w:line="240" w:lineRule="auto"/>
        <w:jc w:val="center"/>
        <w:rPr>
          <w:rFonts w:eastAsia="Times New Roman" w:cs="Times New Roman"/>
          <w:sz w:val="22"/>
        </w:rPr>
      </w:pPr>
      <w:r w:rsidRPr="00023034">
        <w:rPr>
          <w:rFonts w:eastAsia="Times New Roman" w:cs="Times New Roman"/>
          <w:b/>
          <w:bCs/>
          <w:sz w:val="22"/>
        </w:rPr>
        <w:t>Tabela 02 –</w:t>
      </w:r>
      <w:r w:rsidRPr="00E06427">
        <w:rPr>
          <w:rFonts w:eastAsia="Times New Roman" w:cs="Times New Roman"/>
          <w:sz w:val="22"/>
        </w:rPr>
        <w:t xml:space="preserve"> Artigos selecionados com a leitura completa dos textos</w:t>
      </w:r>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1843"/>
        <w:gridCol w:w="1843"/>
        <w:gridCol w:w="3237"/>
        <w:gridCol w:w="1581"/>
      </w:tblGrid>
      <w:tr w:rsidR="003F334F" w:rsidRPr="00E06427" w14:paraId="7DD0D119" w14:textId="77777777" w:rsidTr="00023034">
        <w:tc>
          <w:tcPr>
            <w:tcW w:w="572" w:type="dxa"/>
            <w:tcBorders>
              <w:top w:val="single" w:sz="8" w:space="0" w:color="auto"/>
              <w:bottom w:val="single" w:sz="4" w:space="0" w:color="auto"/>
              <w:right w:val="single" w:sz="4" w:space="0" w:color="auto"/>
            </w:tcBorders>
            <w:shd w:val="clear" w:color="auto" w:fill="D9D9D9" w:themeFill="background1" w:themeFillShade="D9"/>
            <w:vAlign w:val="center"/>
          </w:tcPr>
          <w:p w14:paraId="4AD97352" w14:textId="33F37131"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N.</w:t>
            </w:r>
          </w:p>
        </w:tc>
        <w:tc>
          <w:tcPr>
            <w:tcW w:w="1843" w:type="dxa"/>
            <w:tcBorders>
              <w:top w:val="single" w:sz="8" w:space="0" w:color="auto"/>
              <w:bottom w:val="single" w:sz="4" w:space="0" w:color="auto"/>
              <w:right w:val="single" w:sz="4" w:space="0" w:color="auto"/>
            </w:tcBorders>
            <w:shd w:val="clear" w:color="auto" w:fill="D9D9D9" w:themeFill="background1" w:themeFillShade="D9"/>
            <w:vAlign w:val="center"/>
          </w:tcPr>
          <w:p w14:paraId="20BD64D7" w14:textId="18A9F2EF"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Autor(es)</w:t>
            </w:r>
          </w:p>
        </w:tc>
        <w:tc>
          <w:tcPr>
            <w:tcW w:w="1843"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tcPr>
          <w:p w14:paraId="1CD24295" w14:textId="77777777"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Abordagem da qualidade</w:t>
            </w:r>
          </w:p>
        </w:tc>
        <w:tc>
          <w:tcPr>
            <w:tcW w:w="3237"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tcPr>
          <w:p w14:paraId="495103A1" w14:textId="77777777"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Indicadores / Critérios</w:t>
            </w:r>
          </w:p>
          <w:p w14:paraId="4405057D" w14:textId="77777777"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de avaliação</w:t>
            </w:r>
          </w:p>
        </w:tc>
        <w:tc>
          <w:tcPr>
            <w:tcW w:w="1581" w:type="dxa"/>
            <w:tcBorders>
              <w:top w:val="single" w:sz="8" w:space="0" w:color="auto"/>
              <w:left w:val="single" w:sz="4" w:space="0" w:color="auto"/>
              <w:bottom w:val="single" w:sz="4" w:space="0" w:color="auto"/>
            </w:tcBorders>
            <w:shd w:val="clear" w:color="auto" w:fill="D9D9D9" w:themeFill="background1" w:themeFillShade="D9"/>
            <w:vAlign w:val="center"/>
          </w:tcPr>
          <w:p w14:paraId="0FB069A0" w14:textId="77777777" w:rsidR="007A4293" w:rsidRPr="00E06427" w:rsidRDefault="007A4293" w:rsidP="008126D1">
            <w:pPr>
              <w:spacing w:line="240" w:lineRule="auto"/>
              <w:jc w:val="center"/>
              <w:rPr>
                <w:rFonts w:eastAsia="Times New Roman" w:cs="Times New Roman"/>
                <w:b/>
                <w:bCs/>
                <w:sz w:val="18"/>
                <w:szCs w:val="18"/>
              </w:rPr>
            </w:pPr>
            <w:r w:rsidRPr="00E06427">
              <w:rPr>
                <w:rFonts w:eastAsia="Times New Roman" w:cs="Times New Roman"/>
                <w:b/>
                <w:bCs/>
                <w:sz w:val="18"/>
                <w:szCs w:val="18"/>
              </w:rPr>
              <w:t>Observações</w:t>
            </w:r>
          </w:p>
        </w:tc>
      </w:tr>
      <w:tr w:rsidR="003F334F" w:rsidRPr="00E06427" w14:paraId="33D2D194" w14:textId="77777777" w:rsidTr="00312C1B">
        <w:tc>
          <w:tcPr>
            <w:tcW w:w="572" w:type="dxa"/>
            <w:tcBorders>
              <w:top w:val="single" w:sz="4" w:space="0" w:color="auto"/>
              <w:bottom w:val="single" w:sz="4" w:space="0" w:color="auto"/>
              <w:right w:val="single" w:sz="4" w:space="0" w:color="auto"/>
            </w:tcBorders>
            <w:vAlign w:val="center"/>
          </w:tcPr>
          <w:p w14:paraId="1B70B449" w14:textId="43FC267B" w:rsidR="007A4293" w:rsidRPr="00E06427" w:rsidRDefault="007A4293" w:rsidP="00672CAC">
            <w:pPr>
              <w:spacing w:line="240" w:lineRule="auto"/>
              <w:jc w:val="center"/>
              <w:rPr>
                <w:rFonts w:cs="Times New Roman"/>
                <w:sz w:val="18"/>
                <w:szCs w:val="18"/>
              </w:rPr>
            </w:pPr>
            <w:r w:rsidRPr="00E06427">
              <w:rPr>
                <w:rFonts w:cs="Times New Roman"/>
                <w:sz w:val="18"/>
                <w:szCs w:val="18"/>
              </w:rPr>
              <w:t>01</w:t>
            </w:r>
          </w:p>
        </w:tc>
        <w:tc>
          <w:tcPr>
            <w:tcW w:w="1843" w:type="dxa"/>
            <w:tcBorders>
              <w:top w:val="single" w:sz="4" w:space="0" w:color="auto"/>
              <w:bottom w:val="single" w:sz="4" w:space="0" w:color="auto"/>
              <w:right w:val="single" w:sz="4" w:space="0" w:color="auto"/>
            </w:tcBorders>
            <w:vAlign w:val="center"/>
          </w:tcPr>
          <w:p w14:paraId="4FAB5420" w14:textId="0D0888B1" w:rsidR="007A4293" w:rsidRPr="00E06427" w:rsidRDefault="007A4293" w:rsidP="00672CAC">
            <w:pPr>
              <w:spacing w:line="240" w:lineRule="auto"/>
              <w:jc w:val="center"/>
              <w:rPr>
                <w:rFonts w:cs="Times New Roman"/>
                <w:sz w:val="18"/>
                <w:szCs w:val="18"/>
              </w:rPr>
            </w:pPr>
            <w:proofErr w:type="spellStart"/>
            <w:r w:rsidRPr="00E06427">
              <w:rPr>
                <w:rFonts w:cs="Times New Roman"/>
                <w:sz w:val="18"/>
                <w:szCs w:val="18"/>
              </w:rPr>
              <w:t>Habbal</w:t>
            </w:r>
            <w:proofErr w:type="spellEnd"/>
            <w:r w:rsidRPr="00E06427">
              <w:rPr>
                <w:rFonts w:cs="Times New Roman"/>
                <w:sz w:val="18"/>
                <w:szCs w:val="18"/>
              </w:rPr>
              <w:t xml:space="preserve">; </w:t>
            </w:r>
            <w:proofErr w:type="spellStart"/>
            <w:r w:rsidRPr="00E06427">
              <w:rPr>
                <w:rFonts w:cs="Times New Roman"/>
                <w:sz w:val="18"/>
                <w:szCs w:val="18"/>
              </w:rPr>
              <w:t>Jreisat</w:t>
            </w:r>
            <w:proofErr w:type="spellEnd"/>
            <w:r w:rsidRPr="00E06427">
              <w:rPr>
                <w:rFonts w:cs="Times New Roman"/>
                <w:sz w:val="18"/>
                <w:szCs w:val="18"/>
              </w:rPr>
              <w:t>, 2018</w:t>
            </w:r>
          </w:p>
        </w:tc>
        <w:tc>
          <w:tcPr>
            <w:tcW w:w="1843" w:type="dxa"/>
            <w:tcBorders>
              <w:top w:val="single" w:sz="4" w:space="0" w:color="auto"/>
              <w:left w:val="single" w:sz="4" w:space="0" w:color="auto"/>
              <w:bottom w:val="single" w:sz="4" w:space="0" w:color="auto"/>
              <w:right w:val="single" w:sz="4" w:space="0" w:color="auto"/>
            </w:tcBorders>
            <w:vAlign w:val="center"/>
          </w:tcPr>
          <w:p w14:paraId="7AC7244A"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Proposital</w:t>
            </w:r>
          </w:p>
        </w:tc>
        <w:tc>
          <w:tcPr>
            <w:tcW w:w="3237" w:type="dxa"/>
            <w:tcBorders>
              <w:top w:val="single" w:sz="4" w:space="0" w:color="auto"/>
              <w:left w:val="single" w:sz="4" w:space="0" w:color="auto"/>
              <w:bottom w:val="single" w:sz="4" w:space="0" w:color="auto"/>
              <w:right w:val="single" w:sz="4" w:space="0" w:color="auto"/>
            </w:tcBorders>
            <w:vAlign w:val="center"/>
          </w:tcPr>
          <w:p w14:paraId="44C834D3"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Administrativos</w:t>
            </w:r>
          </w:p>
          <w:p w14:paraId="4F9F6BED"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Apoio Estudantil</w:t>
            </w:r>
          </w:p>
          <w:p w14:paraId="31FC44CE"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35E86748"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2FCF03D5"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Perspectiva docente</w:t>
            </w:r>
          </w:p>
        </w:tc>
      </w:tr>
      <w:tr w:rsidR="003F334F" w:rsidRPr="00E06427" w14:paraId="2D386EBE" w14:textId="77777777" w:rsidTr="00312C1B">
        <w:tc>
          <w:tcPr>
            <w:tcW w:w="572" w:type="dxa"/>
            <w:tcBorders>
              <w:top w:val="single" w:sz="4" w:space="0" w:color="auto"/>
              <w:bottom w:val="single" w:sz="4" w:space="0" w:color="auto"/>
              <w:right w:val="single" w:sz="4" w:space="0" w:color="auto"/>
            </w:tcBorders>
            <w:vAlign w:val="center"/>
          </w:tcPr>
          <w:p w14:paraId="01EF3F4F" w14:textId="7D52A30E"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02</w:t>
            </w:r>
          </w:p>
        </w:tc>
        <w:tc>
          <w:tcPr>
            <w:tcW w:w="1843" w:type="dxa"/>
            <w:tcBorders>
              <w:top w:val="single" w:sz="4" w:space="0" w:color="auto"/>
              <w:bottom w:val="single" w:sz="4" w:space="0" w:color="auto"/>
              <w:right w:val="single" w:sz="4" w:space="0" w:color="auto"/>
            </w:tcBorders>
            <w:vAlign w:val="center"/>
          </w:tcPr>
          <w:p w14:paraId="6DB2105E" w14:textId="376A3E92" w:rsidR="007A4293" w:rsidRPr="00E06427" w:rsidRDefault="007A4293" w:rsidP="008126D1">
            <w:pPr>
              <w:spacing w:line="240" w:lineRule="auto"/>
              <w:jc w:val="center"/>
              <w:rPr>
                <w:rFonts w:eastAsia="Times New Roman" w:cs="Times New Roman"/>
                <w:sz w:val="18"/>
                <w:szCs w:val="18"/>
                <w:lang w:eastAsia="pt-BR"/>
              </w:rPr>
            </w:pPr>
            <w:r w:rsidRPr="00E06427">
              <w:rPr>
                <w:rFonts w:eastAsia="Times New Roman" w:cs="Times New Roman"/>
                <w:sz w:val="18"/>
                <w:szCs w:val="18"/>
              </w:rPr>
              <w:t>Rodrigues-Fernandez, 2008</w:t>
            </w:r>
          </w:p>
        </w:tc>
        <w:tc>
          <w:tcPr>
            <w:tcW w:w="1843" w:type="dxa"/>
            <w:tcBorders>
              <w:top w:val="single" w:sz="4" w:space="0" w:color="auto"/>
              <w:left w:val="single" w:sz="4" w:space="0" w:color="auto"/>
              <w:bottom w:val="single" w:sz="4" w:space="0" w:color="auto"/>
              <w:right w:val="single" w:sz="4" w:space="0" w:color="auto"/>
            </w:tcBorders>
            <w:vAlign w:val="center"/>
          </w:tcPr>
          <w:p w14:paraId="632ACBE6"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Transformadora</w:t>
            </w:r>
          </w:p>
        </w:tc>
        <w:tc>
          <w:tcPr>
            <w:tcW w:w="3237" w:type="dxa"/>
            <w:tcBorders>
              <w:top w:val="single" w:sz="4" w:space="0" w:color="auto"/>
              <w:left w:val="single" w:sz="4" w:space="0" w:color="auto"/>
              <w:bottom w:val="single" w:sz="4" w:space="0" w:color="auto"/>
              <w:right w:val="single" w:sz="4" w:space="0" w:color="auto"/>
            </w:tcBorders>
            <w:vAlign w:val="center"/>
          </w:tcPr>
          <w:p w14:paraId="7BDD2A2A"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Apoio Estudantil</w:t>
            </w:r>
          </w:p>
          <w:p w14:paraId="6EA797DF"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2E7A47B7"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241DFB25"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Perspectiva da Comunidade Acadêmica</w:t>
            </w:r>
          </w:p>
        </w:tc>
      </w:tr>
      <w:tr w:rsidR="003F334F" w:rsidRPr="00E06427" w14:paraId="32F70CFF" w14:textId="77777777" w:rsidTr="00312C1B">
        <w:tc>
          <w:tcPr>
            <w:tcW w:w="572" w:type="dxa"/>
            <w:tcBorders>
              <w:top w:val="single" w:sz="4" w:space="0" w:color="auto"/>
              <w:bottom w:val="single" w:sz="4" w:space="0" w:color="auto"/>
              <w:right w:val="single" w:sz="4" w:space="0" w:color="auto"/>
            </w:tcBorders>
            <w:vAlign w:val="center"/>
          </w:tcPr>
          <w:p w14:paraId="14A39AF1" w14:textId="32047E52" w:rsidR="007A4293" w:rsidRPr="00E06427" w:rsidRDefault="007A4293" w:rsidP="00672CAC">
            <w:pPr>
              <w:spacing w:line="240" w:lineRule="auto"/>
              <w:jc w:val="center"/>
              <w:rPr>
                <w:rFonts w:cs="Times New Roman"/>
                <w:sz w:val="18"/>
                <w:szCs w:val="18"/>
              </w:rPr>
            </w:pPr>
            <w:r w:rsidRPr="00E06427">
              <w:rPr>
                <w:rFonts w:cs="Times New Roman"/>
                <w:sz w:val="18"/>
                <w:szCs w:val="18"/>
              </w:rPr>
              <w:t>03</w:t>
            </w:r>
          </w:p>
        </w:tc>
        <w:tc>
          <w:tcPr>
            <w:tcW w:w="1843" w:type="dxa"/>
            <w:tcBorders>
              <w:top w:val="single" w:sz="4" w:space="0" w:color="auto"/>
              <w:bottom w:val="single" w:sz="4" w:space="0" w:color="auto"/>
              <w:right w:val="single" w:sz="4" w:space="0" w:color="auto"/>
            </w:tcBorders>
            <w:vAlign w:val="center"/>
          </w:tcPr>
          <w:p w14:paraId="56A4E62F" w14:textId="0AB9CABE" w:rsidR="007A4293" w:rsidRPr="00E06427" w:rsidRDefault="007A4293" w:rsidP="00672CAC">
            <w:pPr>
              <w:spacing w:line="240" w:lineRule="auto"/>
              <w:jc w:val="center"/>
              <w:rPr>
                <w:rFonts w:cs="Times New Roman"/>
                <w:sz w:val="18"/>
                <w:szCs w:val="18"/>
              </w:rPr>
            </w:pPr>
            <w:proofErr w:type="spellStart"/>
            <w:r w:rsidRPr="00E06427">
              <w:rPr>
                <w:rFonts w:cs="Times New Roman"/>
                <w:sz w:val="18"/>
                <w:szCs w:val="18"/>
              </w:rPr>
              <w:t>Valikhanova</w:t>
            </w:r>
            <w:proofErr w:type="spellEnd"/>
            <w:r w:rsidRPr="00E06427">
              <w:rPr>
                <w:rFonts w:cs="Times New Roman"/>
                <w:sz w:val="18"/>
                <w:szCs w:val="18"/>
              </w:rPr>
              <w:t>, 2018</w:t>
            </w:r>
          </w:p>
        </w:tc>
        <w:tc>
          <w:tcPr>
            <w:tcW w:w="1843" w:type="dxa"/>
            <w:tcBorders>
              <w:top w:val="single" w:sz="4" w:space="0" w:color="auto"/>
              <w:left w:val="single" w:sz="4" w:space="0" w:color="auto"/>
              <w:bottom w:val="single" w:sz="4" w:space="0" w:color="auto"/>
              <w:right w:val="single" w:sz="4" w:space="0" w:color="auto"/>
            </w:tcBorders>
            <w:vAlign w:val="center"/>
          </w:tcPr>
          <w:p w14:paraId="0F1F6B6C"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Proposital e Transformadora</w:t>
            </w:r>
          </w:p>
        </w:tc>
        <w:tc>
          <w:tcPr>
            <w:tcW w:w="3237" w:type="dxa"/>
            <w:tcBorders>
              <w:top w:val="single" w:sz="4" w:space="0" w:color="auto"/>
              <w:left w:val="single" w:sz="4" w:space="0" w:color="auto"/>
              <w:bottom w:val="single" w:sz="4" w:space="0" w:color="auto"/>
              <w:right w:val="single" w:sz="4" w:space="0" w:color="auto"/>
            </w:tcBorders>
            <w:vAlign w:val="center"/>
          </w:tcPr>
          <w:p w14:paraId="4368D99D"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Administrativos</w:t>
            </w:r>
          </w:p>
          <w:p w14:paraId="28712B89"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189FF5E6"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4BA924D6"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Perspectiva Mercadológica</w:t>
            </w:r>
          </w:p>
        </w:tc>
      </w:tr>
      <w:tr w:rsidR="003F334F" w:rsidRPr="00E06427" w14:paraId="400F50D5" w14:textId="77777777" w:rsidTr="00312C1B">
        <w:tc>
          <w:tcPr>
            <w:tcW w:w="572" w:type="dxa"/>
            <w:tcBorders>
              <w:top w:val="single" w:sz="4" w:space="0" w:color="auto"/>
              <w:bottom w:val="single" w:sz="4" w:space="0" w:color="auto"/>
              <w:right w:val="single" w:sz="4" w:space="0" w:color="auto"/>
            </w:tcBorders>
            <w:vAlign w:val="center"/>
          </w:tcPr>
          <w:p w14:paraId="247CCC74" w14:textId="466D3E04" w:rsidR="007A4293" w:rsidRPr="00E06427" w:rsidRDefault="007A4293" w:rsidP="008126D1">
            <w:pPr>
              <w:spacing w:line="240" w:lineRule="auto"/>
              <w:jc w:val="center"/>
              <w:rPr>
                <w:rFonts w:cs="Times New Roman"/>
                <w:sz w:val="18"/>
                <w:szCs w:val="18"/>
                <w:lang w:val="es-ES_tradnl"/>
              </w:rPr>
            </w:pPr>
            <w:r w:rsidRPr="00E06427">
              <w:rPr>
                <w:rFonts w:cs="Times New Roman"/>
                <w:sz w:val="18"/>
                <w:szCs w:val="18"/>
                <w:lang w:val="es-ES_tradnl"/>
              </w:rPr>
              <w:t>04</w:t>
            </w:r>
          </w:p>
        </w:tc>
        <w:tc>
          <w:tcPr>
            <w:tcW w:w="1843" w:type="dxa"/>
            <w:tcBorders>
              <w:top w:val="single" w:sz="4" w:space="0" w:color="auto"/>
              <w:bottom w:val="single" w:sz="4" w:space="0" w:color="auto"/>
              <w:right w:val="single" w:sz="4" w:space="0" w:color="auto"/>
            </w:tcBorders>
            <w:vAlign w:val="center"/>
          </w:tcPr>
          <w:p w14:paraId="68DB444A" w14:textId="1BAF05C3" w:rsidR="007A4293" w:rsidRPr="00E06427" w:rsidRDefault="007A4293" w:rsidP="008126D1">
            <w:pPr>
              <w:spacing w:line="240" w:lineRule="auto"/>
              <w:jc w:val="center"/>
              <w:rPr>
                <w:rFonts w:cs="Times New Roman"/>
                <w:sz w:val="18"/>
                <w:szCs w:val="18"/>
                <w:lang w:val="es-ES_tradnl"/>
              </w:rPr>
            </w:pPr>
            <w:r w:rsidRPr="00E06427">
              <w:rPr>
                <w:rFonts w:cs="Times New Roman"/>
                <w:sz w:val="18"/>
                <w:szCs w:val="18"/>
                <w:lang w:val="es-ES_tradnl"/>
              </w:rPr>
              <w:t>Ruiz Esteban; Santos Del Cerro, 2020</w:t>
            </w:r>
          </w:p>
        </w:tc>
        <w:tc>
          <w:tcPr>
            <w:tcW w:w="1843" w:type="dxa"/>
            <w:tcBorders>
              <w:top w:val="single" w:sz="4" w:space="0" w:color="auto"/>
              <w:left w:val="single" w:sz="4" w:space="0" w:color="auto"/>
              <w:bottom w:val="single" w:sz="4" w:space="0" w:color="auto"/>
              <w:right w:val="single" w:sz="4" w:space="0" w:color="auto"/>
            </w:tcBorders>
            <w:vAlign w:val="center"/>
          </w:tcPr>
          <w:p w14:paraId="3ED7B5CE" w14:textId="77777777" w:rsidR="007A4293" w:rsidRPr="00E06427" w:rsidRDefault="007A4293" w:rsidP="008126D1">
            <w:pPr>
              <w:spacing w:line="240" w:lineRule="auto"/>
              <w:jc w:val="center"/>
              <w:rPr>
                <w:rFonts w:eastAsia="Times New Roman" w:cs="Times New Roman"/>
                <w:sz w:val="18"/>
                <w:szCs w:val="18"/>
                <w:lang w:val="es-ES_tradnl"/>
              </w:rPr>
            </w:pPr>
            <w:r w:rsidRPr="00E06427">
              <w:rPr>
                <w:rFonts w:eastAsia="Times New Roman" w:cs="Times New Roman"/>
                <w:sz w:val="18"/>
                <w:szCs w:val="18"/>
              </w:rPr>
              <w:t>Proposital e Transformadora</w:t>
            </w:r>
          </w:p>
        </w:tc>
        <w:tc>
          <w:tcPr>
            <w:tcW w:w="3237" w:type="dxa"/>
            <w:tcBorders>
              <w:top w:val="single" w:sz="4" w:space="0" w:color="auto"/>
              <w:left w:val="single" w:sz="4" w:space="0" w:color="auto"/>
              <w:bottom w:val="single" w:sz="4" w:space="0" w:color="auto"/>
              <w:right w:val="single" w:sz="4" w:space="0" w:color="auto"/>
            </w:tcBorders>
            <w:vAlign w:val="center"/>
          </w:tcPr>
          <w:p w14:paraId="74668164"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Apoio Estudantil</w:t>
            </w:r>
          </w:p>
          <w:p w14:paraId="1B7EC634"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69866984"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648AE8BC" w14:textId="77777777" w:rsidR="007A4293" w:rsidRPr="00E06427" w:rsidRDefault="007A4293" w:rsidP="008126D1">
            <w:pPr>
              <w:spacing w:line="240" w:lineRule="auto"/>
              <w:jc w:val="center"/>
              <w:rPr>
                <w:rFonts w:eastAsia="Times New Roman" w:cs="Times New Roman"/>
                <w:sz w:val="18"/>
                <w:szCs w:val="18"/>
                <w:lang w:val="es-ES_tradnl"/>
              </w:rPr>
            </w:pPr>
            <w:r w:rsidRPr="00E06427">
              <w:rPr>
                <w:rFonts w:eastAsia="Times New Roman" w:cs="Times New Roman"/>
                <w:sz w:val="18"/>
                <w:szCs w:val="18"/>
              </w:rPr>
              <w:t>Perspectiva Discente</w:t>
            </w:r>
          </w:p>
        </w:tc>
      </w:tr>
      <w:tr w:rsidR="003F334F" w:rsidRPr="00E06427" w14:paraId="57A604E1" w14:textId="77777777" w:rsidTr="00312C1B">
        <w:tc>
          <w:tcPr>
            <w:tcW w:w="572" w:type="dxa"/>
            <w:tcBorders>
              <w:top w:val="single" w:sz="4" w:space="0" w:color="auto"/>
              <w:bottom w:val="single" w:sz="4" w:space="0" w:color="auto"/>
              <w:right w:val="single" w:sz="4" w:space="0" w:color="auto"/>
            </w:tcBorders>
            <w:vAlign w:val="center"/>
          </w:tcPr>
          <w:p w14:paraId="3FE06584" w14:textId="20C6D8DF" w:rsidR="007A4293" w:rsidRPr="00E06427" w:rsidRDefault="007A4293" w:rsidP="008126D1">
            <w:pPr>
              <w:spacing w:line="240" w:lineRule="auto"/>
              <w:jc w:val="center"/>
              <w:rPr>
                <w:rFonts w:cs="Times New Roman"/>
                <w:sz w:val="18"/>
                <w:szCs w:val="18"/>
                <w:lang w:val="es-ES_tradnl"/>
              </w:rPr>
            </w:pPr>
            <w:r w:rsidRPr="00E06427">
              <w:rPr>
                <w:rFonts w:cs="Times New Roman"/>
                <w:sz w:val="18"/>
                <w:szCs w:val="18"/>
                <w:lang w:val="es-ES_tradnl"/>
              </w:rPr>
              <w:t>06</w:t>
            </w:r>
          </w:p>
        </w:tc>
        <w:tc>
          <w:tcPr>
            <w:tcW w:w="1843" w:type="dxa"/>
            <w:tcBorders>
              <w:top w:val="single" w:sz="4" w:space="0" w:color="auto"/>
              <w:bottom w:val="single" w:sz="4" w:space="0" w:color="auto"/>
              <w:right w:val="single" w:sz="4" w:space="0" w:color="auto"/>
            </w:tcBorders>
            <w:vAlign w:val="center"/>
          </w:tcPr>
          <w:p w14:paraId="6B8CA16A" w14:textId="707E7F23" w:rsidR="007A4293" w:rsidRPr="00E06427" w:rsidRDefault="007A4293" w:rsidP="008126D1">
            <w:pPr>
              <w:spacing w:line="240" w:lineRule="auto"/>
              <w:jc w:val="center"/>
              <w:rPr>
                <w:rFonts w:cs="Times New Roman"/>
                <w:sz w:val="18"/>
                <w:szCs w:val="18"/>
                <w:lang w:val="es-ES_tradnl"/>
              </w:rPr>
            </w:pPr>
            <w:r w:rsidRPr="00E06427">
              <w:rPr>
                <w:rFonts w:cs="Times New Roman"/>
                <w:sz w:val="18"/>
                <w:szCs w:val="18"/>
                <w:lang w:val="es-ES_tradnl"/>
              </w:rPr>
              <w:t xml:space="preserve">Nguyen </w:t>
            </w:r>
            <w:r w:rsidRPr="00E06427">
              <w:rPr>
                <w:rFonts w:cs="Times New Roman"/>
                <w:i/>
                <w:iCs/>
                <w:sz w:val="18"/>
                <w:szCs w:val="18"/>
                <w:lang w:val="es-ES_tradnl"/>
              </w:rPr>
              <w:t>et al</w:t>
            </w:r>
            <w:r w:rsidRPr="00E06427">
              <w:rPr>
                <w:rFonts w:cs="Times New Roman"/>
                <w:sz w:val="18"/>
                <w:szCs w:val="18"/>
                <w:lang w:val="es-ES_tradnl"/>
              </w:rPr>
              <w:t>., 2020</w:t>
            </w:r>
          </w:p>
        </w:tc>
        <w:tc>
          <w:tcPr>
            <w:tcW w:w="1843" w:type="dxa"/>
            <w:tcBorders>
              <w:top w:val="single" w:sz="4" w:space="0" w:color="auto"/>
              <w:left w:val="single" w:sz="4" w:space="0" w:color="auto"/>
              <w:bottom w:val="single" w:sz="4" w:space="0" w:color="auto"/>
              <w:right w:val="single" w:sz="4" w:space="0" w:color="auto"/>
            </w:tcBorders>
            <w:vAlign w:val="center"/>
          </w:tcPr>
          <w:p w14:paraId="0D196196" w14:textId="77777777" w:rsidR="007A4293" w:rsidRPr="00E06427" w:rsidRDefault="007A4293" w:rsidP="008126D1">
            <w:pPr>
              <w:spacing w:line="240" w:lineRule="auto"/>
              <w:jc w:val="center"/>
              <w:rPr>
                <w:rFonts w:eastAsia="Times New Roman" w:cs="Times New Roman"/>
                <w:sz w:val="18"/>
                <w:szCs w:val="18"/>
                <w:lang w:val="es-ES_tradnl"/>
              </w:rPr>
            </w:pPr>
            <w:r w:rsidRPr="00E06427">
              <w:rPr>
                <w:rFonts w:eastAsia="Times New Roman" w:cs="Times New Roman"/>
                <w:sz w:val="18"/>
                <w:szCs w:val="18"/>
              </w:rPr>
              <w:t>Proposital</w:t>
            </w:r>
          </w:p>
        </w:tc>
        <w:tc>
          <w:tcPr>
            <w:tcW w:w="3237" w:type="dxa"/>
            <w:tcBorders>
              <w:top w:val="single" w:sz="4" w:space="0" w:color="auto"/>
              <w:left w:val="single" w:sz="4" w:space="0" w:color="auto"/>
              <w:bottom w:val="single" w:sz="4" w:space="0" w:color="auto"/>
              <w:right w:val="single" w:sz="4" w:space="0" w:color="auto"/>
            </w:tcBorders>
            <w:vAlign w:val="center"/>
          </w:tcPr>
          <w:p w14:paraId="21C1778F"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Administrativos</w:t>
            </w:r>
          </w:p>
          <w:p w14:paraId="1614680B"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Apoio Estudantil</w:t>
            </w:r>
          </w:p>
          <w:p w14:paraId="27E81F3A"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0F02B483"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75D3C128"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xml:space="preserve">Perspectiva docente </w:t>
            </w:r>
          </w:p>
        </w:tc>
      </w:tr>
      <w:tr w:rsidR="003F334F" w:rsidRPr="00E06427" w14:paraId="77F499EA" w14:textId="77777777" w:rsidTr="00023034">
        <w:tc>
          <w:tcPr>
            <w:tcW w:w="572" w:type="dxa"/>
            <w:tcBorders>
              <w:top w:val="single" w:sz="4" w:space="0" w:color="auto"/>
              <w:bottom w:val="single" w:sz="4" w:space="0" w:color="auto"/>
              <w:right w:val="single" w:sz="4" w:space="0" w:color="auto"/>
            </w:tcBorders>
            <w:vAlign w:val="center"/>
          </w:tcPr>
          <w:p w14:paraId="0A3E7E8C" w14:textId="072AF138" w:rsidR="007A4293" w:rsidRPr="00E06427" w:rsidRDefault="007A4293" w:rsidP="00245F8A">
            <w:pPr>
              <w:spacing w:line="240" w:lineRule="auto"/>
              <w:jc w:val="center"/>
              <w:rPr>
                <w:rFonts w:cs="Times New Roman"/>
                <w:sz w:val="18"/>
                <w:szCs w:val="18"/>
              </w:rPr>
            </w:pPr>
            <w:r w:rsidRPr="00E06427">
              <w:rPr>
                <w:rFonts w:cs="Times New Roman"/>
                <w:sz w:val="18"/>
                <w:szCs w:val="18"/>
              </w:rPr>
              <w:t>06</w:t>
            </w:r>
          </w:p>
        </w:tc>
        <w:tc>
          <w:tcPr>
            <w:tcW w:w="1843" w:type="dxa"/>
            <w:tcBorders>
              <w:top w:val="single" w:sz="4" w:space="0" w:color="auto"/>
              <w:bottom w:val="single" w:sz="4" w:space="0" w:color="auto"/>
              <w:right w:val="single" w:sz="4" w:space="0" w:color="auto"/>
            </w:tcBorders>
            <w:vAlign w:val="center"/>
          </w:tcPr>
          <w:p w14:paraId="6CABEC35" w14:textId="275530D1" w:rsidR="007A4293" w:rsidRPr="00E06427" w:rsidRDefault="007A4293" w:rsidP="00245F8A">
            <w:pPr>
              <w:spacing w:line="240" w:lineRule="auto"/>
              <w:jc w:val="center"/>
              <w:rPr>
                <w:rFonts w:cs="Times New Roman"/>
                <w:sz w:val="18"/>
                <w:szCs w:val="18"/>
              </w:rPr>
            </w:pPr>
            <w:proofErr w:type="spellStart"/>
            <w:r w:rsidRPr="00E06427">
              <w:rPr>
                <w:rFonts w:cs="Times New Roman"/>
                <w:sz w:val="18"/>
                <w:szCs w:val="18"/>
              </w:rPr>
              <w:t>Vykydal</w:t>
            </w:r>
            <w:proofErr w:type="spellEnd"/>
            <w:r w:rsidRPr="00E06427">
              <w:rPr>
                <w:rFonts w:cs="Times New Roman"/>
                <w:sz w:val="18"/>
                <w:szCs w:val="18"/>
              </w:rPr>
              <w:t xml:space="preserve">; </w:t>
            </w:r>
            <w:proofErr w:type="spellStart"/>
            <w:r w:rsidRPr="00E06427">
              <w:rPr>
                <w:rFonts w:cs="Times New Roman"/>
                <w:sz w:val="18"/>
                <w:szCs w:val="18"/>
              </w:rPr>
              <w:t>Folta</w:t>
            </w:r>
            <w:proofErr w:type="spellEnd"/>
            <w:r w:rsidRPr="00E06427">
              <w:rPr>
                <w:rFonts w:cs="Times New Roman"/>
                <w:sz w:val="18"/>
                <w:szCs w:val="18"/>
              </w:rPr>
              <w:t xml:space="preserve">; </w:t>
            </w:r>
            <w:proofErr w:type="spellStart"/>
            <w:r w:rsidRPr="00E06427">
              <w:rPr>
                <w:rFonts w:cs="Times New Roman"/>
                <w:sz w:val="18"/>
                <w:szCs w:val="18"/>
              </w:rPr>
              <w:t>Nenadál</w:t>
            </w:r>
            <w:proofErr w:type="spellEnd"/>
            <w:r w:rsidRPr="00E06427">
              <w:rPr>
                <w:rFonts w:cs="Times New Roman"/>
                <w:sz w:val="18"/>
                <w:szCs w:val="18"/>
              </w:rPr>
              <w:t>, 2020</w:t>
            </w:r>
          </w:p>
        </w:tc>
        <w:tc>
          <w:tcPr>
            <w:tcW w:w="1843" w:type="dxa"/>
            <w:tcBorders>
              <w:top w:val="single" w:sz="4" w:space="0" w:color="auto"/>
              <w:left w:val="single" w:sz="4" w:space="0" w:color="auto"/>
              <w:bottom w:val="single" w:sz="4" w:space="0" w:color="auto"/>
              <w:right w:val="single" w:sz="4" w:space="0" w:color="auto"/>
            </w:tcBorders>
            <w:vAlign w:val="center"/>
          </w:tcPr>
          <w:p w14:paraId="1A91A00C"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Proposital,</w:t>
            </w:r>
          </w:p>
          <w:p w14:paraId="5FB5AA53"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Excepcional e</w:t>
            </w:r>
          </w:p>
          <w:p w14:paraId="5754144F"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Responsável</w:t>
            </w:r>
          </w:p>
        </w:tc>
        <w:tc>
          <w:tcPr>
            <w:tcW w:w="3237" w:type="dxa"/>
            <w:tcBorders>
              <w:top w:val="single" w:sz="4" w:space="0" w:color="auto"/>
              <w:left w:val="single" w:sz="4" w:space="0" w:color="auto"/>
              <w:bottom w:val="single" w:sz="4" w:space="0" w:color="auto"/>
              <w:right w:val="single" w:sz="4" w:space="0" w:color="auto"/>
            </w:tcBorders>
            <w:vAlign w:val="center"/>
          </w:tcPr>
          <w:p w14:paraId="4F9BF297"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Administrativos</w:t>
            </w:r>
          </w:p>
          <w:p w14:paraId="2CB6672B"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6CA0AE11"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4" w:space="0" w:color="auto"/>
            </w:tcBorders>
            <w:vAlign w:val="center"/>
          </w:tcPr>
          <w:p w14:paraId="6B42AD05"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Perspectiva Mercadológica</w:t>
            </w:r>
          </w:p>
        </w:tc>
      </w:tr>
      <w:tr w:rsidR="003F334F" w:rsidRPr="00E06427" w14:paraId="7C2DECB2" w14:textId="77777777" w:rsidTr="00023034">
        <w:tc>
          <w:tcPr>
            <w:tcW w:w="572" w:type="dxa"/>
            <w:tcBorders>
              <w:top w:val="single" w:sz="4" w:space="0" w:color="auto"/>
              <w:bottom w:val="single" w:sz="8" w:space="0" w:color="auto"/>
              <w:right w:val="single" w:sz="4" w:space="0" w:color="auto"/>
            </w:tcBorders>
            <w:vAlign w:val="center"/>
          </w:tcPr>
          <w:p w14:paraId="4F953BCE" w14:textId="39C97C98"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07</w:t>
            </w:r>
          </w:p>
        </w:tc>
        <w:tc>
          <w:tcPr>
            <w:tcW w:w="1843" w:type="dxa"/>
            <w:tcBorders>
              <w:top w:val="single" w:sz="4" w:space="0" w:color="auto"/>
              <w:bottom w:val="single" w:sz="8" w:space="0" w:color="auto"/>
              <w:right w:val="single" w:sz="4" w:space="0" w:color="auto"/>
            </w:tcBorders>
            <w:vAlign w:val="center"/>
          </w:tcPr>
          <w:p w14:paraId="08E43970" w14:textId="7F613759" w:rsidR="007A4293" w:rsidRPr="00E06427" w:rsidRDefault="007A4293" w:rsidP="008126D1">
            <w:pPr>
              <w:spacing w:line="240" w:lineRule="auto"/>
              <w:jc w:val="center"/>
              <w:rPr>
                <w:rFonts w:eastAsia="Times New Roman" w:cs="Times New Roman"/>
                <w:sz w:val="18"/>
                <w:szCs w:val="18"/>
                <w:lang w:eastAsia="pt-BR"/>
              </w:rPr>
            </w:pPr>
            <w:proofErr w:type="spellStart"/>
            <w:r w:rsidRPr="00E06427">
              <w:rPr>
                <w:rFonts w:eastAsia="Times New Roman" w:cs="Times New Roman"/>
                <w:sz w:val="18"/>
                <w:szCs w:val="18"/>
              </w:rPr>
              <w:t>Tsiligiris</w:t>
            </w:r>
            <w:proofErr w:type="spellEnd"/>
            <w:r w:rsidRPr="00E06427">
              <w:rPr>
                <w:rFonts w:eastAsia="Times New Roman" w:cs="Times New Roman"/>
                <w:sz w:val="18"/>
                <w:szCs w:val="18"/>
              </w:rPr>
              <w:t>; Hill, 2021</w:t>
            </w:r>
          </w:p>
        </w:tc>
        <w:tc>
          <w:tcPr>
            <w:tcW w:w="1843" w:type="dxa"/>
            <w:tcBorders>
              <w:top w:val="single" w:sz="4" w:space="0" w:color="auto"/>
              <w:left w:val="single" w:sz="4" w:space="0" w:color="auto"/>
              <w:bottom w:val="single" w:sz="8" w:space="0" w:color="auto"/>
              <w:right w:val="single" w:sz="4" w:space="0" w:color="auto"/>
            </w:tcBorders>
            <w:vAlign w:val="center"/>
          </w:tcPr>
          <w:p w14:paraId="367C2CF8"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Proposital</w:t>
            </w:r>
          </w:p>
        </w:tc>
        <w:tc>
          <w:tcPr>
            <w:tcW w:w="3237" w:type="dxa"/>
            <w:tcBorders>
              <w:top w:val="single" w:sz="4" w:space="0" w:color="auto"/>
              <w:left w:val="single" w:sz="4" w:space="0" w:color="auto"/>
              <w:bottom w:val="single" w:sz="8" w:space="0" w:color="auto"/>
              <w:right w:val="single" w:sz="4" w:space="0" w:color="auto"/>
            </w:tcBorders>
            <w:vAlign w:val="center"/>
          </w:tcPr>
          <w:p w14:paraId="54D5F12C"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Administrativos</w:t>
            </w:r>
          </w:p>
          <w:p w14:paraId="2E91FEFA"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Apoio Estudantil</w:t>
            </w:r>
          </w:p>
          <w:p w14:paraId="31EF7611"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Institucionais</w:t>
            </w:r>
          </w:p>
          <w:p w14:paraId="4A913B53"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 Desempenho dos estudantes</w:t>
            </w:r>
          </w:p>
        </w:tc>
        <w:tc>
          <w:tcPr>
            <w:tcW w:w="1581" w:type="dxa"/>
            <w:tcBorders>
              <w:top w:val="single" w:sz="4" w:space="0" w:color="auto"/>
              <w:left w:val="single" w:sz="4" w:space="0" w:color="auto"/>
              <w:bottom w:val="single" w:sz="8" w:space="0" w:color="auto"/>
            </w:tcBorders>
            <w:vAlign w:val="center"/>
          </w:tcPr>
          <w:p w14:paraId="409DAE21" w14:textId="77777777" w:rsidR="007A4293" w:rsidRPr="00E06427" w:rsidRDefault="007A4293" w:rsidP="008126D1">
            <w:pPr>
              <w:spacing w:line="240" w:lineRule="auto"/>
              <w:jc w:val="center"/>
              <w:rPr>
                <w:rFonts w:eastAsia="Times New Roman" w:cs="Times New Roman"/>
                <w:sz w:val="18"/>
                <w:szCs w:val="18"/>
              </w:rPr>
            </w:pPr>
            <w:r w:rsidRPr="00E06427">
              <w:rPr>
                <w:rFonts w:eastAsia="Times New Roman" w:cs="Times New Roman"/>
                <w:sz w:val="18"/>
                <w:szCs w:val="18"/>
              </w:rPr>
              <w:t>Perspectiva Discente</w:t>
            </w:r>
          </w:p>
        </w:tc>
      </w:tr>
    </w:tbl>
    <w:p w14:paraId="08DE5829" w14:textId="68E8578F" w:rsidR="00263336" w:rsidRPr="00E06427" w:rsidRDefault="001C6DAE" w:rsidP="00EE0951">
      <w:pPr>
        <w:spacing w:line="240" w:lineRule="auto"/>
        <w:rPr>
          <w:rFonts w:eastAsia="Times New Roman" w:cs="Times New Roman"/>
          <w:sz w:val="22"/>
          <w:szCs w:val="20"/>
        </w:rPr>
      </w:pPr>
      <w:r w:rsidRPr="00023034">
        <w:rPr>
          <w:rFonts w:eastAsia="Times New Roman" w:cs="Times New Roman"/>
          <w:b/>
          <w:bCs/>
          <w:sz w:val="22"/>
          <w:szCs w:val="20"/>
        </w:rPr>
        <w:t xml:space="preserve"> </w:t>
      </w:r>
      <w:r w:rsidR="00263336" w:rsidRPr="00023034">
        <w:rPr>
          <w:rFonts w:eastAsia="Times New Roman" w:cs="Times New Roman"/>
          <w:b/>
          <w:bCs/>
          <w:sz w:val="22"/>
          <w:szCs w:val="20"/>
        </w:rPr>
        <w:t>Fonte</w:t>
      </w:r>
      <w:r w:rsidR="00263336" w:rsidRPr="00E06427">
        <w:rPr>
          <w:rFonts w:eastAsia="Times New Roman" w:cs="Times New Roman"/>
          <w:sz w:val="22"/>
          <w:szCs w:val="20"/>
        </w:rPr>
        <w:t>: Autor</w:t>
      </w:r>
      <w:r w:rsidR="00162096" w:rsidRPr="00E06427">
        <w:rPr>
          <w:rFonts w:eastAsia="Times New Roman" w:cs="Times New Roman"/>
          <w:sz w:val="22"/>
          <w:szCs w:val="20"/>
        </w:rPr>
        <w:t>es</w:t>
      </w:r>
      <w:r w:rsidR="00263336" w:rsidRPr="00E06427">
        <w:rPr>
          <w:rFonts w:eastAsia="Times New Roman" w:cs="Times New Roman"/>
          <w:sz w:val="22"/>
          <w:szCs w:val="20"/>
        </w:rPr>
        <w:t xml:space="preserve"> da pesquisa, 2023.</w:t>
      </w:r>
    </w:p>
    <w:p w14:paraId="59925ADF" w14:textId="77777777" w:rsidR="005A1CD7" w:rsidRPr="00E06427" w:rsidRDefault="00685CA4" w:rsidP="00EE0951">
      <w:pPr>
        <w:spacing w:line="240" w:lineRule="auto"/>
        <w:rPr>
          <w:rFonts w:cs="Times New Roman"/>
          <w:szCs w:val="24"/>
        </w:rPr>
      </w:pPr>
      <w:r w:rsidRPr="00E06427">
        <w:rPr>
          <w:rFonts w:cs="Times New Roman"/>
          <w:szCs w:val="24"/>
        </w:rPr>
        <w:tab/>
      </w:r>
    </w:p>
    <w:p w14:paraId="1E1ACCFD" w14:textId="43943F49" w:rsidR="00B83C3C" w:rsidRPr="00E06427" w:rsidRDefault="005A1CD7" w:rsidP="001772DE">
      <w:pPr>
        <w:rPr>
          <w:rFonts w:eastAsia="Times New Roman" w:cs="Times New Roman"/>
          <w:szCs w:val="24"/>
        </w:rPr>
      </w:pPr>
      <w:r w:rsidRPr="00E06427">
        <w:rPr>
          <w:rFonts w:cs="Times New Roman"/>
          <w:szCs w:val="24"/>
        </w:rPr>
        <w:tab/>
      </w:r>
      <w:r w:rsidR="00D92E97" w:rsidRPr="00E06427">
        <w:rPr>
          <w:rFonts w:cs="Times New Roman"/>
          <w:szCs w:val="24"/>
        </w:rPr>
        <w:t xml:space="preserve">O </w:t>
      </w:r>
      <w:r w:rsidR="007A4293" w:rsidRPr="00E06427">
        <w:rPr>
          <w:rFonts w:cs="Times New Roman"/>
          <w:szCs w:val="24"/>
        </w:rPr>
        <w:t xml:space="preserve">primeiro </w:t>
      </w:r>
      <w:r w:rsidR="004115D6" w:rsidRPr="00E06427">
        <w:rPr>
          <w:rFonts w:cs="Times New Roman"/>
          <w:szCs w:val="24"/>
        </w:rPr>
        <w:t>artigo ab</w:t>
      </w:r>
      <w:r w:rsidR="00D92E97" w:rsidRPr="00E06427">
        <w:rPr>
          <w:rFonts w:cs="Times New Roman"/>
          <w:szCs w:val="24"/>
        </w:rPr>
        <w:t>orda a implantação de um sistema de Gestão da Qualidade Total (TQM) aplicado ao ensino superior nos Emirados Árabes Unidos. Ele adota uma abordagem proposital, com foco na perspectiva de que atender às necessidades do cliente pode garantir uma educação de qualidade</w:t>
      </w:r>
      <w:r w:rsidR="002D67F5" w:rsidRPr="00E06427">
        <w:rPr>
          <w:rFonts w:cs="Times New Roman"/>
          <w:szCs w:val="24"/>
        </w:rPr>
        <w:t>; o</w:t>
      </w:r>
      <w:r w:rsidR="00710C1F" w:rsidRPr="00E06427">
        <w:rPr>
          <w:rFonts w:eastAsia="Times New Roman" w:cs="Times New Roman"/>
          <w:szCs w:val="24"/>
        </w:rPr>
        <w:t xml:space="preserve"> </w:t>
      </w:r>
      <w:r w:rsidR="004115D6" w:rsidRPr="00E06427">
        <w:rPr>
          <w:rFonts w:eastAsia="Times New Roman" w:cs="Times New Roman"/>
          <w:szCs w:val="24"/>
        </w:rPr>
        <w:t xml:space="preserve">segundo </w:t>
      </w:r>
      <w:r w:rsidR="00710C1F" w:rsidRPr="00E06427">
        <w:rPr>
          <w:rFonts w:eastAsia="Times New Roman" w:cs="Times New Roman"/>
          <w:szCs w:val="24"/>
        </w:rPr>
        <w:t>artigo te</w:t>
      </w:r>
      <w:r w:rsidR="008A5CF3" w:rsidRPr="00E06427">
        <w:rPr>
          <w:rFonts w:eastAsia="Times New Roman" w:cs="Times New Roman"/>
          <w:szCs w:val="24"/>
        </w:rPr>
        <w:t>m</w:t>
      </w:r>
      <w:r w:rsidR="00710C1F" w:rsidRPr="00E06427">
        <w:rPr>
          <w:rFonts w:eastAsia="Times New Roman" w:cs="Times New Roman"/>
          <w:szCs w:val="24"/>
        </w:rPr>
        <w:t xml:space="preserve"> como objetivo avaliar a percepção dos alunos em relação à atuação dos professores em uma universidade da Costa Rica. Com uma abordagem transformadora, busca mensurar a qualidade do ensino e identificar indicadores que permitam melhorar a satisfação dos alunos</w:t>
      </w:r>
      <w:r w:rsidR="002D67F5" w:rsidRPr="00E06427">
        <w:rPr>
          <w:rFonts w:eastAsia="Times New Roman" w:cs="Times New Roman"/>
          <w:szCs w:val="24"/>
        </w:rPr>
        <w:t>; a</w:t>
      </w:r>
      <w:r w:rsidR="00363666" w:rsidRPr="00E06427">
        <w:rPr>
          <w:rFonts w:eastAsia="Times New Roman" w:cs="Times New Roman"/>
          <w:szCs w:val="24"/>
        </w:rPr>
        <w:t xml:space="preserve"> </w:t>
      </w:r>
      <w:r w:rsidR="004F4EE8" w:rsidRPr="00E06427">
        <w:rPr>
          <w:rFonts w:eastAsia="Times New Roman" w:cs="Times New Roman"/>
          <w:szCs w:val="24"/>
        </w:rPr>
        <w:t xml:space="preserve">terceira pesquisa </w:t>
      </w:r>
      <w:r w:rsidR="00363666" w:rsidRPr="00E06427">
        <w:rPr>
          <w:rFonts w:eastAsia="Times New Roman" w:cs="Times New Roman"/>
          <w:szCs w:val="24"/>
        </w:rPr>
        <w:t>estuda a estruturação de um sistema de gestão da qualidade em uma instituição de ensino superior da República do Cazaquistão. Com uma abordagem mista, proposital e transformadora, a pesquisa considera que a qualidade baseada em serviços sofre influências de fatores externos, internos e do sistema de educação da universidade</w:t>
      </w:r>
      <w:r w:rsidR="002D67F5" w:rsidRPr="00E06427">
        <w:rPr>
          <w:rFonts w:eastAsia="Times New Roman" w:cs="Times New Roman"/>
          <w:szCs w:val="24"/>
        </w:rPr>
        <w:t xml:space="preserve">; </w:t>
      </w:r>
      <w:r w:rsidR="00310805" w:rsidRPr="00E06427">
        <w:rPr>
          <w:rFonts w:eastAsia="Times New Roman" w:cs="Times New Roman"/>
          <w:szCs w:val="24"/>
        </w:rPr>
        <w:tab/>
      </w:r>
      <w:r w:rsidR="002D67F5" w:rsidRPr="00E06427">
        <w:rPr>
          <w:rFonts w:eastAsia="Times New Roman" w:cs="Times New Roman"/>
          <w:szCs w:val="24"/>
        </w:rPr>
        <w:t>o</w:t>
      </w:r>
      <w:r w:rsidR="003C086A" w:rsidRPr="00E06427">
        <w:rPr>
          <w:rFonts w:eastAsia="Times New Roman" w:cs="Times New Roman"/>
          <w:szCs w:val="24"/>
        </w:rPr>
        <w:t xml:space="preserve"> </w:t>
      </w:r>
      <w:r w:rsidR="00310805" w:rsidRPr="00E06427">
        <w:rPr>
          <w:rFonts w:eastAsia="Times New Roman" w:cs="Times New Roman"/>
          <w:szCs w:val="24"/>
        </w:rPr>
        <w:t xml:space="preserve">quarto </w:t>
      </w:r>
      <w:r w:rsidR="003C086A" w:rsidRPr="00E06427">
        <w:rPr>
          <w:rFonts w:eastAsia="Times New Roman" w:cs="Times New Roman"/>
          <w:szCs w:val="24"/>
        </w:rPr>
        <w:t xml:space="preserve">artigo pesquisou a qualidade </w:t>
      </w:r>
      <w:r w:rsidR="003C086A" w:rsidRPr="00E06427">
        <w:rPr>
          <w:rFonts w:eastAsia="Times New Roman" w:cs="Times New Roman"/>
          <w:szCs w:val="24"/>
        </w:rPr>
        <w:lastRenderedPageBreak/>
        <w:t xml:space="preserve">enfocando as habilidades e atitudes dos professores, com uma abordagem proposital e transformadora. Na pesquisa realizada com estudantes de Administração e Gestão de Empresas da Universidade de </w:t>
      </w:r>
      <w:proofErr w:type="spellStart"/>
      <w:r w:rsidR="003C086A" w:rsidRPr="00E06427">
        <w:rPr>
          <w:rFonts w:eastAsia="Times New Roman" w:cs="Times New Roman"/>
          <w:szCs w:val="24"/>
        </w:rPr>
        <w:t>Castila</w:t>
      </w:r>
      <w:proofErr w:type="spellEnd"/>
      <w:r w:rsidR="00023034">
        <w:rPr>
          <w:rFonts w:eastAsia="Times New Roman" w:cs="Times New Roman"/>
          <w:szCs w:val="24"/>
        </w:rPr>
        <w:t xml:space="preserve"> </w:t>
      </w:r>
      <w:r w:rsidR="003C086A" w:rsidRPr="00E06427">
        <w:rPr>
          <w:rFonts w:eastAsia="Times New Roman" w:cs="Times New Roman"/>
          <w:szCs w:val="24"/>
        </w:rPr>
        <w:t>-</w:t>
      </w:r>
      <w:r w:rsidR="00023034">
        <w:rPr>
          <w:rFonts w:eastAsia="Times New Roman" w:cs="Times New Roman"/>
          <w:szCs w:val="24"/>
        </w:rPr>
        <w:t xml:space="preserve"> </w:t>
      </w:r>
      <w:r w:rsidR="003C086A" w:rsidRPr="00E06427">
        <w:rPr>
          <w:rFonts w:eastAsia="Times New Roman" w:cs="Times New Roman"/>
          <w:szCs w:val="24"/>
        </w:rPr>
        <w:t xml:space="preserve">La Mancha (Espanha), as habilidades pedagógicas mais valorizadas foram: planejamento, clareza nas explicações, capacidade de despertar interesse, critérios de avaliação claros e </w:t>
      </w:r>
      <w:r w:rsidR="0045719E" w:rsidRPr="00E06427">
        <w:rPr>
          <w:rFonts w:eastAsia="Times New Roman" w:cs="Times New Roman"/>
          <w:szCs w:val="24"/>
        </w:rPr>
        <w:t xml:space="preserve">a </w:t>
      </w:r>
      <w:r w:rsidR="003C086A" w:rsidRPr="00E06427">
        <w:rPr>
          <w:rFonts w:eastAsia="Times New Roman" w:cs="Times New Roman"/>
          <w:szCs w:val="24"/>
        </w:rPr>
        <w:t xml:space="preserve">preocupação em </w:t>
      </w:r>
      <w:r w:rsidR="0045719E" w:rsidRPr="00E06427">
        <w:rPr>
          <w:rFonts w:eastAsia="Times New Roman" w:cs="Times New Roman"/>
          <w:szCs w:val="24"/>
        </w:rPr>
        <w:t xml:space="preserve">observar </w:t>
      </w:r>
      <w:r w:rsidR="003C086A" w:rsidRPr="00E06427">
        <w:rPr>
          <w:rFonts w:eastAsia="Times New Roman" w:cs="Times New Roman"/>
          <w:szCs w:val="24"/>
        </w:rPr>
        <w:t>se os conceitos foram compreendidos</w:t>
      </w:r>
      <w:r w:rsidR="00280538" w:rsidRPr="00E06427">
        <w:rPr>
          <w:rFonts w:eastAsia="Times New Roman" w:cs="Times New Roman"/>
          <w:szCs w:val="24"/>
        </w:rPr>
        <w:t>;</w:t>
      </w:r>
      <w:r w:rsidR="003C086A" w:rsidRPr="00E06427">
        <w:rPr>
          <w:rFonts w:eastAsia="Times New Roman" w:cs="Times New Roman"/>
          <w:szCs w:val="24"/>
        </w:rPr>
        <w:t xml:space="preserve"> </w:t>
      </w:r>
      <w:r w:rsidR="002D67F5" w:rsidRPr="00E06427">
        <w:rPr>
          <w:rFonts w:eastAsia="Times New Roman" w:cs="Times New Roman"/>
          <w:szCs w:val="24"/>
        </w:rPr>
        <w:t>o</w:t>
      </w:r>
      <w:r w:rsidR="00816DB0" w:rsidRPr="00E06427">
        <w:rPr>
          <w:rFonts w:eastAsia="Times New Roman" w:cs="Times New Roman"/>
          <w:szCs w:val="24"/>
        </w:rPr>
        <w:t xml:space="preserve"> </w:t>
      </w:r>
      <w:r w:rsidR="009E7516" w:rsidRPr="00E06427">
        <w:rPr>
          <w:rFonts w:eastAsia="Times New Roman" w:cs="Times New Roman"/>
          <w:szCs w:val="24"/>
        </w:rPr>
        <w:t xml:space="preserve">quinto estudo </w:t>
      </w:r>
      <w:r w:rsidR="00816DB0" w:rsidRPr="00E06427">
        <w:rPr>
          <w:rFonts w:eastAsia="Times New Roman" w:cs="Times New Roman"/>
          <w:szCs w:val="24"/>
        </w:rPr>
        <w:t>trata d</w:t>
      </w:r>
      <w:r w:rsidR="00CF66E3" w:rsidRPr="00E06427">
        <w:rPr>
          <w:rFonts w:eastAsia="Times New Roman" w:cs="Times New Roman"/>
          <w:szCs w:val="24"/>
        </w:rPr>
        <w:t xml:space="preserve">a concepção </w:t>
      </w:r>
      <w:r w:rsidR="00816DB0" w:rsidRPr="00E06427">
        <w:rPr>
          <w:rFonts w:eastAsia="Times New Roman" w:cs="Times New Roman"/>
          <w:szCs w:val="24"/>
        </w:rPr>
        <w:t>de critérios de qualidade e de um modelo de classificação baseado na Gestão da Qualidade Total (TQM) para o ensino superior do Vietnã. A pesquisa adota uma abordagem proposital e elege os seguintes critérios: admissão; fatores estudantis; corpo docente e pessoal administrativo; estrutura; currículo e liderança</w:t>
      </w:r>
      <w:r w:rsidR="00C2154D" w:rsidRPr="00E06427">
        <w:rPr>
          <w:rFonts w:eastAsia="Times New Roman" w:cs="Times New Roman"/>
          <w:szCs w:val="24"/>
        </w:rPr>
        <w:t xml:space="preserve">; o </w:t>
      </w:r>
      <w:r w:rsidR="009E7516" w:rsidRPr="00E06427">
        <w:rPr>
          <w:rFonts w:cs="Times New Roman"/>
          <w:szCs w:val="24"/>
        </w:rPr>
        <w:t xml:space="preserve">sexto </w:t>
      </w:r>
      <w:r w:rsidR="00F62503" w:rsidRPr="00E06427">
        <w:rPr>
          <w:rFonts w:cs="Times New Roman"/>
          <w:szCs w:val="24"/>
        </w:rPr>
        <w:t>artigo pesquisou a qualidade em uma instituição de ensino superior da República Tcheca. Baseado em normas e com uma abordagem excepcional, proposital e responsável, o estudo adota o Modelo de Excelência da Fundação Europeia da Qualidade (EFQM), com foco na gestão de processos</w:t>
      </w:r>
      <w:r w:rsidR="00A07868" w:rsidRPr="00E06427">
        <w:rPr>
          <w:rFonts w:cs="Times New Roman"/>
          <w:szCs w:val="24"/>
        </w:rPr>
        <w:t>; e</w:t>
      </w:r>
      <w:r w:rsidR="00FE584D" w:rsidRPr="00E06427">
        <w:rPr>
          <w:rFonts w:cs="Times New Roman"/>
          <w:szCs w:val="24"/>
        </w:rPr>
        <w:t xml:space="preserve"> o</w:t>
      </w:r>
      <w:r w:rsidR="00B83C3C" w:rsidRPr="00E06427">
        <w:rPr>
          <w:rFonts w:eastAsia="Times New Roman" w:cs="Times New Roman"/>
          <w:szCs w:val="24"/>
        </w:rPr>
        <w:t xml:space="preserve"> </w:t>
      </w:r>
      <w:r w:rsidR="009E7516" w:rsidRPr="00E06427">
        <w:rPr>
          <w:rFonts w:eastAsia="Times New Roman" w:cs="Times New Roman"/>
          <w:szCs w:val="24"/>
        </w:rPr>
        <w:t xml:space="preserve">sétimo </w:t>
      </w:r>
      <w:r w:rsidR="00B83C3C" w:rsidRPr="00E06427">
        <w:rPr>
          <w:rFonts w:eastAsia="Times New Roman" w:cs="Times New Roman"/>
          <w:szCs w:val="24"/>
        </w:rPr>
        <w:t>artigo busca trata do desenvolvimento um modelo que considere a gestão da qualidade e a experiência dos alunos, explorando suas expectativas e percepções</w:t>
      </w:r>
      <w:r w:rsidR="007E2C5F" w:rsidRPr="00E06427">
        <w:rPr>
          <w:rFonts w:eastAsia="Times New Roman" w:cs="Times New Roman"/>
          <w:szCs w:val="24"/>
        </w:rPr>
        <w:t>, c</w:t>
      </w:r>
      <w:r w:rsidR="00B83C3C" w:rsidRPr="00E06427">
        <w:rPr>
          <w:rFonts w:eastAsia="Times New Roman" w:cs="Times New Roman"/>
          <w:szCs w:val="24"/>
        </w:rPr>
        <w:t xml:space="preserve">om </w:t>
      </w:r>
      <w:r w:rsidR="007E2C5F" w:rsidRPr="00E06427">
        <w:rPr>
          <w:rFonts w:eastAsia="Times New Roman" w:cs="Times New Roman"/>
          <w:szCs w:val="24"/>
        </w:rPr>
        <w:t>uma</w:t>
      </w:r>
      <w:r w:rsidR="00B83C3C" w:rsidRPr="00E06427">
        <w:rPr>
          <w:rFonts w:eastAsia="Times New Roman" w:cs="Times New Roman"/>
          <w:szCs w:val="24"/>
        </w:rPr>
        <w:t xml:space="preserve"> abordagem da adequação ao propósito para garantir um padrão mínimo de qualidade</w:t>
      </w:r>
      <w:r w:rsidR="00D03422" w:rsidRPr="00E06427">
        <w:rPr>
          <w:rFonts w:eastAsia="Times New Roman" w:cs="Times New Roman"/>
          <w:szCs w:val="24"/>
        </w:rPr>
        <w:t xml:space="preserve">. </w:t>
      </w:r>
      <w:r w:rsidR="00B83C3C" w:rsidRPr="00E06427">
        <w:rPr>
          <w:rFonts w:eastAsia="Times New Roman" w:cs="Times New Roman"/>
          <w:szCs w:val="24"/>
        </w:rPr>
        <w:t xml:space="preserve"> </w:t>
      </w:r>
    </w:p>
    <w:p w14:paraId="2EA97150" w14:textId="7D6377BE" w:rsidR="006B33B3" w:rsidRPr="00E06427" w:rsidRDefault="006E3050" w:rsidP="001772DE">
      <w:pPr>
        <w:rPr>
          <w:rFonts w:cs="Times New Roman"/>
          <w:color w:val="70AD47" w:themeColor="accent6"/>
          <w:szCs w:val="24"/>
          <w:shd w:val="clear" w:color="auto" w:fill="FFFFFF"/>
        </w:rPr>
      </w:pPr>
      <w:r w:rsidRPr="00E06427">
        <w:rPr>
          <w:rFonts w:eastAsia="Times New Roman" w:cs="Times New Roman"/>
          <w:szCs w:val="24"/>
        </w:rPr>
        <w:tab/>
      </w:r>
      <w:r w:rsidR="00FE430E" w:rsidRPr="00E06427">
        <w:rPr>
          <w:rFonts w:eastAsia="Times New Roman" w:cs="Times New Roman"/>
          <w:szCs w:val="24"/>
        </w:rPr>
        <w:t>Assim, percebeu-se que há diversas abordagens relativas à avaliação da qualidade do ensino superior, porém as metodologias ativas não foram selecionadas como critérios de avaliação nas pesquisas analisadas.</w:t>
      </w:r>
    </w:p>
    <w:p w14:paraId="21DE5E0A" w14:textId="39C80BF0" w:rsidR="004442F4" w:rsidRPr="00E06427" w:rsidRDefault="009F70BC" w:rsidP="00023034">
      <w:pPr>
        <w:pStyle w:val="Ttulo1"/>
        <w:rPr>
          <w:rFonts w:cs="Times New Roman"/>
          <w:spacing w:val="-2"/>
          <w:szCs w:val="24"/>
        </w:rPr>
      </w:pPr>
      <w:r w:rsidRPr="00E06427">
        <w:rPr>
          <w:rFonts w:cs="Times New Roman"/>
          <w:spacing w:val="-2"/>
          <w:szCs w:val="24"/>
        </w:rPr>
        <w:t xml:space="preserve">5 </w:t>
      </w:r>
      <w:r w:rsidRPr="00E06427">
        <w:t>CONSIDERAÇÕES FINAIS</w:t>
      </w:r>
    </w:p>
    <w:p w14:paraId="2080830F" w14:textId="4A242E21" w:rsidR="00420343" w:rsidRPr="00E06427" w:rsidRDefault="00420343" w:rsidP="00D25816">
      <w:pPr>
        <w:rPr>
          <w:rFonts w:cs="Times New Roman"/>
          <w:szCs w:val="24"/>
          <w:shd w:val="clear" w:color="auto" w:fill="FFFFFF"/>
        </w:rPr>
      </w:pPr>
      <w:r w:rsidRPr="00E06427">
        <w:rPr>
          <w:rFonts w:eastAsia="Times New Roman" w:cs="Times New Roman"/>
          <w:szCs w:val="24"/>
        </w:rPr>
        <w:tab/>
      </w:r>
      <w:r w:rsidR="00023034">
        <w:rPr>
          <w:rFonts w:eastAsia="Times New Roman" w:cs="Times New Roman"/>
          <w:szCs w:val="24"/>
        </w:rPr>
        <w:t>Por meio</w:t>
      </w:r>
      <w:r w:rsidRPr="00E06427">
        <w:rPr>
          <w:rFonts w:eastAsia="Times New Roman" w:cs="Times New Roman"/>
          <w:szCs w:val="24"/>
        </w:rPr>
        <w:t xml:space="preserve"> da RSL, foi possível responder as questões formuladas sobre as abordagens utilizadas para avaliar a qualidade na educação superior. O estudo identificou que as abordagens utilizadas são a proposital, a excepcional, a transformadora e a responsável, ou seja, a qualidade como aptidão para o propósito, qualidade como transformadora, qualidade como limiar, qualidade como aprimoramento e qualidade como valor para o dinheiro.</w:t>
      </w:r>
      <w:r w:rsidR="00D25816" w:rsidRPr="00E06427">
        <w:rPr>
          <w:rFonts w:cs="Times New Roman"/>
          <w:szCs w:val="24"/>
          <w:shd w:val="clear" w:color="auto" w:fill="FFFFFF"/>
        </w:rPr>
        <w:tab/>
      </w:r>
    </w:p>
    <w:p w14:paraId="4F427C5D" w14:textId="2702236A" w:rsidR="00816043" w:rsidRPr="00E06427" w:rsidRDefault="00144728" w:rsidP="00174113">
      <w:pPr>
        <w:autoSpaceDE w:val="0"/>
        <w:autoSpaceDN w:val="0"/>
        <w:adjustRightInd w:val="0"/>
        <w:ind w:firstLine="708"/>
        <w:rPr>
          <w:rFonts w:cs="Times New Roman"/>
          <w:szCs w:val="24"/>
          <w:shd w:val="clear" w:color="auto" w:fill="FFFFFF"/>
        </w:rPr>
      </w:pPr>
      <w:r w:rsidRPr="00E06427">
        <w:rPr>
          <w:rFonts w:cs="Times New Roman"/>
          <w:szCs w:val="24"/>
          <w:shd w:val="clear" w:color="auto" w:fill="FFFFFF"/>
        </w:rPr>
        <w:t xml:space="preserve">No esforço para responder como os cursos superiores de administração são avaliados, foi possível localizar apenas </w:t>
      </w:r>
      <w:r w:rsidR="00191ABE" w:rsidRPr="00E06427">
        <w:rPr>
          <w:rFonts w:cs="Times New Roman"/>
          <w:szCs w:val="24"/>
          <w:shd w:val="clear" w:color="auto" w:fill="FFFFFF"/>
        </w:rPr>
        <w:t>um estudo</w:t>
      </w:r>
      <w:r w:rsidRPr="00E06427">
        <w:rPr>
          <w:rFonts w:cs="Times New Roman"/>
          <w:szCs w:val="24"/>
          <w:shd w:val="clear" w:color="auto" w:fill="FFFFFF"/>
        </w:rPr>
        <w:t xml:space="preserve">, que avalia um curso de administração utilizando a abordagem proposital ou qualidade como aptidão ao </w:t>
      </w:r>
      <w:r w:rsidRPr="00E06427">
        <w:rPr>
          <w:rFonts w:cs="Times New Roman"/>
          <w:szCs w:val="24"/>
          <w:shd w:val="clear" w:color="auto" w:fill="FFFFFF"/>
        </w:rPr>
        <w:lastRenderedPageBreak/>
        <w:t xml:space="preserve">propósito, juntamente com a abordagem transformadora e com o uso de indicadores institucionais, de desempenho dos estudantes e de apoio estudantil. </w:t>
      </w:r>
    </w:p>
    <w:p w14:paraId="09625F1C" w14:textId="78ADF5D7" w:rsidR="00C17511" w:rsidRPr="00E06427" w:rsidRDefault="00887DC4" w:rsidP="00174113">
      <w:pPr>
        <w:rPr>
          <w:rFonts w:cs="Times New Roman"/>
          <w:szCs w:val="24"/>
          <w:shd w:val="clear" w:color="auto" w:fill="FFFFFF"/>
        </w:rPr>
      </w:pPr>
      <w:r w:rsidRPr="00E06427">
        <w:rPr>
          <w:rFonts w:cs="Times New Roman"/>
          <w:szCs w:val="24"/>
          <w:shd w:val="clear" w:color="auto" w:fill="FFFFFF"/>
        </w:rPr>
        <w:tab/>
        <w:t xml:space="preserve">Com relação </w:t>
      </w:r>
      <w:r w:rsidR="00AB7300" w:rsidRPr="00E06427">
        <w:rPr>
          <w:rFonts w:cs="Times New Roman"/>
          <w:szCs w:val="24"/>
          <w:shd w:val="clear" w:color="auto" w:fill="FFFFFF"/>
        </w:rPr>
        <w:t xml:space="preserve">as </w:t>
      </w:r>
      <w:r w:rsidRPr="00E06427">
        <w:rPr>
          <w:rFonts w:cs="Times New Roman"/>
          <w:szCs w:val="24"/>
          <w:shd w:val="clear" w:color="auto" w:fill="FFFFFF"/>
        </w:rPr>
        <w:t xml:space="preserve">metodologias ativas na avaliação da qualidade, a revisão não encontrou nenhuma avaliação que inclua as metodologias ativas como indicador para a qualidade do ensino superior. Dois estudos abordam as metodologias como critérios de </w:t>
      </w:r>
      <w:r w:rsidR="00191ABE" w:rsidRPr="00E06427">
        <w:rPr>
          <w:rFonts w:cs="Times New Roman"/>
          <w:szCs w:val="24"/>
          <w:shd w:val="clear" w:color="auto" w:fill="FFFFFF"/>
        </w:rPr>
        <w:t>avaliação,</w:t>
      </w:r>
      <w:r w:rsidRPr="00E06427">
        <w:rPr>
          <w:rFonts w:cs="Times New Roman"/>
          <w:szCs w:val="24"/>
          <w:shd w:val="clear" w:color="auto" w:fill="FFFFFF"/>
        </w:rPr>
        <w:t xml:space="preserve"> mas não mencionam as metodologias ativas especificamente.</w:t>
      </w:r>
    </w:p>
    <w:p w14:paraId="1FC5674B" w14:textId="76CE98B6" w:rsidR="00D25816" w:rsidRPr="00E06427" w:rsidRDefault="00E27C16" w:rsidP="00174113">
      <w:pPr>
        <w:rPr>
          <w:rFonts w:cs="Times New Roman"/>
          <w:szCs w:val="24"/>
        </w:rPr>
      </w:pPr>
      <w:r w:rsidRPr="00E06427">
        <w:rPr>
          <w:rFonts w:cs="Times New Roman"/>
          <w:szCs w:val="24"/>
        </w:rPr>
        <w:tab/>
      </w:r>
      <w:r w:rsidR="001465FB" w:rsidRPr="00E06427">
        <w:rPr>
          <w:rFonts w:cs="Times New Roman"/>
          <w:szCs w:val="24"/>
        </w:rPr>
        <w:t>A qualidade do ensino superior é um tema complexo, pois envolve diversos fatores interligados que afetam o processo educacional. Nesse contexto, estudos sobre o uso de metodologias ativas como critérios de avaliação são relevantes. Ao considerar a adequação aos propósitos, essas pesquisas podem oferecer insights valiosos para promover um ambiente acadêmico mais engajador, inovador e efetivo, alinhado às necessidades e aspirações dos estudantes.</w:t>
      </w:r>
      <w:r w:rsidR="00F872C3" w:rsidRPr="00E06427">
        <w:rPr>
          <w:rFonts w:cs="Times New Roman"/>
          <w:szCs w:val="24"/>
        </w:rPr>
        <w:t xml:space="preserve"> </w:t>
      </w:r>
    </w:p>
    <w:p w14:paraId="4E589A3A" w14:textId="60DE5DC5" w:rsidR="00A4515C" w:rsidRPr="00E06427" w:rsidRDefault="00E7303C" w:rsidP="00023034">
      <w:pPr>
        <w:pStyle w:val="Ttulo1"/>
      </w:pPr>
      <w:r w:rsidRPr="00E06427">
        <w:t>R</w:t>
      </w:r>
      <w:r w:rsidR="00250977" w:rsidRPr="00E06427">
        <w:t>EFERÊNCIAS</w:t>
      </w:r>
    </w:p>
    <w:p w14:paraId="080A5CA0" w14:textId="4C8FA926" w:rsidR="00B415E6" w:rsidRPr="00E06427" w:rsidRDefault="00B415E6"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rPr>
        <w:t xml:space="preserve">ABREU, C. C. C. De. </w:t>
      </w:r>
      <w:r w:rsidRPr="00E06427">
        <w:rPr>
          <w:rFonts w:cs="Times New Roman"/>
          <w:b/>
          <w:bCs/>
          <w:noProof/>
          <w:szCs w:val="24"/>
        </w:rPr>
        <w:t>Reflexões sobre utilidade social e impacto social em metodologias de avaliação à luz da experiência de Matarandiba</w:t>
      </w:r>
      <w:r w:rsidRPr="00E06427">
        <w:rPr>
          <w:rFonts w:cs="Times New Roman"/>
          <w:noProof/>
          <w:szCs w:val="24"/>
        </w:rPr>
        <w:t xml:space="preserve">. [S.l.]: Universidade Federal da Bahia, 2020. Disponível em: </w:t>
      </w:r>
      <w:r w:rsidR="00704C7C" w:rsidRPr="00E06427">
        <w:rPr>
          <w:rFonts w:cs="Times New Roman"/>
          <w:noProof/>
          <w:szCs w:val="24"/>
        </w:rPr>
        <w:t>https://repositorio.ufba.br/handle/ri/35625. Acesso: 17 jul. 2023.</w:t>
      </w:r>
    </w:p>
    <w:p w14:paraId="28A19FBE"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44AE832A" w14:textId="69644C07" w:rsidR="00F26349" w:rsidRPr="00E06427" w:rsidRDefault="00F26349"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rPr>
        <w:t>BERTOLIN, J</w:t>
      </w:r>
      <w:r w:rsidR="00131A9F" w:rsidRPr="00E06427">
        <w:rPr>
          <w:rFonts w:cs="Times New Roman"/>
          <w:noProof/>
          <w:szCs w:val="24"/>
        </w:rPr>
        <w:t>.</w:t>
      </w:r>
      <w:r w:rsidRPr="00E06427">
        <w:rPr>
          <w:rFonts w:cs="Times New Roman"/>
          <w:noProof/>
          <w:szCs w:val="24"/>
        </w:rPr>
        <w:t xml:space="preserve"> C</w:t>
      </w:r>
      <w:r w:rsidR="00131A9F" w:rsidRPr="00E06427">
        <w:rPr>
          <w:rFonts w:cs="Times New Roman"/>
          <w:noProof/>
          <w:szCs w:val="24"/>
        </w:rPr>
        <w:t>.</w:t>
      </w:r>
      <w:r w:rsidRPr="00E06427">
        <w:rPr>
          <w:rFonts w:cs="Times New Roman"/>
          <w:noProof/>
          <w:szCs w:val="24"/>
        </w:rPr>
        <w:t xml:space="preserve"> G</w:t>
      </w:r>
      <w:r w:rsidR="00131A9F" w:rsidRPr="00E06427">
        <w:rPr>
          <w:rFonts w:cs="Times New Roman"/>
          <w:noProof/>
          <w:szCs w:val="24"/>
        </w:rPr>
        <w:t>.</w:t>
      </w:r>
      <w:r w:rsidRPr="00E06427">
        <w:rPr>
          <w:rFonts w:cs="Times New Roman"/>
          <w:noProof/>
          <w:szCs w:val="24"/>
        </w:rPr>
        <w:t xml:space="preserve"> Análise crítica dos instrumentos de avaliação de cursos de graduação do Sinaes. </w:t>
      </w:r>
      <w:r w:rsidRPr="00E06427">
        <w:rPr>
          <w:rFonts w:cs="Times New Roman"/>
          <w:b/>
          <w:bCs/>
          <w:noProof/>
          <w:szCs w:val="24"/>
        </w:rPr>
        <w:t>Revista Espaço Pedagógico</w:t>
      </w:r>
      <w:r w:rsidRPr="00E06427">
        <w:rPr>
          <w:rFonts w:cs="Times New Roman"/>
          <w:noProof/>
          <w:szCs w:val="24"/>
        </w:rPr>
        <w:t>, 2018. v. 26, n. 1, p. 183–199.</w:t>
      </w:r>
      <w:r w:rsidR="00E746D1" w:rsidRPr="00E06427">
        <w:rPr>
          <w:rFonts w:cs="Times New Roman"/>
          <w:noProof/>
          <w:szCs w:val="24"/>
        </w:rPr>
        <w:t xml:space="preserve"> Disponível em: </w:t>
      </w:r>
      <w:r w:rsidR="00E746D1" w:rsidRPr="00E06427">
        <w:rPr>
          <w:rFonts w:cs="Times New Roman"/>
          <w:szCs w:val="24"/>
        </w:rPr>
        <w:t xml:space="preserve"> </w:t>
      </w:r>
      <w:r w:rsidR="00E746D1" w:rsidRPr="00E06427">
        <w:rPr>
          <w:rFonts w:cs="Times New Roman"/>
          <w:noProof/>
          <w:szCs w:val="24"/>
        </w:rPr>
        <w:t>https://seer.upf.br/index.php/rep/article/view/8401</w:t>
      </w:r>
      <w:r w:rsidR="00C504E4" w:rsidRPr="00E06427">
        <w:rPr>
          <w:rFonts w:cs="Times New Roman"/>
          <w:noProof/>
          <w:szCs w:val="24"/>
        </w:rPr>
        <w:t>.</w:t>
      </w:r>
      <w:r w:rsidR="00E746D1" w:rsidRPr="00E06427">
        <w:rPr>
          <w:rFonts w:cs="Times New Roman"/>
          <w:noProof/>
          <w:szCs w:val="24"/>
        </w:rPr>
        <w:t xml:space="preserve"> Acesso em: 20 jul. 2023.</w:t>
      </w:r>
    </w:p>
    <w:p w14:paraId="2E8F0B41" w14:textId="77777777" w:rsidR="008973E0" w:rsidRPr="00E06427" w:rsidRDefault="008973E0" w:rsidP="00023034">
      <w:pPr>
        <w:widowControl w:val="0"/>
        <w:autoSpaceDE w:val="0"/>
        <w:autoSpaceDN w:val="0"/>
        <w:adjustRightInd w:val="0"/>
        <w:spacing w:line="240" w:lineRule="auto"/>
        <w:jc w:val="left"/>
        <w:rPr>
          <w:rFonts w:cs="Times New Roman"/>
          <w:noProof/>
          <w:sz w:val="20"/>
          <w:szCs w:val="20"/>
        </w:rPr>
      </w:pPr>
    </w:p>
    <w:p w14:paraId="52D2B04C" w14:textId="135CB3CE" w:rsidR="008973E0" w:rsidRPr="00E06427" w:rsidRDefault="008973E0"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rPr>
        <w:t xml:space="preserve">CONSELHO FEDERAL DE ADMINISTRAÇÃO </w:t>
      </w:r>
      <w:r w:rsidR="0028324C" w:rsidRPr="00E06427">
        <w:rPr>
          <w:rFonts w:cs="Times New Roman"/>
          <w:noProof/>
          <w:szCs w:val="24"/>
        </w:rPr>
        <w:t>(</w:t>
      </w:r>
      <w:r w:rsidRPr="00E06427">
        <w:rPr>
          <w:rFonts w:cs="Times New Roman"/>
          <w:noProof/>
          <w:szCs w:val="24"/>
        </w:rPr>
        <w:t>C</w:t>
      </w:r>
      <w:r w:rsidR="0028324C" w:rsidRPr="00E06427">
        <w:rPr>
          <w:rFonts w:cs="Times New Roman"/>
          <w:noProof/>
          <w:szCs w:val="24"/>
        </w:rPr>
        <w:t>FA),</w:t>
      </w:r>
      <w:r w:rsidRPr="00E06427">
        <w:rPr>
          <w:rFonts w:cs="Times New Roman"/>
          <w:noProof/>
          <w:szCs w:val="24"/>
        </w:rPr>
        <w:t xml:space="preserve"> </w:t>
      </w:r>
      <w:r w:rsidRPr="00E06427">
        <w:rPr>
          <w:rFonts w:cs="Times New Roman"/>
          <w:b/>
          <w:bCs/>
          <w:noProof/>
          <w:szCs w:val="24"/>
        </w:rPr>
        <w:t xml:space="preserve">Perfil, Formação, Atuação e Oportunidades de Trabalho do Administrador e do Tecnólogo </w:t>
      </w:r>
      <w:r w:rsidRPr="00E06427">
        <w:rPr>
          <w:rFonts w:cs="Times New Roman"/>
          <w:noProof/>
          <w:szCs w:val="24"/>
        </w:rPr>
        <w:t xml:space="preserve">. 6. ed. ed. Brasília: [s.n.], 2015. </w:t>
      </w:r>
    </w:p>
    <w:p w14:paraId="446DF9BF" w14:textId="77777777" w:rsidR="00D937D3" w:rsidRPr="00E06427" w:rsidRDefault="00D937D3" w:rsidP="00023034">
      <w:pPr>
        <w:widowControl w:val="0"/>
        <w:autoSpaceDE w:val="0"/>
        <w:autoSpaceDN w:val="0"/>
        <w:adjustRightInd w:val="0"/>
        <w:spacing w:line="240" w:lineRule="auto"/>
        <w:jc w:val="left"/>
        <w:rPr>
          <w:rFonts w:cs="Times New Roman"/>
          <w:noProof/>
          <w:sz w:val="20"/>
          <w:szCs w:val="20"/>
        </w:rPr>
      </w:pPr>
    </w:p>
    <w:p w14:paraId="5223BE38" w14:textId="44BDEE4A" w:rsidR="00D937D3" w:rsidRPr="00E06427" w:rsidRDefault="00D937D3"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rPr>
        <w:t xml:space="preserve">FAZOLI, D. A. </w:t>
      </w:r>
      <w:r w:rsidRPr="00E06427">
        <w:rPr>
          <w:rFonts w:cs="Times New Roman"/>
          <w:b/>
          <w:bCs/>
          <w:noProof/>
          <w:szCs w:val="24"/>
        </w:rPr>
        <w:t>Metodologias de mensuração de performance: evolução e análise comparativa de métodos selecionados</w:t>
      </w:r>
      <w:r w:rsidRPr="00E06427">
        <w:rPr>
          <w:rFonts w:cs="Times New Roman"/>
          <w:noProof/>
          <w:szCs w:val="24"/>
        </w:rPr>
        <w:t xml:space="preserve">. São Paulo: Universidade de São Paulo, 2020. Disponível em: https://www.teses.usp.br/teses/disponiveis/12/12139/tde-10052021-203512/. Acesso: 17 </w:t>
      </w:r>
      <w:r w:rsidR="005D3C38" w:rsidRPr="00E06427">
        <w:rPr>
          <w:rFonts w:cs="Times New Roman"/>
          <w:noProof/>
          <w:szCs w:val="24"/>
        </w:rPr>
        <w:t>j</w:t>
      </w:r>
      <w:r w:rsidRPr="00E06427">
        <w:rPr>
          <w:rFonts w:cs="Times New Roman"/>
          <w:noProof/>
          <w:szCs w:val="24"/>
        </w:rPr>
        <w:t>ul. 2023.</w:t>
      </w:r>
    </w:p>
    <w:p w14:paraId="0D08A335"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655F8539" w14:textId="45534D3D" w:rsidR="00442FB8" w:rsidRPr="00E06427" w:rsidRDefault="00442FB8"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rPr>
        <w:t xml:space="preserve">FRANZOLIN, C. T. S. </w:t>
      </w:r>
      <w:r w:rsidRPr="00E06427">
        <w:rPr>
          <w:rFonts w:cs="Times New Roman"/>
          <w:b/>
          <w:bCs/>
          <w:noProof/>
          <w:szCs w:val="24"/>
        </w:rPr>
        <w:t>Barreiras na implementação de metodologias ágeis: estudo de caso em uma empresa de meios de pagamento</w:t>
      </w:r>
      <w:r w:rsidRPr="00E06427">
        <w:rPr>
          <w:rFonts w:cs="Times New Roman"/>
          <w:noProof/>
          <w:szCs w:val="24"/>
        </w:rPr>
        <w:t>. São Paulo: Universidade de São Paulo, 2019. Disponível em: http://www.teses.usp.br/teses/disponiveis/12/12139/tde-17032020-170550/.</w:t>
      </w:r>
      <w:r w:rsidR="008C3ADE" w:rsidRPr="00E06427">
        <w:rPr>
          <w:rFonts w:cs="Times New Roman"/>
          <w:noProof/>
          <w:szCs w:val="24"/>
        </w:rPr>
        <w:t xml:space="preserve"> </w:t>
      </w:r>
      <w:r w:rsidR="008C3ADE" w:rsidRPr="00E06427">
        <w:rPr>
          <w:rFonts w:cs="Times New Roman"/>
          <w:noProof/>
          <w:szCs w:val="24"/>
          <w:lang w:val="en-US"/>
        </w:rPr>
        <w:t xml:space="preserve">Acesso em: </w:t>
      </w:r>
      <w:r w:rsidR="0096525D" w:rsidRPr="00E06427">
        <w:rPr>
          <w:rFonts w:cs="Times New Roman"/>
          <w:noProof/>
          <w:szCs w:val="24"/>
          <w:lang w:val="en-US"/>
        </w:rPr>
        <w:t>18 jul. 2023.</w:t>
      </w:r>
      <w:r w:rsidRPr="00E06427">
        <w:rPr>
          <w:rFonts w:cs="Times New Roman"/>
          <w:noProof/>
          <w:szCs w:val="24"/>
          <w:lang w:val="en-US"/>
        </w:rPr>
        <w:t xml:space="preserve"> </w:t>
      </w:r>
    </w:p>
    <w:p w14:paraId="3D94EA49"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lang w:val="en-US"/>
        </w:rPr>
      </w:pPr>
    </w:p>
    <w:p w14:paraId="2B71E456" w14:textId="55666A38" w:rsidR="00CD62B9" w:rsidRPr="00E06427" w:rsidRDefault="00CD62B9"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HABBAL</w:t>
      </w:r>
      <w:r w:rsidR="00D56A74" w:rsidRPr="00E06427">
        <w:rPr>
          <w:rFonts w:cs="Times New Roman"/>
          <w:noProof/>
          <w:szCs w:val="24"/>
          <w:lang w:val="en-US"/>
        </w:rPr>
        <w:t>,</w:t>
      </w:r>
      <w:r w:rsidRPr="00E06427">
        <w:rPr>
          <w:rFonts w:cs="Times New Roman"/>
          <w:noProof/>
          <w:szCs w:val="24"/>
          <w:lang w:val="en-US"/>
        </w:rPr>
        <w:t xml:space="preserve"> F</w:t>
      </w:r>
      <w:r w:rsidR="009D7B07" w:rsidRPr="00E06427">
        <w:rPr>
          <w:rFonts w:cs="Times New Roman"/>
          <w:noProof/>
          <w:szCs w:val="24"/>
          <w:lang w:val="en-US"/>
        </w:rPr>
        <w:t xml:space="preserve">. </w:t>
      </w:r>
      <w:r w:rsidR="00D56A74" w:rsidRPr="00E06427">
        <w:rPr>
          <w:rFonts w:cs="Times New Roman"/>
          <w:noProof/>
          <w:szCs w:val="24"/>
          <w:lang w:val="en-US"/>
        </w:rPr>
        <w:t>M</w:t>
      </w:r>
      <w:r w:rsidR="009D7B07" w:rsidRPr="00E06427">
        <w:rPr>
          <w:rFonts w:cs="Times New Roman"/>
          <w:noProof/>
          <w:szCs w:val="24"/>
          <w:lang w:val="en-US"/>
        </w:rPr>
        <w:t>.</w:t>
      </w:r>
      <w:r w:rsidR="00D56A74" w:rsidRPr="00E06427">
        <w:rPr>
          <w:rFonts w:cs="Times New Roman"/>
          <w:noProof/>
          <w:szCs w:val="24"/>
          <w:lang w:val="en-US"/>
        </w:rPr>
        <w:t xml:space="preserve"> N</w:t>
      </w:r>
      <w:r w:rsidR="009D7B07" w:rsidRPr="00E06427">
        <w:rPr>
          <w:rFonts w:cs="Times New Roman"/>
          <w:noProof/>
          <w:szCs w:val="24"/>
          <w:lang w:val="en-US"/>
        </w:rPr>
        <w:t>.</w:t>
      </w:r>
      <w:r w:rsidR="0066486D" w:rsidRPr="00E06427">
        <w:rPr>
          <w:rFonts w:cs="Times New Roman"/>
          <w:noProof/>
          <w:szCs w:val="24"/>
          <w:lang w:val="en-US"/>
        </w:rPr>
        <w:t>; JREISAT, A.</w:t>
      </w:r>
      <w:r w:rsidRPr="00E06427">
        <w:rPr>
          <w:rFonts w:cs="Times New Roman"/>
          <w:noProof/>
          <w:szCs w:val="24"/>
          <w:lang w:val="en-US"/>
        </w:rPr>
        <w:t xml:space="preserve"> Implications of Successful Implementation of Total </w:t>
      </w:r>
      <w:r w:rsidRPr="00E06427">
        <w:rPr>
          <w:rFonts w:cs="Times New Roman"/>
          <w:noProof/>
          <w:szCs w:val="24"/>
          <w:lang w:val="en-US"/>
        </w:rPr>
        <w:lastRenderedPageBreak/>
        <w:t xml:space="preserve">Quality Management in UAE Universities. </w:t>
      </w:r>
      <w:r w:rsidRPr="00E06427">
        <w:rPr>
          <w:rFonts w:cs="Times New Roman"/>
          <w:b/>
          <w:bCs/>
          <w:noProof/>
          <w:szCs w:val="24"/>
        </w:rPr>
        <w:t>Calitatea</w:t>
      </w:r>
      <w:r w:rsidRPr="00E06427">
        <w:rPr>
          <w:rFonts w:cs="Times New Roman"/>
          <w:noProof/>
          <w:szCs w:val="24"/>
        </w:rPr>
        <w:t>, 2018. v. 19, n. 165, p. 56–62.</w:t>
      </w:r>
      <w:r w:rsidR="00881E0C" w:rsidRPr="00E06427">
        <w:rPr>
          <w:rFonts w:cs="Times New Roman"/>
          <w:noProof/>
          <w:szCs w:val="24"/>
        </w:rPr>
        <w:t xml:space="preserve"> Disponível em: </w:t>
      </w:r>
      <w:r w:rsidR="00881E0C" w:rsidRPr="00E06427">
        <w:rPr>
          <w:rFonts w:cs="Times New Roman"/>
          <w:szCs w:val="24"/>
        </w:rPr>
        <w:t xml:space="preserve"> </w:t>
      </w:r>
      <w:r w:rsidR="00881E0C" w:rsidRPr="00E06427">
        <w:rPr>
          <w:rFonts w:cs="Times New Roman"/>
          <w:noProof/>
          <w:szCs w:val="24"/>
        </w:rPr>
        <w:t>https://www.researchgate.net/publication/326848546_Implications_of_successful_implementation_of_total_quality_management_in_UAE_universities</w:t>
      </w:r>
      <w:r w:rsidR="00A03426" w:rsidRPr="00E06427">
        <w:rPr>
          <w:rStyle w:val="Hyperlink"/>
          <w:rFonts w:cs="Times New Roman"/>
          <w:noProof/>
          <w:color w:val="auto"/>
          <w:szCs w:val="24"/>
        </w:rPr>
        <w:t>.</w:t>
      </w:r>
      <w:r w:rsidR="00881E0C" w:rsidRPr="00E06427">
        <w:rPr>
          <w:rFonts w:cs="Times New Roman"/>
          <w:noProof/>
          <w:szCs w:val="24"/>
        </w:rPr>
        <w:t xml:space="preserve"> Acesso</w:t>
      </w:r>
      <w:r w:rsidR="00591179" w:rsidRPr="00E06427">
        <w:rPr>
          <w:rFonts w:cs="Times New Roman"/>
          <w:noProof/>
          <w:szCs w:val="24"/>
        </w:rPr>
        <w:t xml:space="preserve"> em: 2</w:t>
      </w:r>
      <w:r w:rsidR="003E4245" w:rsidRPr="00E06427">
        <w:rPr>
          <w:rFonts w:cs="Times New Roman"/>
          <w:noProof/>
          <w:szCs w:val="24"/>
        </w:rPr>
        <w:t>0 jul. 2023.</w:t>
      </w:r>
    </w:p>
    <w:p w14:paraId="58523AA8"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24896A2A" w14:textId="37F4D7C5" w:rsidR="00D848C1" w:rsidRPr="00E06427" w:rsidRDefault="00D848C1" w:rsidP="00023034">
      <w:pPr>
        <w:tabs>
          <w:tab w:val="clear" w:pos="851"/>
        </w:tabs>
        <w:autoSpaceDE w:val="0"/>
        <w:autoSpaceDN w:val="0"/>
        <w:adjustRightInd w:val="0"/>
        <w:spacing w:line="240" w:lineRule="auto"/>
        <w:jc w:val="left"/>
        <w:rPr>
          <w:rFonts w:cs="Times New Roman"/>
          <w:szCs w:val="24"/>
        </w:rPr>
      </w:pPr>
      <w:r w:rsidRPr="00E06427">
        <w:rPr>
          <w:rFonts w:cs="Times New Roman"/>
          <w:szCs w:val="24"/>
        </w:rPr>
        <w:t>MORAN, J</w:t>
      </w:r>
      <w:r w:rsidR="008973E0" w:rsidRPr="00E06427">
        <w:rPr>
          <w:rFonts w:cs="Times New Roman"/>
          <w:szCs w:val="24"/>
        </w:rPr>
        <w:t>.</w:t>
      </w:r>
      <w:r w:rsidRPr="00E06427">
        <w:rPr>
          <w:rFonts w:cs="Times New Roman"/>
          <w:szCs w:val="24"/>
        </w:rPr>
        <w:t xml:space="preserve"> Metodologias ativas para uma aprendizagem mais profunda. In: BACICH,</w:t>
      </w:r>
      <w:r w:rsidR="00C229D3" w:rsidRPr="00E06427">
        <w:rPr>
          <w:rFonts w:cs="Times New Roman"/>
          <w:szCs w:val="24"/>
        </w:rPr>
        <w:t xml:space="preserve"> </w:t>
      </w:r>
      <w:r w:rsidRPr="00E06427">
        <w:rPr>
          <w:rFonts w:cs="Times New Roman"/>
          <w:szCs w:val="24"/>
        </w:rPr>
        <w:t xml:space="preserve">Lilian; MORAN, José (Org.). </w:t>
      </w:r>
      <w:r w:rsidRPr="00E06427">
        <w:rPr>
          <w:rFonts w:cs="Times New Roman"/>
          <w:b/>
          <w:bCs/>
          <w:szCs w:val="24"/>
        </w:rPr>
        <w:t>Metodologias ativas para uma educação inovadora</w:t>
      </w:r>
      <w:r w:rsidRPr="00E06427">
        <w:rPr>
          <w:rFonts w:cs="Times New Roman"/>
          <w:szCs w:val="24"/>
        </w:rPr>
        <w:t>:</w:t>
      </w:r>
      <w:r w:rsidR="00C229D3" w:rsidRPr="00E06427">
        <w:rPr>
          <w:rFonts w:cs="Times New Roman"/>
          <w:szCs w:val="24"/>
        </w:rPr>
        <w:t xml:space="preserve"> </w:t>
      </w:r>
      <w:r w:rsidRPr="00E06427">
        <w:rPr>
          <w:rFonts w:cs="Times New Roman"/>
          <w:szCs w:val="24"/>
        </w:rPr>
        <w:t>uma abordagem teórico-prática. Porto Alegre: Penso, 2018.</w:t>
      </w:r>
    </w:p>
    <w:p w14:paraId="4A0E5667" w14:textId="77777777" w:rsidR="00F173B8" w:rsidRPr="00E06427" w:rsidRDefault="00F173B8" w:rsidP="00023034">
      <w:pPr>
        <w:tabs>
          <w:tab w:val="clear" w:pos="851"/>
        </w:tabs>
        <w:autoSpaceDE w:val="0"/>
        <w:autoSpaceDN w:val="0"/>
        <w:adjustRightInd w:val="0"/>
        <w:spacing w:line="240" w:lineRule="auto"/>
        <w:jc w:val="left"/>
        <w:rPr>
          <w:rFonts w:cs="Times New Roman"/>
          <w:noProof/>
          <w:sz w:val="20"/>
          <w:szCs w:val="20"/>
        </w:rPr>
      </w:pPr>
    </w:p>
    <w:p w14:paraId="06FE622B" w14:textId="384C5885" w:rsidR="00CF59A3" w:rsidRPr="00E06427" w:rsidRDefault="00CF59A3"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rPr>
        <w:t xml:space="preserve">MOTA, P. G. </w:t>
      </w:r>
      <w:r w:rsidRPr="00E06427">
        <w:rPr>
          <w:rFonts w:cs="Times New Roman"/>
          <w:b/>
          <w:bCs/>
          <w:noProof/>
          <w:szCs w:val="24"/>
        </w:rPr>
        <w:t>A utilização de metodologias ágeis e sua contribuição na inovação de modelo de negócios: Um estudo de casos múltiplos no contexto de incubadoras e startups.</w:t>
      </w:r>
      <w:r w:rsidRPr="00E06427">
        <w:rPr>
          <w:rFonts w:cs="Times New Roman"/>
          <w:noProof/>
          <w:szCs w:val="24"/>
        </w:rPr>
        <w:t xml:space="preserve"> [S.l.]: Universidade Federal de Goiás, 2021. Acesso em: 17 </w:t>
      </w:r>
      <w:r w:rsidR="005D3C38" w:rsidRPr="00E06427">
        <w:rPr>
          <w:rFonts w:cs="Times New Roman"/>
          <w:noProof/>
          <w:szCs w:val="24"/>
        </w:rPr>
        <w:t>j</w:t>
      </w:r>
      <w:r w:rsidRPr="00E06427">
        <w:rPr>
          <w:rFonts w:cs="Times New Roman"/>
          <w:noProof/>
          <w:szCs w:val="24"/>
        </w:rPr>
        <w:t>ul. 2023.</w:t>
      </w:r>
    </w:p>
    <w:p w14:paraId="0A1B55DD"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2DDB4DC2" w14:textId="462EEE37" w:rsidR="004D2AAE" w:rsidRPr="00E06427" w:rsidRDefault="004D2AAE"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rPr>
        <w:t xml:space="preserve">NODA, R. F. </w:t>
      </w:r>
      <w:r w:rsidRPr="00E06427">
        <w:rPr>
          <w:rFonts w:cs="Times New Roman"/>
          <w:b/>
          <w:bCs/>
          <w:noProof/>
          <w:szCs w:val="24"/>
        </w:rPr>
        <w:t>Laudos de avaliação: metodologias utilizadas, erros e vieses</w:t>
      </w:r>
      <w:r w:rsidRPr="00E06427">
        <w:rPr>
          <w:rFonts w:cs="Times New Roman"/>
          <w:noProof/>
          <w:szCs w:val="24"/>
        </w:rPr>
        <w:t xml:space="preserve">. São Paulo: Universidade de São Paulo, 2018. Disponível em: http://www.teses.usp.br/teses/disponiveis/12/12139/tde-20072018-100047/. </w:t>
      </w:r>
      <w:r w:rsidR="00887D6C" w:rsidRPr="00E06427">
        <w:rPr>
          <w:rFonts w:cs="Times New Roman"/>
          <w:noProof/>
          <w:szCs w:val="24"/>
          <w:lang w:val="en-US"/>
        </w:rPr>
        <w:t xml:space="preserve">Acesso em: </w:t>
      </w:r>
      <w:r w:rsidR="006D5C31" w:rsidRPr="00E06427">
        <w:rPr>
          <w:rFonts w:cs="Times New Roman"/>
          <w:noProof/>
          <w:szCs w:val="24"/>
          <w:lang w:val="en-US"/>
        </w:rPr>
        <w:t xml:space="preserve">17 </w:t>
      </w:r>
      <w:r w:rsidR="005D3C38" w:rsidRPr="00E06427">
        <w:rPr>
          <w:rFonts w:cs="Times New Roman"/>
          <w:noProof/>
          <w:szCs w:val="24"/>
          <w:lang w:val="en-US"/>
        </w:rPr>
        <w:t>j</w:t>
      </w:r>
      <w:r w:rsidR="006D5C31" w:rsidRPr="00E06427">
        <w:rPr>
          <w:rFonts w:cs="Times New Roman"/>
          <w:noProof/>
          <w:szCs w:val="24"/>
          <w:lang w:val="en-US"/>
        </w:rPr>
        <w:t>ul. 2023.</w:t>
      </w:r>
    </w:p>
    <w:p w14:paraId="7C66DC81"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lang w:val="en-US"/>
        </w:rPr>
      </w:pPr>
    </w:p>
    <w:p w14:paraId="675B0D4D" w14:textId="633C4093" w:rsidR="00B671E3" w:rsidRPr="00E06427" w:rsidRDefault="00B671E3"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 xml:space="preserve">PARRI, J. Quality in Higher Education. </w:t>
      </w:r>
      <w:r w:rsidRPr="00E06427">
        <w:rPr>
          <w:rFonts w:cs="Times New Roman"/>
          <w:b/>
          <w:bCs/>
          <w:noProof/>
          <w:szCs w:val="24"/>
          <w:lang w:val="en-US"/>
        </w:rPr>
        <w:t>Vadyba Management</w:t>
      </w:r>
      <w:r w:rsidRPr="00E06427">
        <w:rPr>
          <w:rFonts w:cs="Times New Roman"/>
          <w:noProof/>
          <w:szCs w:val="24"/>
          <w:lang w:val="en-US"/>
        </w:rPr>
        <w:t xml:space="preserve">, 2006. v. 2, n. 11, p. 107–111. </w:t>
      </w:r>
      <w:r w:rsidRPr="00E06427">
        <w:rPr>
          <w:rFonts w:cs="Times New Roman"/>
          <w:noProof/>
          <w:szCs w:val="24"/>
        </w:rPr>
        <w:t>Disponível em: https://citeseerx.ist.psu.edu/viewdoc/summary?doi=10.1.1.536.8885.</w:t>
      </w:r>
      <w:r w:rsidR="00F25CAE" w:rsidRPr="00E06427">
        <w:rPr>
          <w:rFonts w:cs="Times New Roman"/>
          <w:noProof/>
          <w:szCs w:val="24"/>
        </w:rPr>
        <w:t xml:space="preserve"> Acesso em: 20 jul. 2023.</w:t>
      </w:r>
      <w:r w:rsidRPr="00E06427">
        <w:rPr>
          <w:rFonts w:cs="Times New Roman"/>
          <w:noProof/>
          <w:szCs w:val="24"/>
        </w:rPr>
        <w:t xml:space="preserve"> </w:t>
      </w:r>
    </w:p>
    <w:p w14:paraId="00BDFBD4"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2B01E27D" w14:textId="4D175245" w:rsidR="00A4515C" w:rsidRPr="00E06427" w:rsidRDefault="00A4515C"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rPr>
        <w:t xml:space="preserve">ROBLE, G. L. </w:t>
      </w:r>
      <w:r w:rsidR="0054297E" w:rsidRPr="00E06427">
        <w:rPr>
          <w:rFonts w:cs="Times New Roman"/>
          <w:noProof/>
          <w:szCs w:val="24"/>
        </w:rPr>
        <w:t>d</w:t>
      </w:r>
      <w:r w:rsidRPr="00E06427">
        <w:rPr>
          <w:rFonts w:cs="Times New Roman"/>
          <w:noProof/>
          <w:szCs w:val="24"/>
        </w:rPr>
        <w:t xml:space="preserve">e E.; AUGUSTO, É. E. F.; MORAIS, F. R. </w:t>
      </w:r>
      <w:r w:rsidR="00CA2D86" w:rsidRPr="00E06427">
        <w:rPr>
          <w:rFonts w:cs="Times New Roman"/>
          <w:noProof/>
          <w:szCs w:val="24"/>
        </w:rPr>
        <w:t>d</w:t>
      </w:r>
      <w:r w:rsidRPr="00E06427">
        <w:rPr>
          <w:rFonts w:cs="Times New Roman"/>
          <w:noProof/>
          <w:szCs w:val="24"/>
        </w:rPr>
        <w:t xml:space="preserve">e. </w:t>
      </w:r>
      <w:r w:rsidRPr="00E06427">
        <w:rPr>
          <w:rFonts w:cs="Times New Roman"/>
          <w:noProof/>
          <w:szCs w:val="24"/>
          <w:lang w:val="en-US"/>
        </w:rPr>
        <w:t>T</w:t>
      </w:r>
      <w:r w:rsidR="00CA2D86" w:rsidRPr="00E06427">
        <w:rPr>
          <w:rFonts w:cs="Times New Roman"/>
          <w:noProof/>
          <w:szCs w:val="24"/>
          <w:lang w:val="en-US"/>
        </w:rPr>
        <w:t>he</w:t>
      </w:r>
      <w:r w:rsidRPr="00E06427">
        <w:rPr>
          <w:rFonts w:cs="Times New Roman"/>
          <w:noProof/>
          <w:szCs w:val="24"/>
          <w:lang w:val="en-US"/>
        </w:rPr>
        <w:t xml:space="preserve"> </w:t>
      </w:r>
      <w:r w:rsidR="00CA2D86" w:rsidRPr="00E06427">
        <w:rPr>
          <w:rFonts w:cs="Times New Roman"/>
          <w:noProof/>
          <w:szCs w:val="24"/>
          <w:lang w:val="en-US"/>
        </w:rPr>
        <w:t>teanching</w:t>
      </w:r>
      <w:r w:rsidRPr="00E06427">
        <w:rPr>
          <w:rFonts w:cs="Times New Roman"/>
          <w:noProof/>
          <w:szCs w:val="24"/>
          <w:lang w:val="en-US"/>
        </w:rPr>
        <w:t xml:space="preserve"> </w:t>
      </w:r>
      <w:r w:rsidR="009342B0" w:rsidRPr="00E06427">
        <w:rPr>
          <w:rFonts w:cs="Times New Roman"/>
          <w:noProof/>
          <w:szCs w:val="24"/>
          <w:lang w:val="en-US"/>
        </w:rPr>
        <w:t>stand</w:t>
      </w:r>
      <w:r w:rsidR="00BA4B43" w:rsidRPr="00E06427">
        <w:rPr>
          <w:rFonts w:cs="Times New Roman"/>
          <w:noProof/>
          <w:szCs w:val="24"/>
          <w:lang w:val="en-US"/>
        </w:rPr>
        <w:t>ards and skills of higher educa</w:t>
      </w:r>
      <w:r w:rsidR="006C7426" w:rsidRPr="00E06427">
        <w:rPr>
          <w:rFonts w:cs="Times New Roman"/>
          <w:noProof/>
          <w:szCs w:val="24"/>
          <w:lang w:val="en-US"/>
        </w:rPr>
        <w:t>tion teachers of business studies in Brazil</w:t>
      </w:r>
      <w:r w:rsidRPr="00E06427">
        <w:rPr>
          <w:rFonts w:cs="Times New Roman"/>
          <w:noProof/>
          <w:szCs w:val="24"/>
          <w:lang w:val="en-US"/>
        </w:rPr>
        <w:t xml:space="preserve">: A </w:t>
      </w:r>
      <w:r w:rsidR="00397DF5" w:rsidRPr="00E06427">
        <w:rPr>
          <w:rFonts w:cs="Times New Roman"/>
          <w:noProof/>
          <w:szCs w:val="24"/>
          <w:lang w:val="en-US"/>
        </w:rPr>
        <w:t>study of the teaching staff in public and private institu</w:t>
      </w:r>
      <w:r w:rsidR="00216346" w:rsidRPr="00E06427">
        <w:rPr>
          <w:rFonts w:cs="Times New Roman"/>
          <w:noProof/>
          <w:szCs w:val="24"/>
          <w:lang w:val="en-US"/>
        </w:rPr>
        <w:t>tions</w:t>
      </w:r>
      <w:r w:rsidRPr="00E06427">
        <w:rPr>
          <w:rFonts w:cs="Times New Roman"/>
          <w:noProof/>
          <w:szCs w:val="24"/>
          <w:lang w:val="en-US"/>
        </w:rPr>
        <w:t xml:space="preserve">. </w:t>
      </w:r>
      <w:r w:rsidRPr="00E06427">
        <w:rPr>
          <w:rFonts w:cs="Times New Roman"/>
          <w:b/>
          <w:bCs/>
          <w:noProof/>
          <w:szCs w:val="24"/>
          <w:lang w:val="en-US"/>
        </w:rPr>
        <w:t>Journal on Innovation and Sustainability RISUS</w:t>
      </w:r>
      <w:r w:rsidRPr="00E06427">
        <w:rPr>
          <w:rFonts w:cs="Times New Roman"/>
          <w:noProof/>
          <w:szCs w:val="24"/>
          <w:lang w:val="en-US"/>
        </w:rPr>
        <w:t>, 2019. v. 10, n. 3.</w:t>
      </w:r>
      <w:r w:rsidR="004A5051" w:rsidRPr="00E06427">
        <w:rPr>
          <w:rFonts w:cs="Times New Roman"/>
          <w:noProof/>
          <w:szCs w:val="24"/>
          <w:lang w:val="en-US"/>
        </w:rPr>
        <w:t xml:space="preserve"> Disponível em: </w:t>
      </w:r>
      <w:r w:rsidR="00E23743" w:rsidRPr="00E06427">
        <w:rPr>
          <w:rFonts w:cs="Times New Roman"/>
          <w:noProof/>
          <w:szCs w:val="24"/>
          <w:lang w:val="en-US"/>
        </w:rPr>
        <w:t>https://revistas.pucsp.br/index.php/risus/article/view/46526/30848 Acesso em: 20 jul. 2023.</w:t>
      </w:r>
    </w:p>
    <w:p w14:paraId="32C0E53B"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lang w:val="en-US"/>
        </w:rPr>
      </w:pPr>
    </w:p>
    <w:p w14:paraId="3EBDAAED" w14:textId="4E989ED8" w:rsidR="00C62A1C" w:rsidRPr="00E06427" w:rsidRDefault="00C62A1C"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 xml:space="preserve">RUIZ ESTEBAN, C. M.; SANTOS DEL CERRO, J. Teaching quality: The satisfaction of university students with their professors. </w:t>
      </w:r>
      <w:r w:rsidRPr="00E06427">
        <w:rPr>
          <w:rFonts w:cs="Times New Roman"/>
          <w:b/>
          <w:bCs/>
          <w:noProof/>
          <w:szCs w:val="24"/>
        </w:rPr>
        <w:t>Anales de Psicología</w:t>
      </w:r>
      <w:r w:rsidRPr="00E06427">
        <w:rPr>
          <w:rFonts w:cs="Times New Roman"/>
          <w:noProof/>
          <w:szCs w:val="24"/>
        </w:rPr>
        <w:t xml:space="preserve">, 9 abr. 2020. v. 36, n. 2, p. 304–312. Disponível em: https://revistas.um.es/analesps/article/view/335431. </w:t>
      </w:r>
      <w:r w:rsidR="003934B9" w:rsidRPr="00E06427">
        <w:rPr>
          <w:rFonts w:cs="Times New Roman"/>
          <w:noProof/>
          <w:szCs w:val="24"/>
        </w:rPr>
        <w:t>Acesso em: 20 jul. 2023.</w:t>
      </w:r>
    </w:p>
    <w:p w14:paraId="43F944C0"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68B95807" w14:textId="7552EE3D" w:rsidR="00C57491" w:rsidRPr="00E06427" w:rsidRDefault="00903F87"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lang w:val="es-ES_tradnl"/>
        </w:rPr>
        <w:t xml:space="preserve">RODRIGUEZ-FERNÁNDEZ, C. M. La calidad del servicio educativo resultados preliminares en la Universidad Fidélitas. </w:t>
      </w:r>
      <w:r w:rsidRPr="00E06427">
        <w:rPr>
          <w:rFonts w:cs="Times New Roman"/>
          <w:b/>
          <w:bCs/>
          <w:noProof/>
          <w:szCs w:val="24"/>
        </w:rPr>
        <w:t>Praxis</w:t>
      </w:r>
      <w:r w:rsidRPr="00E06427">
        <w:rPr>
          <w:rFonts w:cs="Times New Roman"/>
          <w:noProof/>
          <w:szCs w:val="24"/>
        </w:rPr>
        <w:t>, 30 nov. 2018. v. 14, n. 2, p. 155–170. Disponível em: http://revistas.unimagdalena.edu.co/index.php/praxis/article/view/2670.</w:t>
      </w:r>
      <w:r w:rsidR="006F3574" w:rsidRPr="00E06427">
        <w:rPr>
          <w:rFonts w:cs="Times New Roman"/>
          <w:noProof/>
          <w:szCs w:val="24"/>
        </w:rPr>
        <w:t xml:space="preserve"> </w:t>
      </w:r>
      <w:r w:rsidR="006F3574" w:rsidRPr="00E06427">
        <w:rPr>
          <w:rFonts w:cs="Times New Roman"/>
          <w:noProof/>
          <w:szCs w:val="24"/>
          <w:lang w:val="en-US"/>
        </w:rPr>
        <w:t>Acesso em: 20 jul. 2023.</w:t>
      </w:r>
    </w:p>
    <w:p w14:paraId="474C9A7F"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lang w:val="en-US"/>
        </w:rPr>
      </w:pPr>
    </w:p>
    <w:p w14:paraId="433EF2AE" w14:textId="24A15B7F" w:rsidR="00C57491" w:rsidRPr="00E06427" w:rsidRDefault="00C57491"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 xml:space="preserve">SCHINDLER, L. </w:t>
      </w:r>
      <w:r w:rsidRPr="00E06427">
        <w:rPr>
          <w:rFonts w:cs="Times New Roman"/>
          <w:i/>
          <w:iCs/>
          <w:noProof/>
          <w:szCs w:val="24"/>
          <w:lang w:val="en-US"/>
        </w:rPr>
        <w:t>et al.</w:t>
      </w:r>
      <w:r w:rsidRPr="00E06427">
        <w:rPr>
          <w:rFonts w:cs="Times New Roman"/>
          <w:noProof/>
          <w:szCs w:val="24"/>
          <w:lang w:val="en-US"/>
        </w:rPr>
        <w:t xml:space="preserve"> Definitions of Quality in Higher Education: A Synthesis of the Literature. </w:t>
      </w:r>
      <w:r w:rsidRPr="00E06427">
        <w:rPr>
          <w:rFonts w:cs="Times New Roman"/>
          <w:b/>
          <w:bCs/>
          <w:noProof/>
          <w:szCs w:val="24"/>
          <w:lang w:val="en-US"/>
        </w:rPr>
        <w:t>Higher Learning Research Communications</w:t>
      </w:r>
      <w:r w:rsidRPr="00E06427">
        <w:rPr>
          <w:rFonts w:cs="Times New Roman"/>
          <w:noProof/>
          <w:szCs w:val="24"/>
          <w:lang w:val="en-US"/>
        </w:rPr>
        <w:t xml:space="preserve">, 30 set. 2015. v. 5, n. 3, p. 3. Disponível em: https://scholarworks.waldenu.edu/hlrc/vol5/iss3/2. </w:t>
      </w:r>
      <w:r w:rsidR="005E55FE" w:rsidRPr="00E06427">
        <w:rPr>
          <w:rFonts w:cs="Times New Roman"/>
          <w:noProof/>
          <w:szCs w:val="24"/>
        </w:rPr>
        <w:t>Acesso em: 20 jul. 2023.</w:t>
      </w:r>
    </w:p>
    <w:p w14:paraId="3D03044D" w14:textId="77777777" w:rsidR="00C0309F" w:rsidRPr="00E06427" w:rsidRDefault="00C0309F" w:rsidP="00023034">
      <w:pPr>
        <w:widowControl w:val="0"/>
        <w:autoSpaceDE w:val="0"/>
        <w:autoSpaceDN w:val="0"/>
        <w:adjustRightInd w:val="0"/>
        <w:spacing w:line="240" w:lineRule="auto"/>
        <w:jc w:val="left"/>
        <w:rPr>
          <w:rFonts w:cs="Times New Roman"/>
          <w:noProof/>
          <w:sz w:val="20"/>
          <w:szCs w:val="20"/>
        </w:rPr>
      </w:pPr>
    </w:p>
    <w:p w14:paraId="409318C2" w14:textId="787F9ED3" w:rsidR="00B4650A" w:rsidRPr="00E06427" w:rsidRDefault="00B4650A"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rPr>
        <w:t xml:space="preserve">SILVA, S. S. </w:t>
      </w:r>
      <w:r w:rsidRPr="00E06427">
        <w:rPr>
          <w:rFonts w:cs="Times New Roman"/>
          <w:b/>
          <w:bCs/>
          <w:noProof/>
          <w:szCs w:val="24"/>
        </w:rPr>
        <w:t xml:space="preserve">Blended learning com jogos de empresas para desenvolver soft skills na </w:t>
      </w:r>
      <w:r w:rsidRPr="00E06427">
        <w:rPr>
          <w:rFonts w:cs="Times New Roman"/>
          <w:b/>
          <w:bCs/>
          <w:noProof/>
          <w:szCs w:val="24"/>
        </w:rPr>
        <w:lastRenderedPageBreak/>
        <w:t>educação executiva e gerencial: um quase-experimento</w:t>
      </w:r>
      <w:r w:rsidRPr="00E06427">
        <w:rPr>
          <w:rFonts w:cs="Times New Roman"/>
          <w:noProof/>
          <w:szCs w:val="24"/>
        </w:rPr>
        <w:t>. [S.l.]: Universidade de São Paulo, 2020. Disponível em: http://hdl.handle.net/10366/144013.</w:t>
      </w:r>
      <w:r w:rsidR="00852FB0" w:rsidRPr="00E06427">
        <w:rPr>
          <w:rFonts w:cs="Times New Roman"/>
          <w:noProof/>
          <w:szCs w:val="24"/>
        </w:rPr>
        <w:t xml:space="preserve"> </w:t>
      </w:r>
      <w:r w:rsidR="00852FB0" w:rsidRPr="00E06427">
        <w:rPr>
          <w:rFonts w:cs="Times New Roman"/>
          <w:noProof/>
          <w:szCs w:val="24"/>
          <w:lang w:val="en-US"/>
        </w:rPr>
        <w:t>Acesso em: 20 jul. 2023.</w:t>
      </w:r>
    </w:p>
    <w:p w14:paraId="20266DF1"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lang w:val="en-US"/>
        </w:rPr>
      </w:pPr>
    </w:p>
    <w:p w14:paraId="320F562E" w14:textId="5122E68C" w:rsidR="00545ECF" w:rsidRPr="00E06427" w:rsidRDefault="00545ECF" w:rsidP="00023034">
      <w:pPr>
        <w:widowControl w:val="0"/>
        <w:autoSpaceDE w:val="0"/>
        <w:autoSpaceDN w:val="0"/>
        <w:adjustRightInd w:val="0"/>
        <w:spacing w:line="240" w:lineRule="auto"/>
        <w:jc w:val="left"/>
        <w:rPr>
          <w:rFonts w:cs="Times New Roman"/>
          <w:noProof/>
          <w:szCs w:val="24"/>
          <w:lang w:val="en-US"/>
        </w:rPr>
      </w:pPr>
      <w:r w:rsidRPr="00E06427">
        <w:rPr>
          <w:rFonts w:cs="Times New Roman"/>
          <w:noProof/>
          <w:szCs w:val="24"/>
          <w:lang w:val="en-US"/>
        </w:rPr>
        <w:t xml:space="preserve">TAM, M. Measuring Quality and Performance in Higher Education. </w:t>
      </w:r>
      <w:r w:rsidRPr="00E06427">
        <w:rPr>
          <w:rFonts w:cs="Times New Roman"/>
          <w:b/>
          <w:bCs/>
          <w:noProof/>
          <w:szCs w:val="24"/>
          <w:lang w:val="en-US"/>
        </w:rPr>
        <w:t>Quality in Higher Education</w:t>
      </w:r>
      <w:r w:rsidRPr="00E06427">
        <w:rPr>
          <w:rFonts w:cs="Times New Roman"/>
          <w:noProof/>
          <w:szCs w:val="24"/>
          <w:lang w:val="en-US"/>
        </w:rPr>
        <w:t xml:space="preserve">, 1 abr. 2001. v. 7, n. 1, p. 47–54. </w:t>
      </w:r>
      <w:r w:rsidRPr="00E06427">
        <w:rPr>
          <w:rFonts w:cs="Times New Roman"/>
          <w:noProof/>
          <w:szCs w:val="24"/>
        </w:rPr>
        <w:t xml:space="preserve">Disponível em: </w:t>
      </w:r>
      <w:r w:rsidR="001121F9" w:rsidRPr="00E06427">
        <w:rPr>
          <w:rFonts w:cs="Times New Roman"/>
          <w:szCs w:val="24"/>
        </w:rPr>
        <w:t xml:space="preserve"> </w:t>
      </w:r>
      <w:r w:rsidR="001121F9" w:rsidRPr="00E06427">
        <w:rPr>
          <w:rFonts w:cs="Times New Roman"/>
          <w:noProof/>
          <w:szCs w:val="24"/>
        </w:rPr>
        <w:t>https://www.researchgate.net/publication/44829856_Measuring_Quality_and_Performance_in_Higher_Education</w:t>
      </w:r>
      <w:r w:rsidRPr="00E06427">
        <w:rPr>
          <w:rFonts w:cs="Times New Roman"/>
          <w:noProof/>
          <w:szCs w:val="24"/>
        </w:rPr>
        <w:t xml:space="preserve">. </w:t>
      </w:r>
      <w:r w:rsidR="001121F9" w:rsidRPr="00E06427">
        <w:rPr>
          <w:rFonts w:cs="Times New Roman"/>
          <w:noProof/>
          <w:szCs w:val="24"/>
          <w:lang w:val="en-US"/>
        </w:rPr>
        <w:t>Acesso em</w:t>
      </w:r>
      <w:r w:rsidR="00EB7E85" w:rsidRPr="00E06427">
        <w:rPr>
          <w:rFonts w:cs="Times New Roman"/>
          <w:noProof/>
          <w:szCs w:val="24"/>
          <w:lang w:val="en-US"/>
        </w:rPr>
        <w:t>: 20 jul. 2023.</w:t>
      </w:r>
    </w:p>
    <w:p w14:paraId="2E7971EB" w14:textId="77777777" w:rsidR="00F173B8" w:rsidRPr="00E06427" w:rsidRDefault="00F173B8" w:rsidP="00023034">
      <w:pPr>
        <w:widowControl w:val="0"/>
        <w:autoSpaceDE w:val="0"/>
        <w:autoSpaceDN w:val="0"/>
        <w:adjustRightInd w:val="0"/>
        <w:spacing w:line="240" w:lineRule="auto"/>
        <w:jc w:val="left"/>
        <w:rPr>
          <w:rFonts w:cs="Times New Roman"/>
          <w:noProof/>
          <w:szCs w:val="24"/>
          <w:lang w:val="en-US"/>
        </w:rPr>
      </w:pPr>
    </w:p>
    <w:p w14:paraId="43B7490E" w14:textId="0EDED60A" w:rsidR="00A37BA7" w:rsidRPr="00E06427" w:rsidRDefault="00874FE6"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 xml:space="preserve">TSILIGIRIS, V.; HILL, C. A prospective model for aligning educational quality and student experience in international higher education. </w:t>
      </w:r>
      <w:r w:rsidRPr="00E06427">
        <w:rPr>
          <w:rFonts w:cs="Times New Roman"/>
          <w:b/>
          <w:bCs/>
          <w:noProof/>
          <w:szCs w:val="24"/>
          <w:lang w:val="en-US"/>
        </w:rPr>
        <w:t>Studies in Higher Education</w:t>
      </w:r>
      <w:r w:rsidRPr="00E06427">
        <w:rPr>
          <w:rFonts w:cs="Times New Roman"/>
          <w:noProof/>
          <w:szCs w:val="24"/>
          <w:lang w:val="en-US"/>
        </w:rPr>
        <w:t>, 1 fev. 2021. v. 46, n. 2, p. 228–244. Disponível em: https://www.tandfonline.com/doi/full/10.1080/03075079.2019.1628203.</w:t>
      </w:r>
      <w:r w:rsidR="00871D4F" w:rsidRPr="00E06427">
        <w:rPr>
          <w:rFonts w:cs="Times New Roman"/>
          <w:noProof/>
          <w:szCs w:val="24"/>
          <w:lang w:val="en-US"/>
        </w:rPr>
        <w:t xml:space="preserve"> </w:t>
      </w:r>
      <w:r w:rsidR="00871D4F" w:rsidRPr="00E06427">
        <w:rPr>
          <w:rFonts w:cs="Times New Roman"/>
          <w:noProof/>
          <w:szCs w:val="24"/>
        </w:rPr>
        <w:t>Acesso em: 20 jul. 2023.</w:t>
      </w:r>
    </w:p>
    <w:p w14:paraId="1025EE55"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40578073" w14:textId="17366614" w:rsidR="00A37BA7" w:rsidRPr="00E06427" w:rsidRDefault="00A37BA7" w:rsidP="00023034">
      <w:pPr>
        <w:spacing w:line="240" w:lineRule="auto"/>
        <w:jc w:val="left"/>
        <w:rPr>
          <w:rFonts w:cs="Times New Roman"/>
          <w:szCs w:val="24"/>
          <w:shd w:val="clear" w:color="auto" w:fill="FFFFFF"/>
        </w:rPr>
      </w:pPr>
      <w:r w:rsidRPr="00E06427">
        <w:rPr>
          <w:rFonts w:cs="Times New Roman"/>
          <w:szCs w:val="24"/>
          <w:shd w:val="clear" w:color="auto" w:fill="FFFFFF"/>
        </w:rPr>
        <w:t>UZUN, M</w:t>
      </w:r>
      <w:r w:rsidR="008973E0" w:rsidRPr="00E06427">
        <w:rPr>
          <w:rFonts w:cs="Times New Roman"/>
          <w:szCs w:val="24"/>
          <w:shd w:val="clear" w:color="auto" w:fill="FFFFFF"/>
        </w:rPr>
        <w:t xml:space="preserve">. </w:t>
      </w:r>
      <w:r w:rsidRPr="00E06427">
        <w:rPr>
          <w:rFonts w:cs="Times New Roman"/>
          <w:szCs w:val="24"/>
          <w:shd w:val="clear" w:color="auto" w:fill="FFFFFF"/>
        </w:rPr>
        <w:t>L</w:t>
      </w:r>
      <w:r w:rsidR="008973E0" w:rsidRPr="00E06427">
        <w:rPr>
          <w:rFonts w:cs="Times New Roman"/>
          <w:szCs w:val="24"/>
          <w:shd w:val="clear" w:color="auto" w:fill="FFFFFF"/>
        </w:rPr>
        <w:t>.</w:t>
      </w:r>
      <w:r w:rsidRPr="00E06427">
        <w:rPr>
          <w:rFonts w:cs="Times New Roman"/>
          <w:szCs w:val="24"/>
          <w:shd w:val="clear" w:color="auto" w:fill="FFFFFF"/>
        </w:rPr>
        <w:t xml:space="preserve"> C</w:t>
      </w:r>
      <w:r w:rsidR="008973E0" w:rsidRPr="00E06427">
        <w:rPr>
          <w:rFonts w:cs="Times New Roman"/>
          <w:szCs w:val="24"/>
          <w:shd w:val="clear" w:color="auto" w:fill="FFFFFF"/>
        </w:rPr>
        <w:t>.</w:t>
      </w:r>
      <w:r w:rsidRPr="00E06427">
        <w:rPr>
          <w:rFonts w:cs="Times New Roman"/>
          <w:szCs w:val="24"/>
          <w:shd w:val="clear" w:color="auto" w:fill="FFFFFF"/>
        </w:rPr>
        <w:t xml:space="preserve"> As principais contribuições das Teorias da Aprendizagem para à aplicação das Metodologias Ativas. </w:t>
      </w:r>
      <w:r w:rsidRPr="00E06427">
        <w:rPr>
          <w:rFonts w:cs="Times New Roman"/>
          <w:b/>
          <w:bCs/>
          <w:szCs w:val="24"/>
          <w:shd w:val="clear" w:color="auto" w:fill="FFFFFF"/>
        </w:rPr>
        <w:t xml:space="preserve">Revista </w:t>
      </w:r>
      <w:proofErr w:type="spellStart"/>
      <w:r w:rsidRPr="00E06427">
        <w:rPr>
          <w:rFonts w:cs="Times New Roman"/>
          <w:b/>
          <w:bCs/>
          <w:szCs w:val="24"/>
          <w:shd w:val="clear" w:color="auto" w:fill="FFFFFF"/>
        </w:rPr>
        <w:t>Thema</w:t>
      </w:r>
      <w:proofErr w:type="spellEnd"/>
      <w:r w:rsidRPr="00E06427">
        <w:rPr>
          <w:rFonts w:cs="Times New Roman"/>
          <w:szCs w:val="24"/>
          <w:shd w:val="clear" w:color="auto" w:fill="FFFFFF"/>
        </w:rPr>
        <w:t xml:space="preserve">, v. 19, n. 1, p. 153-163, 2021. Disponível em: </w:t>
      </w:r>
      <w:r w:rsidRPr="00E06427">
        <w:rPr>
          <w:rFonts w:cs="Times New Roman"/>
          <w:szCs w:val="24"/>
        </w:rPr>
        <w:t xml:space="preserve"> </w:t>
      </w:r>
      <w:r w:rsidRPr="00E06427">
        <w:rPr>
          <w:rFonts w:cs="Times New Roman"/>
          <w:szCs w:val="24"/>
          <w:shd w:val="clear" w:color="auto" w:fill="FFFFFF"/>
        </w:rPr>
        <w:t>https://periodicos.ifsul.edu.br/index.php/thema/article/view/1466/1766</w:t>
      </w:r>
      <w:r w:rsidR="00A03426" w:rsidRPr="00E06427">
        <w:rPr>
          <w:rFonts w:cs="Times New Roman"/>
          <w:szCs w:val="24"/>
          <w:shd w:val="clear" w:color="auto" w:fill="FFFFFF"/>
        </w:rPr>
        <w:t>.</w:t>
      </w:r>
      <w:r w:rsidRPr="00E06427">
        <w:rPr>
          <w:rFonts w:cs="Times New Roman"/>
          <w:szCs w:val="24"/>
          <w:shd w:val="clear" w:color="auto" w:fill="FFFFFF"/>
        </w:rPr>
        <w:t xml:space="preserve"> Acesso em: 20 jul. 2023.</w:t>
      </w:r>
    </w:p>
    <w:p w14:paraId="7922D1FD" w14:textId="77777777" w:rsidR="00F173B8" w:rsidRPr="00E06427" w:rsidRDefault="00F173B8" w:rsidP="00023034">
      <w:pPr>
        <w:spacing w:line="240" w:lineRule="auto"/>
        <w:jc w:val="left"/>
        <w:rPr>
          <w:rFonts w:cs="Times New Roman"/>
          <w:sz w:val="20"/>
          <w:szCs w:val="20"/>
          <w:shd w:val="clear" w:color="auto" w:fill="FFFFFF"/>
        </w:rPr>
      </w:pPr>
    </w:p>
    <w:p w14:paraId="216A664A" w14:textId="2FEE130C" w:rsidR="00D14F18" w:rsidRPr="00E06427" w:rsidRDefault="00D14F18" w:rsidP="00023034">
      <w:pPr>
        <w:widowControl w:val="0"/>
        <w:autoSpaceDE w:val="0"/>
        <w:autoSpaceDN w:val="0"/>
        <w:adjustRightInd w:val="0"/>
        <w:spacing w:line="240" w:lineRule="auto"/>
        <w:jc w:val="left"/>
        <w:rPr>
          <w:rFonts w:cs="Times New Roman"/>
          <w:noProof/>
          <w:szCs w:val="24"/>
        </w:rPr>
      </w:pPr>
      <w:r w:rsidRPr="00E06427">
        <w:rPr>
          <w:rFonts w:cs="Times New Roman"/>
          <w:szCs w:val="24"/>
        </w:rPr>
        <w:t>VALENTE, J. A.; ALMEIDA, M. E. B.; GERALDINI, A. F. S. Metodologias ativas: das concepções às práticas em distintos níveis de ensino.</w:t>
      </w:r>
      <w:r w:rsidRPr="00E06427">
        <w:rPr>
          <w:rFonts w:cs="Times New Roman"/>
          <w:b/>
          <w:bCs/>
          <w:szCs w:val="24"/>
        </w:rPr>
        <w:t> Rev. Diálogo Educ.</w:t>
      </w:r>
      <w:r w:rsidRPr="00E06427">
        <w:rPr>
          <w:rFonts w:cs="Times New Roman"/>
          <w:szCs w:val="24"/>
        </w:rPr>
        <w:t>, Curitiba, v. 17, n. 52, p. 455-478, abr.  2017.   Disponível em</w:t>
      </w:r>
      <w:r w:rsidR="00DD56A1" w:rsidRPr="00E06427">
        <w:rPr>
          <w:rFonts w:cs="Times New Roman"/>
          <w:szCs w:val="24"/>
        </w:rPr>
        <w:t xml:space="preserve"> h</w:t>
      </w:r>
      <w:r w:rsidRPr="00E06427">
        <w:rPr>
          <w:rFonts w:cs="Times New Roman"/>
          <w:szCs w:val="24"/>
        </w:rPr>
        <w:t>ttp://educa.fcc.org.br/scielo.php?script=sci_arttext&amp;pid=S1981-416X2017000200455&amp;lng=pt&amp;nrm=iso. acessos em 19 jul. 2023</w:t>
      </w:r>
    </w:p>
    <w:p w14:paraId="179394CC" w14:textId="77777777" w:rsidR="003A32C3" w:rsidRPr="00E06427" w:rsidRDefault="003A32C3" w:rsidP="00023034">
      <w:pPr>
        <w:widowControl w:val="0"/>
        <w:autoSpaceDE w:val="0"/>
        <w:autoSpaceDN w:val="0"/>
        <w:adjustRightInd w:val="0"/>
        <w:spacing w:line="240" w:lineRule="auto"/>
        <w:jc w:val="left"/>
        <w:rPr>
          <w:rFonts w:cs="Times New Roman"/>
          <w:noProof/>
          <w:sz w:val="20"/>
          <w:szCs w:val="20"/>
        </w:rPr>
      </w:pPr>
    </w:p>
    <w:p w14:paraId="6AAD7809" w14:textId="2DB41E13" w:rsidR="003A32C3" w:rsidRPr="00E06427" w:rsidRDefault="003A32C3" w:rsidP="00023034">
      <w:pPr>
        <w:widowControl w:val="0"/>
        <w:autoSpaceDE w:val="0"/>
        <w:autoSpaceDN w:val="0"/>
        <w:adjustRightInd w:val="0"/>
        <w:spacing w:line="240" w:lineRule="auto"/>
        <w:jc w:val="left"/>
        <w:rPr>
          <w:rFonts w:cs="Times New Roman"/>
          <w:noProof/>
          <w:szCs w:val="24"/>
        </w:rPr>
      </w:pPr>
      <w:r w:rsidRPr="00E06427">
        <w:rPr>
          <w:rFonts w:cs="Times New Roman"/>
          <w:noProof/>
          <w:szCs w:val="24"/>
          <w:lang w:val="en-US"/>
        </w:rPr>
        <w:t xml:space="preserve">VALIKHANOVA, Z. Formation of a modern quality management system of education in marketing-oriented institution of higher education. </w:t>
      </w:r>
      <w:r w:rsidRPr="00E06427">
        <w:rPr>
          <w:rFonts w:cs="Times New Roman"/>
          <w:b/>
          <w:bCs/>
          <w:noProof/>
          <w:szCs w:val="24"/>
        </w:rPr>
        <w:t>Revista ESPACIOS</w:t>
      </w:r>
      <w:r w:rsidRPr="00E06427">
        <w:rPr>
          <w:rFonts w:cs="Times New Roman"/>
          <w:noProof/>
          <w:szCs w:val="24"/>
        </w:rPr>
        <w:t>, 2018. v. 39, n. 15. Disponível em: http://www.revistaespacios.com/a18v39n15/18391531.html.</w:t>
      </w:r>
      <w:r w:rsidR="00C22B5D" w:rsidRPr="00E06427">
        <w:rPr>
          <w:rFonts w:cs="Times New Roman"/>
          <w:noProof/>
          <w:szCs w:val="24"/>
        </w:rPr>
        <w:t xml:space="preserve"> Acesso em: 20 jul. </w:t>
      </w:r>
      <w:r w:rsidR="00D347EF" w:rsidRPr="00E06427">
        <w:rPr>
          <w:rFonts w:cs="Times New Roman"/>
          <w:noProof/>
          <w:szCs w:val="24"/>
        </w:rPr>
        <w:t>2023.</w:t>
      </w:r>
    </w:p>
    <w:p w14:paraId="4900DB87" w14:textId="77777777" w:rsidR="00F173B8" w:rsidRPr="00E06427" w:rsidRDefault="00F173B8" w:rsidP="00023034">
      <w:pPr>
        <w:widowControl w:val="0"/>
        <w:autoSpaceDE w:val="0"/>
        <w:autoSpaceDN w:val="0"/>
        <w:adjustRightInd w:val="0"/>
        <w:spacing w:line="240" w:lineRule="auto"/>
        <w:jc w:val="left"/>
        <w:rPr>
          <w:rFonts w:cs="Times New Roman"/>
          <w:noProof/>
          <w:sz w:val="20"/>
          <w:szCs w:val="20"/>
        </w:rPr>
      </w:pPr>
    </w:p>
    <w:p w14:paraId="1E0A097F" w14:textId="7F11CE46" w:rsidR="008E2820" w:rsidRPr="00E06427" w:rsidRDefault="00645F15" w:rsidP="00023034">
      <w:pPr>
        <w:widowControl w:val="0"/>
        <w:autoSpaceDE w:val="0"/>
        <w:autoSpaceDN w:val="0"/>
        <w:adjustRightInd w:val="0"/>
        <w:spacing w:line="240" w:lineRule="auto"/>
        <w:jc w:val="left"/>
        <w:rPr>
          <w:rFonts w:eastAsia="Arial" w:cs="Times New Roman"/>
          <w:color w:val="FF0000"/>
          <w:spacing w:val="-2"/>
          <w:szCs w:val="24"/>
        </w:rPr>
      </w:pPr>
      <w:r w:rsidRPr="00E06427">
        <w:rPr>
          <w:rFonts w:cs="Times New Roman"/>
          <w:noProof/>
          <w:szCs w:val="24"/>
          <w:lang w:val="en-US"/>
        </w:rPr>
        <w:t xml:space="preserve">VYKYDAL, D.; FOLTA, M.; NENADÁL, J. A Study of Quality Assessment in Higher Education within the Context of Sustainable Development: A Case Study from Czech Republic. </w:t>
      </w:r>
      <w:r w:rsidRPr="00E06427">
        <w:rPr>
          <w:rFonts w:cs="Times New Roman"/>
          <w:b/>
          <w:bCs/>
          <w:noProof/>
          <w:szCs w:val="24"/>
        </w:rPr>
        <w:t>Sustainability</w:t>
      </w:r>
      <w:r w:rsidRPr="00E06427">
        <w:rPr>
          <w:rFonts w:cs="Times New Roman"/>
          <w:noProof/>
          <w:szCs w:val="24"/>
        </w:rPr>
        <w:t xml:space="preserve">, 11 jun. 2020. v. 12, n. 11, p. 4769. Disponível em: https://www.mdpi.com/2071-1050/12/11/4769. </w:t>
      </w:r>
      <w:r w:rsidR="0098515D" w:rsidRPr="00E06427">
        <w:rPr>
          <w:rFonts w:cs="Times New Roman"/>
          <w:noProof/>
          <w:szCs w:val="24"/>
          <w:lang w:val="en-US"/>
        </w:rPr>
        <w:t xml:space="preserve">Acesso em: 20 jul. </w:t>
      </w:r>
      <w:r w:rsidR="00CA3390" w:rsidRPr="00E06427">
        <w:rPr>
          <w:rFonts w:cs="Times New Roman"/>
          <w:noProof/>
          <w:szCs w:val="24"/>
          <w:lang w:val="en-US"/>
        </w:rPr>
        <w:t>2023.</w:t>
      </w:r>
    </w:p>
    <w:sectPr w:rsidR="008E2820" w:rsidRPr="00E06427">
      <w:headerReference w:type="default" r:id="rId12"/>
      <w:footerReference w:type="default" r:id="rId13"/>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C44E" w14:textId="77777777" w:rsidR="004C0050" w:rsidRDefault="004C0050">
      <w:pPr>
        <w:spacing w:line="240" w:lineRule="auto"/>
      </w:pPr>
      <w:r>
        <w:separator/>
      </w:r>
    </w:p>
  </w:endnote>
  <w:endnote w:type="continuationSeparator" w:id="0">
    <w:p w14:paraId="737BCF08" w14:textId="77777777" w:rsidR="004C0050" w:rsidRDefault="004C0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57D0AE22" w14:textId="77777777" w:rsidR="004442F4" w:rsidRDefault="009F70BC">
        <w:pPr>
          <w:pStyle w:val="Rodap"/>
          <w:jc w:val="right"/>
        </w:pPr>
        <w:r>
          <w:fldChar w:fldCharType="begin"/>
        </w:r>
        <w:r>
          <w:instrText>PAGE   \* MERGEFORMAT</w:instrText>
        </w:r>
        <w:r>
          <w:fldChar w:fldCharType="separate"/>
        </w:r>
        <w:r>
          <w:t>4</w:t>
        </w:r>
        <w:r>
          <w:fldChar w:fldCharType="end"/>
        </w:r>
      </w:p>
    </w:sdtContent>
  </w:sdt>
  <w:p w14:paraId="7BB52E25" w14:textId="77777777" w:rsidR="004442F4" w:rsidRDefault="004442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7FB4" w14:textId="77777777" w:rsidR="004C0050" w:rsidRDefault="004C0050">
      <w:r>
        <w:separator/>
      </w:r>
    </w:p>
  </w:footnote>
  <w:footnote w:type="continuationSeparator" w:id="0">
    <w:p w14:paraId="5A3B1885" w14:textId="77777777" w:rsidR="004C0050" w:rsidRDefault="004C0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078C" w14:textId="77777777" w:rsidR="004442F4" w:rsidRDefault="009F70BC">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0048" behindDoc="0" locked="0" layoutInCell="1" allowOverlap="1" wp14:anchorId="19EE92D8" wp14:editId="7084186C">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28C83C2F" w14:textId="77777777" w:rsidR="004442F4" w:rsidRDefault="004442F4">
    <w:pPr>
      <w:pStyle w:val="Cabealho"/>
      <w:jc w:val="center"/>
      <w:rPr>
        <w:szCs w:val="20"/>
      </w:rPr>
    </w:pPr>
  </w:p>
  <w:p w14:paraId="24B9A501" w14:textId="77777777" w:rsidR="004442F4" w:rsidRDefault="004442F4">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876"/>
    <w:multiLevelType w:val="hybridMultilevel"/>
    <w:tmpl w:val="F8FA4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3623CD"/>
    <w:multiLevelType w:val="hybridMultilevel"/>
    <w:tmpl w:val="71207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FF85CD4"/>
    <w:multiLevelType w:val="hybridMultilevel"/>
    <w:tmpl w:val="C90A3D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0792480">
    <w:abstractNumId w:val="2"/>
  </w:num>
  <w:num w:numId="2" w16cid:durableId="717364576">
    <w:abstractNumId w:val="0"/>
  </w:num>
  <w:num w:numId="3" w16cid:durableId="805319093">
    <w:abstractNumId w:val="3"/>
  </w:num>
  <w:num w:numId="4" w16cid:durableId="715199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C57"/>
    <w:rsid w:val="00010567"/>
    <w:rsid w:val="00011CFA"/>
    <w:rsid w:val="000132CA"/>
    <w:rsid w:val="00016689"/>
    <w:rsid w:val="00021FDB"/>
    <w:rsid w:val="00023034"/>
    <w:rsid w:val="0002540B"/>
    <w:rsid w:val="00026199"/>
    <w:rsid w:val="00026700"/>
    <w:rsid w:val="000273A0"/>
    <w:rsid w:val="00027FD4"/>
    <w:rsid w:val="00030EE6"/>
    <w:rsid w:val="000323D8"/>
    <w:rsid w:val="00032A10"/>
    <w:rsid w:val="00035804"/>
    <w:rsid w:val="0003604B"/>
    <w:rsid w:val="00040C64"/>
    <w:rsid w:val="00043A32"/>
    <w:rsid w:val="00044299"/>
    <w:rsid w:val="0004543E"/>
    <w:rsid w:val="00045538"/>
    <w:rsid w:val="000470AA"/>
    <w:rsid w:val="00050BDF"/>
    <w:rsid w:val="0005398E"/>
    <w:rsid w:val="00056C2E"/>
    <w:rsid w:val="00056FED"/>
    <w:rsid w:val="00057512"/>
    <w:rsid w:val="00057530"/>
    <w:rsid w:val="00061449"/>
    <w:rsid w:val="00061B3F"/>
    <w:rsid w:val="00064C03"/>
    <w:rsid w:val="000651A7"/>
    <w:rsid w:val="0006670E"/>
    <w:rsid w:val="000672AD"/>
    <w:rsid w:val="00067859"/>
    <w:rsid w:val="00070566"/>
    <w:rsid w:val="00072A47"/>
    <w:rsid w:val="00073FF7"/>
    <w:rsid w:val="0007630E"/>
    <w:rsid w:val="00076D60"/>
    <w:rsid w:val="00077EED"/>
    <w:rsid w:val="00083F28"/>
    <w:rsid w:val="0008453A"/>
    <w:rsid w:val="0008795F"/>
    <w:rsid w:val="0009005E"/>
    <w:rsid w:val="00090A31"/>
    <w:rsid w:val="000925B8"/>
    <w:rsid w:val="00092C65"/>
    <w:rsid w:val="00092F17"/>
    <w:rsid w:val="00093E36"/>
    <w:rsid w:val="00094283"/>
    <w:rsid w:val="000A290E"/>
    <w:rsid w:val="000B0795"/>
    <w:rsid w:val="000B167B"/>
    <w:rsid w:val="000B3A73"/>
    <w:rsid w:val="000B3D92"/>
    <w:rsid w:val="000B7094"/>
    <w:rsid w:val="000C0346"/>
    <w:rsid w:val="000C14A6"/>
    <w:rsid w:val="000C41FE"/>
    <w:rsid w:val="000C5944"/>
    <w:rsid w:val="000C6796"/>
    <w:rsid w:val="000C6CBC"/>
    <w:rsid w:val="000C7D4F"/>
    <w:rsid w:val="000D07C9"/>
    <w:rsid w:val="000D084A"/>
    <w:rsid w:val="000D38EE"/>
    <w:rsid w:val="000D3B61"/>
    <w:rsid w:val="000D3B82"/>
    <w:rsid w:val="000E02E8"/>
    <w:rsid w:val="000E71B1"/>
    <w:rsid w:val="000F0FCC"/>
    <w:rsid w:val="000F4581"/>
    <w:rsid w:val="000F4659"/>
    <w:rsid w:val="000F626D"/>
    <w:rsid w:val="000F6A4D"/>
    <w:rsid w:val="000F7AA6"/>
    <w:rsid w:val="001009E4"/>
    <w:rsid w:val="001014F6"/>
    <w:rsid w:val="00111EBD"/>
    <w:rsid w:val="00111FC0"/>
    <w:rsid w:val="001121F9"/>
    <w:rsid w:val="00112462"/>
    <w:rsid w:val="00115B21"/>
    <w:rsid w:val="00120A2D"/>
    <w:rsid w:val="00123A9C"/>
    <w:rsid w:val="00124630"/>
    <w:rsid w:val="00124E3D"/>
    <w:rsid w:val="001258BB"/>
    <w:rsid w:val="00125D86"/>
    <w:rsid w:val="00127A73"/>
    <w:rsid w:val="00131A9F"/>
    <w:rsid w:val="00133F7C"/>
    <w:rsid w:val="00135CEE"/>
    <w:rsid w:val="00136273"/>
    <w:rsid w:val="00142C83"/>
    <w:rsid w:val="00142F79"/>
    <w:rsid w:val="00144728"/>
    <w:rsid w:val="001465FB"/>
    <w:rsid w:val="00146F53"/>
    <w:rsid w:val="0015038B"/>
    <w:rsid w:val="00150D5C"/>
    <w:rsid w:val="001521C4"/>
    <w:rsid w:val="001522F4"/>
    <w:rsid w:val="001538D6"/>
    <w:rsid w:val="00154195"/>
    <w:rsid w:val="0015550A"/>
    <w:rsid w:val="0015627A"/>
    <w:rsid w:val="001566F8"/>
    <w:rsid w:val="00161942"/>
    <w:rsid w:val="00161ACA"/>
    <w:rsid w:val="00162096"/>
    <w:rsid w:val="00163329"/>
    <w:rsid w:val="00165B96"/>
    <w:rsid w:val="00165D5B"/>
    <w:rsid w:val="001667F1"/>
    <w:rsid w:val="00170CE5"/>
    <w:rsid w:val="00172EB4"/>
    <w:rsid w:val="00173C07"/>
    <w:rsid w:val="00174113"/>
    <w:rsid w:val="0017594B"/>
    <w:rsid w:val="00176A04"/>
    <w:rsid w:val="001772DE"/>
    <w:rsid w:val="00177795"/>
    <w:rsid w:val="0018005C"/>
    <w:rsid w:val="00181490"/>
    <w:rsid w:val="0018264F"/>
    <w:rsid w:val="001826D3"/>
    <w:rsid w:val="00183756"/>
    <w:rsid w:val="00185C58"/>
    <w:rsid w:val="001860E1"/>
    <w:rsid w:val="001864D3"/>
    <w:rsid w:val="00186DC9"/>
    <w:rsid w:val="001871DC"/>
    <w:rsid w:val="00187D84"/>
    <w:rsid w:val="00190050"/>
    <w:rsid w:val="0019012B"/>
    <w:rsid w:val="00191ABE"/>
    <w:rsid w:val="00193D31"/>
    <w:rsid w:val="001950BC"/>
    <w:rsid w:val="00197A7E"/>
    <w:rsid w:val="001A090E"/>
    <w:rsid w:val="001A1323"/>
    <w:rsid w:val="001A2BEB"/>
    <w:rsid w:val="001A63FF"/>
    <w:rsid w:val="001B01B2"/>
    <w:rsid w:val="001B2508"/>
    <w:rsid w:val="001B7749"/>
    <w:rsid w:val="001C1D75"/>
    <w:rsid w:val="001C546A"/>
    <w:rsid w:val="001C59A4"/>
    <w:rsid w:val="001C6DAE"/>
    <w:rsid w:val="001C7B5B"/>
    <w:rsid w:val="001D0128"/>
    <w:rsid w:val="001D40B1"/>
    <w:rsid w:val="001D5689"/>
    <w:rsid w:val="001D79EA"/>
    <w:rsid w:val="001E02B6"/>
    <w:rsid w:val="001E113C"/>
    <w:rsid w:val="001E2C3E"/>
    <w:rsid w:val="001E4B54"/>
    <w:rsid w:val="001E5AEF"/>
    <w:rsid w:val="001E6394"/>
    <w:rsid w:val="001F2D9C"/>
    <w:rsid w:val="001F4845"/>
    <w:rsid w:val="001F4F6B"/>
    <w:rsid w:val="001F5108"/>
    <w:rsid w:val="00202ABC"/>
    <w:rsid w:val="0020372B"/>
    <w:rsid w:val="00203CE6"/>
    <w:rsid w:val="002047DA"/>
    <w:rsid w:val="00205792"/>
    <w:rsid w:val="002060F8"/>
    <w:rsid w:val="002106D4"/>
    <w:rsid w:val="00211BD3"/>
    <w:rsid w:val="0021300A"/>
    <w:rsid w:val="00215422"/>
    <w:rsid w:val="00216346"/>
    <w:rsid w:val="002207E0"/>
    <w:rsid w:val="002211C0"/>
    <w:rsid w:val="00221D9E"/>
    <w:rsid w:val="00224319"/>
    <w:rsid w:val="00224EF1"/>
    <w:rsid w:val="00226493"/>
    <w:rsid w:val="002330C8"/>
    <w:rsid w:val="00234CCF"/>
    <w:rsid w:val="002372CB"/>
    <w:rsid w:val="002372CF"/>
    <w:rsid w:val="002377D4"/>
    <w:rsid w:val="00237B87"/>
    <w:rsid w:val="0024296C"/>
    <w:rsid w:val="002434FF"/>
    <w:rsid w:val="00243506"/>
    <w:rsid w:val="0024473A"/>
    <w:rsid w:val="00245219"/>
    <w:rsid w:val="00245F8A"/>
    <w:rsid w:val="002473F5"/>
    <w:rsid w:val="00250977"/>
    <w:rsid w:val="00250CF5"/>
    <w:rsid w:val="00251A54"/>
    <w:rsid w:val="00251FAE"/>
    <w:rsid w:val="00252B46"/>
    <w:rsid w:val="002536A1"/>
    <w:rsid w:val="00254663"/>
    <w:rsid w:val="00254B6C"/>
    <w:rsid w:val="00255B49"/>
    <w:rsid w:val="0025695F"/>
    <w:rsid w:val="00256EE7"/>
    <w:rsid w:val="0026299A"/>
    <w:rsid w:val="00263336"/>
    <w:rsid w:val="00266186"/>
    <w:rsid w:val="00267CA1"/>
    <w:rsid w:val="002715D8"/>
    <w:rsid w:val="00275FF9"/>
    <w:rsid w:val="00280538"/>
    <w:rsid w:val="002816FE"/>
    <w:rsid w:val="0028277D"/>
    <w:rsid w:val="0028324C"/>
    <w:rsid w:val="0028391D"/>
    <w:rsid w:val="00284D01"/>
    <w:rsid w:val="00285FA4"/>
    <w:rsid w:val="002916BB"/>
    <w:rsid w:val="00293571"/>
    <w:rsid w:val="00293D03"/>
    <w:rsid w:val="00295AF7"/>
    <w:rsid w:val="00295C4D"/>
    <w:rsid w:val="00295CB5"/>
    <w:rsid w:val="00297E72"/>
    <w:rsid w:val="002A000E"/>
    <w:rsid w:val="002A225C"/>
    <w:rsid w:val="002A790C"/>
    <w:rsid w:val="002B2A9A"/>
    <w:rsid w:val="002B3D5E"/>
    <w:rsid w:val="002B3DF1"/>
    <w:rsid w:val="002C2A79"/>
    <w:rsid w:val="002C532A"/>
    <w:rsid w:val="002D1F66"/>
    <w:rsid w:val="002D2BE1"/>
    <w:rsid w:val="002D3242"/>
    <w:rsid w:val="002D56CD"/>
    <w:rsid w:val="002D5B34"/>
    <w:rsid w:val="002D5DD5"/>
    <w:rsid w:val="002D61C0"/>
    <w:rsid w:val="002D67F5"/>
    <w:rsid w:val="002E0343"/>
    <w:rsid w:val="002E574C"/>
    <w:rsid w:val="002F0C92"/>
    <w:rsid w:val="002F19CF"/>
    <w:rsid w:val="002F31FF"/>
    <w:rsid w:val="002F5C1F"/>
    <w:rsid w:val="002F6DE0"/>
    <w:rsid w:val="002F7596"/>
    <w:rsid w:val="003006E6"/>
    <w:rsid w:val="00300F6F"/>
    <w:rsid w:val="0030231E"/>
    <w:rsid w:val="00302F82"/>
    <w:rsid w:val="00303946"/>
    <w:rsid w:val="0030574C"/>
    <w:rsid w:val="00306991"/>
    <w:rsid w:val="00306CD9"/>
    <w:rsid w:val="00307C3E"/>
    <w:rsid w:val="0031028B"/>
    <w:rsid w:val="00310805"/>
    <w:rsid w:val="0031242F"/>
    <w:rsid w:val="003128D2"/>
    <w:rsid w:val="00312C1B"/>
    <w:rsid w:val="00313BF9"/>
    <w:rsid w:val="00316240"/>
    <w:rsid w:val="00316749"/>
    <w:rsid w:val="00316C4A"/>
    <w:rsid w:val="00320082"/>
    <w:rsid w:val="0032167A"/>
    <w:rsid w:val="00321FF6"/>
    <w:rsid w:val="00322E18"/>
    <w:rsid w:val="003241AC"/>
    <w:rsid w:val="00324C27"/>
    <w:rsid w:val="00330E32"/>
    <w:rsid w:val="00334C20"/>
    <w:rsid w:val="00334DF9"/>
    <w:rsid w:val="0034271B"/>
    <w:rsid w:val="00342E82"/>
    <w:rsid w:val="00343551"/>
    <w:rsid w:val="00343A01"/>
    <w:rsid w:val="00343E50"/>
    <w:rsid w:val="003456E4"/>
    <w:rsid w:val="003461E0"/>
    <w:rsid w:val="00347AA9"/>
    <w:rsid w:val="003548B2"/>
    <w:rsid w:val="003548BC"/>
    <w:rsid w:val="003565AD"/>
    <w:rsid w:val="003608C1"/>
    <w:rsid w:val="00362C28"/>
    <w:rsid w:val="00363666"/>
    <w:rsid w:val="00364511"/>
    <w:rsid w:val="003651D2"/>
    <w:rsid w:val="003658F7"/>
    <w:rsid w:val="00366BB6"/>
    <w:rsid w:val="003675AD"/>
    <w:rsid w:val="00367612"/>
    <w:rsid w:val="00367EFF"/>
    <w:rsid w:val="00367F35"/>
    <w:rsid w:val="00372631"/>
    <w:rsid w:val="003743F9"/>
    <w:rsid w:val="00374979"/>
    <w:rsid w:val="00375399"/>
    <w:rsid w:val="00376B8D"/>
    <w:rsid w:val="00384FB4"/>
    <w:rsid w:val="00387B5F"/>
    <w:rsid w:val="00390E9C"/>
    <w:rsid w:val="00391FBB"/>
    <w:rsid w:val="003929D1"/>
    <w:rsid w:val="00392D5B"/>
    <w:rsid w:val="003934B9"/>
    <w:rsid w:val="00397DF5"/>
    <w:rsid w:val="003A0A0A"/>
    <w:rsid w:val="003A0C22"/>
    <w:rsid w:val="003A30A6"/>
    <w:rsid w:val="003A32C3"/>
    <w:rsid w:val="003A7440"/>
    <w:rsid w:val="003B0427"/>
    <w:rsid w:val="003B438A"/>
    <w:rsid w:val="003C0860"/>
    <w:rsid w:val="003C086A"/>
    <w:rsid w:val="003C154A"/>
    <w:rsid w:val="003C2416"/>
    <w:rsid w:val="003C2A4F"/>
    <w:rsid w:val="003C2FD5"/>
    <w:rsid w:val="003C4704"/>
    <w:rsid w:val="003C4D9F"/>
    <w:rsid w:val="003C620D"/>
    <w:rsid w:val="003C7185"/>
    <w:rsid w:val="003C71C5"/>
    <w:rsid w:val="003C744F"/>
    <w:rsid w:val="003D32DB"/>
    <w:rsid w:val="003D3DC5"/>
    <w:rsid w:val="003D65D4"/>
    <w:rsid w:val="003D6959"/>
    <w:rsid w:val="003E206B"/>
    <w:rsid w:val="003E2F7F"/>
    <w:rsid w:val="003E4245"/>
    <w:rsid w:val="003E43A1"/>
    <w:rsid w:val="003E52D7"/>
    <w:rsid w:val="003E67CE"/>
    <w:rsid w:val="003F334F"/>
    <w:rsid w:val="003F3472"/>
    <w:rsid w:val="003F6CA4"/>
    <w:rsid w:val="00401889"/>
    <w:rsid w:val="004025D1"/>
    <w:rsid w:val="0040364A"/>
    <w:rsid w:val="004072FF"/>
    <w:rsid w:val="004115D6"/>
    <w:rsid w:val="0041386E"/>
    <w:rsid w:val="0041520F"/>
    <w:rsid w:val="0041602C"/>
    <w:rsid w:val="00420343"/>
    <w:rsid w:val="00420615"/>
    <w:rsid w:val="00423EE4"/>
    <w:rsid w:val="0042417B"/>
    <w:rsid w:val="0042435E"/>
    <w:rsid w:val="0042758E"/>
    <w:rsid w:val="0043157E"/>
    <w:rsid w:val="004362C4"/>
    <w:rsid w:val="00437F74"/>
    <w:rsid w:val="00440618"/>
    <w:rsid w:val="0044189F"/>
    <w:rsid w:val="00442177"/>
    <w:rsid w:val="00442417"/>
    <w:rsid w:val="00442E9C"/>
    <w:rsid w:val="00442FB8"/>
    <w:rsid w:val="004442F4"/>
    <w:rsid w:val="0044566E"/>
    <w:rsid w:val="00445C74"/>
    <w:rsid w:val="00453E08"/>
    <w:rsid w:val="004544EF"/>
    <w:rsid w:val="004545A8"/>
    <w:rsid w:val="004564E1"/>
    <w:rsid w:val="0045719E"/>
    <w:rsid w:val="00457345"/>
    <w:rsid w:val="004608BF"/>
    <w:rsid w:val="00461410"/>
    <w:rsid w:val="004627AA"/>
    <w:rsid w:val="00465B55"/>
    <w:rsid w:val="00467E23"/>
    <w:rsid w:val="00471F8A"/>
    <w:rsid w:val="00474B21"/>
    <w:rsid w:val="00475702"/>
    <w:rsid w:val="004765DD"/>
    <w:rsid w:val="00476A51"/>
    <w:rsid w:val="00477D33"/>
    <w:rsid w:val="004802F5"/>
    <w:rsid w:val="00480E9D"/>
    <w:rsid w:val="004855F7"/>
    <w:rsid w:val="00485EAC"/>
    <w:rsid w:val="0048707A"/>
    <w:rsid w:val="0049112E"/>
    <w:rsid w:val="004959FF"/>
    <w:rsid w:val="00496134"/>
    <w:rsid w:val="00497DB1"/>
    <w:rsid w:val="004A0A34"/>
    <w:rsid w:val="004A24FD"/>
    <w:rsid w:val="004A46FD"/>
    <w:rsid w:val="004A5051"/>
    <w:rsid w:val="004A66B0"/>
    <w:rsid w:val="004A694A"/>
    <w:rsid w:val="004A7D20"/>
    <w:rsid w:val="004B01A3"/>
    <w:rsid w:val="004B5E31"/>
    <w:rsid w:val="004B69A1"/>
    <w:rsid w:val="004B6D1C"/>
    <w:rsid w:val="004C0050"/>
    <w:rsid w:val="004C3642"/>
    <w:rsid w:val="004C7A20"/>
    <w:rsid w:val="004D0B3A"/>
    <w:rsid w:val="004D2AAE"/>
    <w:rsid w:val="004D6AD2"/>
    <w:rsid w:val="004E353E"/>
    <w:rsid w:val="004E44CC"/>
    <w:rsid w:val="004E5B0F"/>
    <w:rsid w:val="004F0879"/>
    <w:rsid w:val="004F0CC2"/>
    <w:rsid w:val="004F3D85"/>
    <w:rsid w:val="004F4EE8"/>
    <w:rsid w:val="00501639"/>
    <w:rsid w:val="00503C2B"/>
    <w:rsid w:val="00511AEF"/>
    <w:rsid w:val="00516E96"/>
    <w:rsid w:val="00523B8E"/>
    <w:rsid w:val="0052411B"/>
    <w:rsid w:val="005248E1"/>
    <w:rsid w:val="00524C30"/>
    <w:rsid w:val="00525AB4"/>
    <w:rsid w:val="00525F4D"/>
    <w:rsid w:val="0052724A"/>
    <w:rsid w:val="00527F7D"/>
    <w:rsid w:val="00530CED"/>
    <w:rsid w:val="005320A2"/>
    <w:rsid w:val="00532EDB"/>
    <w:rsid w:val="0053360E"/>
    <w:rsid w:val="00533E61"/>
    <w:rsid w:val="005354B2"/>
    <w:rsid w:val="00537890"/>
    <w:rsid w:val="0054297E"/>
    <w:rsid w:val="00542C10"/>
    <w:rsid w:val="0054363D"/>
    <w:rsid w:val="00545ACC"/>
    <w:rsid w:val="00545ECF"/>
    <w:rsid w:val="00550108"/>
    <w:rsid w:val="00553362"/>
    <w:rsid w:val="00553E01"/>
    <w:rsid w:val="00563179"/>
    <w:rsid w:val="00563A89"/>
    <w:rsid w:val="00567FF8"/>
    <w:rsid w:val="0057025D"/>
    <w:rsid w:val="0057045F"/>
    <w:rsid w:val="0057050E"/>
    <w:rsid w:val="00570739"/>
    <w:rsid w:val="0057143B"/>
    <w:rsid w:val="0057589A"/>
    <w:rsid w:val="00576714"/>
    <w:rsid w:val="00584A7C"/>
    <w:rsid w:val="00587E16"/>
    <w:rsid w:val="00590550"/>
    <w:rsid w:val="00591179"/>
    <w:rsid w:val="005924AE"/>
    <w:rsid w:val="00592666"/>
    <w:rsid w:val="005929A5"/>
    <w:rsid w:val="00594CD8"/>
    <w:rsid w:val="005A10DF"/>
    <w:rsid w:val="005A1CD7"/>
    <w:rsid w:val="005A3E8A"/>
    <w:rsid w:val="005A41BC"/>
    <w:rsid w:val="005A4849"/>
    <w:rsid w:val="005A59AA"/>
    <w:rsid w:val="005A67A8"/>
    <w:rsid w:val="005B14E4"/>
    <w:rsid w:val="005B1A04"/>
    <w:rsid w:val="005B49B1"/>
    <w:rsid w:val="005B4DE3"/>
    <w:rsid w:val="005B5D17"/>
    <w:rsid w:val="005B6B94"/>
    <w:rsid w:val="005C3FA1"/>
    <w:rsid w:val="005C435F"/>
    <w:rsid w:val="005C506D"/>
    <w:rsid w:val="005D3C38"/>
    <w:rsid w:val="005D51DD"/>
    <w:rsid w:val="005D7039"/>
    <w:rsid w:val="005E332C"/>
    <w:rsid w:val="005E393D"/>
    <w:rsid w:val="005E55FE"/>
    <w:rsid w:val="005E5B08"/>
    <w:rsid w:val="005E6E88"/>
    <w:rsid w:val="005E6EA3"/>
    <w:rsid w:val="005E7CA7"/>
    <w:rsid w:val="005F008A"/>
    <w:rsid w:val="005F28ED"/>
    <w:rsid w:val="005F36E4"/>
    <w:rsid w:val="005F4899"/>
    <w:rsid w:val="005F54AE"/>
    <w:rsid w:val="006024C5"/>
    <w:rsid w:val="0060470A"/>
    <w:rsid w:val="0060562C"/>
    <w:rsid w:val="006149A5"/>
    <w:rsid w:val="00616B2F"/>
    <w:rsid w:val="00617A1E"/>
    <w:rsid w:val="00621CA4"/>
    <w:rsid w:val="00626296"/>
    <w:rsid w:val="006277E9"/>
    <w:rsid w:val="00634D97"/>
    <w:rsid w:val="00636290"/>
    <w:rsid w:val="00644B38"/>
    <w:rsid w:val="00644C2F"/>
    <w:rsid w:val="00645F15"/>
    <w:rsid w:val="00647612"/>
    <w:rsid w:val="00656898"/>
    <w:rsid w:val="00657366"/>
    <w:rsid w:val="006576E9"/>
    <w:rsid w:val="00662F71"/>
    <w:rsid w:val="00663B12"/>
    <w:rsid w:val="006642FC"/>
    <w:rsid w:val="0066486D"/>
    <w:rsid w:val="00666B9E"/>
    <w:rsid w:val="00666E13"/>
    <w:rsid w:val="00672CAC"/>
    <w:rsid w:val="00674DD4"/>
    <w:rsid w:val="006759DB"/>
    <w:rsid w:val="00676901"/>
    <w:rsid w:val="00676B45"/>
    <w:rsid w:val="00677094"/>
    <w:rsid w:val="00680628"/>
    <w:rsid w:val="00682733"/>
    <w:rsid w:val="00682B72"/>
    <w:rsid w:val="00683425"/>
    <w:rsid w:val="00683C67"/>
    <w:rsid w:val="00685CA4"/>
    <w:rsid w:val="00690875"/>
    <w:rsid w:val="00690E5A"/>
    <w:rsid w:val="00694CA7"/>
    <w:rsid w:val="00695276"/>
    <w:rsid w:val="006955C1"/>
    <w:rsid w:val="00696D82"/>
    <w:rsid w:val="006972EF"/>
    <w:rsid w:val="006A4E69"/>
    <w:rsid w:val="006A5FB2"/>
    <w:rsid w:val="006A7E62"/>
    <w:rsid w:val="006B2011"/>
    <w:rsid w:val="006B33B3"/>
    <w:rsid w:val="006B689A"/>
    <w:rsid w:val="006B7D3E"/>
    <w:rsid w:val="006C01B1"/>
    <w:rsid w:val="006C10CE"/>
    <w:rsid w:val="006C14C9"/>
    <w:rsid w:val="006C2E16"/>
    <w:rsid w:val="006C5F97"/>
    <w:rsid w:val="006C7426"/>
    <w:rsid w:val="006C7ECB"/>
    <w:rsid w:val="006C7EF2"/>
    <w:rsid w:val="006D4660"/>
    <w:rsid w:val="006D5614"/>
    <w:rsid w:val="006D5C31"/>
    <w:rsid w:val="006D6998"/>
    <w:rsid w:val="006E1B0A"/>
    <w:rsid w:val="006E3050"/>
    <w:rsid w:val="006E3F0A"/>
    <w:rsid w:val="006E47EA"/>
    <w:rsid w:val="006E6766"/>
    <w:rsid w:val="006E7AA1"/>
    <w:rsid w:val="006F24BE"/>
    <w:rsid w:val="006F2AC7"/>
    <w:rsid w:val="006F3574"/>
    <w:rsid w:val="006F54A4"/>
    <w:rsid w:val="006F77C0"/>
    <w:rsid w:val="00702154"/>
    <w:rsid w:val="007036DE"/>
    <w:rsid w:val="007041ED"/>
    <w:rsid w:val="00704C7C"/>
    <w:rsid w:val="007050A9"/>
    <w:rsid w:val="007067AA"/>
    <w:rsid w:val="00707B36"/>
    <w:rsid w:val="00707FE4"/>
    <w:rsid w:val="007109EA"/>
    <w:rsid w:val="00710C1F"/>
    <w:rsid w:val="00711179"/>
    <w:rsid w:val="007111A1"/>
    <w:rsid w:val="007143CC"/>
    <w:rsid w:val="00715D7F"/>
    <w:rsid w:val="00716DF3"/>
    <w:rsid w:val="00720480"/>
    <w:rsid w:val="00721E73"/>
    <w:rsid w:val="007258A3"/>
    <w:rsid w:val="00726407"/>
    <w:rsid w:val="0072770F"/>
    <w:rsid w:val="007316EC"/>
    <w:rsid w:val="00731FB1"/>
    <w:rsid w:val="0073241F"/>
    <w:rsid w:val="00733B08"/>
    <w:rsid w:val="007340A2"/>
    <w:rsid w:val="007344AE"/>
    <w:rsid w:val="0073505E"/>
    <w:rsid w:val="00735977"/>
    <w:rsid w:val="00736917"/>
    <w:rsid w:val="00736E7C"/>
    <w:rsid w:val="0074398D"/>
    <w:rsid w:val="007471C4"/>
    <w:rsid w:val="00747A82"/>
    <w:rsid w:val="00750AF9"/>
    <w:rsid w:val="00752BE2"/>
    <w:rsid w:val="00752CBB"/>
    <w:rsid w:val="007537CC"/>
    <w:rsid w:val="00754A94"/>
    <w:rsid w:val="00756A28"/>
    <w:rsid w:val="007573AA"/>
    <w:rsid w:val="00766931"/>
    <w:rsid w:val="0077191E"/>
    <w:rsid w:val="0077532F"/>
    <w:rsid w:val="0077567B"/>
    <w:rsid w:val="00776BDF"/>
    <w:rsid w:val="0078599B"/>
    <w:rsid w:val="0078763F"/>
    <w:rsid w:val="00790D2D"/>
    <w:rsid w:val="00791CD1"/>
    <w:rsid w:val="0079386D"/>
    <w:rsid w:val="00795960"/>
    <w:rsid w:val="0079606A"/>
    <w:rsid w:val="00796B06"/>
    <w:rsid w:val="0079756D"/>
    <w:rsid w:val="00797B90"/>
    <w:rsid w:val="007A09B4"/>
    <w:rsid w:val="007A3A6D"/>
    <w:rsid w:val="007A4293"/>
    <w:rsid w:val="007A4366"/>
    <w:rsid w:val="007A4A54"/>
    <w:rsid w:val="007A6664"/>
    <w:rsid w:val="007B0810"/>
    <w:rsid w:val="007B0E81"/>
    <w:rsid w:val="007B2214"/>
    <w:rsid w:val="007B3C7C"/>
    <w:rsid w:val="007B76E2"/>
    <w:rsid w:val="007C05AD"/>
    <w:rsid w:val="007C0DF9"/>
    <w:rsid w:val="007C1A49"/>
    <w:rsid w:val="007C1C2C"/>
    <w:rsid w:val="007C487F"/>
    <w:rsid w:val="007C56E9"/>
    <w:rsid w:val="007C64A6"/>
    <w:rsid w:val="007C6587"/>
    <w:rsid w:val="007D03C8"/>
    <w:rsid w:val="007D2E76"/>
    <w:rsid w:val="007D3191"/>
    <w:rsid w:val="007D5085"/>
    <w:rsid w:val="007D7A65"/>
    <w:rsid w:val="007E0D79"/>
    <w:rsid w:val="007E108E"/>
    <w:rsid w:val="007E1290"/>
    <w:rsid w:val="007E249C"/>
    <w:rsid w:val="007E2C5F"/>
    <w:rsid w:val="007E496E"/>
    <w:rsid w:val="007E568B"/>
    <w:rsid w:val="007E67B5"/>
    <w:rsid w:val="007E7C36"/>
    <w:rsid w:val="007F193C"/>
    <w:rsid w:val="007F1AF5"/>
    <w:rsid w:val="007F1D7A"/>
    <w:rsid w:val="007F3B02"/>
    <w:rsid w:val="007F4FE7"/>
    <w:rsid w:val="007F625B"/>
    <w:rsid w:val="007F67E5"/>
    <w:rsid w:val="007F7607"/>
    <w:rsid w:val="007F7820"/>
    <w:rsid w:val="00800EB0"/>
    <w:rsid w:val="00801830"/>
    <w:rsid w:val="00806290"/>
    <w:rsid w:val="008115E2"/>
    <w:rsid w:val="008126D1"/>
    <w:rsid w:val="00813D03"/>
    <w:rsid w:val="00814C87"/>
    <w:rsid w:val="008159F4"/>
    <w:rsid w:val="00815A08"/>
    <w:rsid w:val="00815A2E"/>
    <w:rsid w:val="00816043"/>
    <w:rsid w:val="00816DB0"/>
    <w:rsid w:val="00816EC0"/>
    <w:rsid w:val="0082084B"/>
    <w:rsid w:val="0082106D"/>
    <w:rsid w:val="0082366E"/>
    <w:rsid w:val="00824299"/>
    <w:rsid w:val="0083258A"/>
    <w:rsid w:val="008334D8"/>
    <w:rsid w:val="00835F30"/>
    <w:rsid w:val="008370C3"/>
    <w:rsid w:val="008407A2"/>
    <w:rsid w:val="00841791"/>
    <w:rsid w:val="008440EF"/>
    <w:rsid w:val="0084570F"/>
    <w:rsid w:val="00852CE7"/>
    <w:rsid w:val="00852FB0"/>
    <w:rsid w:val="0085369E"/>
    <w:rsid w:val="0086188C"/>
    <w:rsid w:val="008624C9"/>
    <w:rsid w:val="00862A0F"/>
    <w:rsid w:val="008642D8"/>
    <w:rsid w:val="00867376"/>
    <w:rsid w:val="00871718"/>
    <w:rsid w:val="00871D4F"/>
    <w:rsid w:val="008744CF"/>
    <w:rsid w:val="00874FE6"/>
    <w:rsid w:val="008808AB"/>
    <w:rsid w:val="00881E0C"/>
    <w:rsid w:val="00883430"/>
    <w:rsid w:val="008854C3"/>
    <w:rsid w:val="00885AF9"/>
    <w:rsid w:val="00885F5D"/>
    <w:rsid w:val="008866ED"/>
    <w:rsid w:val="00886C7C"/>
    <w:rsid w:val="00886FFD"/>
    <w:rsid w:val="0088753B"/>
    <w:rsid w:val="00887D6C"/>
    <w:rsid w:val="00887DC4"/>
    <w:rsid w:val="0089050B"/>
    <w:rsid w:val="00892F04"/>
    <w:rsid w:val="008956FE"/>
    <w:rsid w:val="008973E0"/>
    <w:rsid w:val="008A5CF3"/>
    <w:rsid w:val="008A740D"/>
    <w:rsid w:val="008A7D18"/>
    <w:rsid w:val="008B231E"/>
    <w:rsid w:val="008B2960"/>
    <w:rsid w:val="008B3A6D"/>
    <w:rsid w:val="008B4BE9"/>
    <w:rsid w:val="008B7772"/>
    <w:rsid w:val="008C0627"/>
    <w:rsid w:val="008C3002"/>
    <w:rsid w:val="008C3ADE"/>
    <w:rsid w:val="008C3F87"/>
    <w:rsid w:val="008C7329"/>
    <w:rsid w:val="008C7797"/>
    <w:rsid w:val="008D0E3F"/>
    <w:rsid w:val="008D3107"/>
    <w:rsid w:val="008D3F1C"/>
    <w:rsid w:val="008D5458"/>
    <w:rsid w:val="008D55F6"/>
    <w:rsid w:val="008D58D3"/>
    <w:rsid w:val="008D5C5D"/>
    <w:rsid w:val="008D71F7"/>
    <w:rsid w:val="008D730D"/>
    <w:rsid w:val="008D7B25"/>
    <w:rsid w:val="008E0484"/>
    <w:rsid w:val="008E0E06"/>
    <w:rsid w:val="008E2820"/>
    <w:rsid w:val="008E307F"/>
    <w:rsid w:val="008E433B"/>
    <w:rsid w:val="008E4A29"/>
    <w:rsid w:val="008F02E9"/>
    <w:rsid w:val="008F3C4C"/>
    <w:rsid w:val="008F6A0D"/>
    <w:rsid w:val="008F6C44"/>
    <w:rsid w:val="009010A6"/>
    <w:rsid w:val="009018F2"/>
    <w:rsid w:val="009027AA"/>
    <w:rsid w:val="00902BAC"/>
    <w:rsid w:val="00903347"/>
    <w:rsid w:val="00903F87"/>
    <w:rsid w:val="00904A05"/>
    <w:rsid w:val="009057DD"/>
    <w:rsid w:val="00907705"/>
    <w:rsid w:val="00911FC3"/>
    <w:rsid w:val="009125B1"/>
    <w:rsid w:val="009149E0"/>
    <w:rsid w:val="00916A4D"/>
    <w:rsid w:val="00921508"/>
    <w:rsid w:val="00921525"/>
    <w:rsid w:val="0092597D"/>
    <w:rsid w:val="00926449"/>
    <w:rsid w:val="009342B0"/>
    <w:rsid w:val="009347C4"/>
    <w:rsid w:val="00936917"/>
    <w:rsid w:val="0093698E"/>
    <w:rsid w:val="00936992"/>
    <w:rsid w:val="009413B1"/>
    <w:rsid w:val="0094141C"/>
    <w:rsid w:val="00943453"/>
    <w:rsid w:val="0094613B"/>
    <w:rsid w:val="0094733B"/>
    <w:rsid w:val="009526A5"/>
    <w:rsid w:val="00953864"/>
    <w:rsid w:val="009556C5"/>
    <w:rsid w:val="009577B9"/>
    <w:rsid w:val="00962C6E"/>
    <w:rsid w:val="00963FF4"/>
    <w:rsid w:val="0096525D"/>
    <w:rsid w:val="009666F0"/>
    <w:rsid w:val="009709D4"/>
    <w:rsid w:val="00970CC7"/>
    <w:rsid w:val="0097354F"/>
    <w:rsid w:val="0097370C"/>
    <w:rsid w:val="00973A33"/>
    <w:rsid w:val="00974DBC"/>
    <w:rsid w:val="009753E0"/>
    <w:rsid w:val="0097554F"/>
    <w:rsid w:val="0097644B"/>
    <w:rsid w:val="009773A0"/>
    <w:rsid w:val="009778F8"/>
    <w:rsid w:val="00983493"/>
    <w:rsid w:val="00984010"/>
    <w:rsid w:val="0098515D"/>
    <w:rsid w:val="0098701B"/>
    <w:rsid w:val="0099209B"/>
    <w:rsid w:val="0099259A"/>
    <w:rsid w:val="0099270A"/>
    <w:rsid w:val="009927A9"/>
    <w:rsid w:val="00994AED"/>
    <w:rsid w:val="00994BAD"/>
    <w:rsid w:val="00996C55"/>
    <w:rsid w:val="009A1A40"/>
    <w:rsid w:val="009A67B9"/>
    <w:rsid w:val="009A6829"/>
    <w:rsid w:val="009B0264"/>
    <w:rsid w:val="009B02E5"/>
    <w:rsid w:val="009B0D10"/>
    <w:rsid w:val="009B4716"/>
    <w:rsid w:val="009B48D2"/>
    <w:rsid w:val="009B4B9E"/>
    <w:rsid w:val="009B6291"/>
    <w:rsid w:val="009B7F32"/>
    <w:rsid w:val="009C0FAE"/>
    <w:rsid w:val="009C1681"/>
    <w:rsid w:val="009C5AE7"/>
    <w:rsid w:val="009C5FB1"/>
    <w:rsid w:val="009C6DDB"/>
    <w:rsid w:val="009D3519"/>
    <w:rsid w:val="009D46FD"/>
    <w:rsid w:val="009D7B07"/>
    <w:rsid w:val="009E309E"/>
    <w:rsid w:val="009E343E"/>
    <w:rsid w:val="009E5282"/>
    <w:rsid w:val="009E7516"/>
    <w:rsid w:val="009F4CE3"/>
    <w:rsid w:val="009F5309"/>
    <w:rsid w:val="009F6C8A"/>
    <w:rsid w:val="009F70BC"/>
    <w:rsid w:val="00A00774"/>
    <w:rsid w:val="00A00A8D"/>
    <w:rsid w:val="00A00B19"/>
    <w:rsid w:val="00A03426"/>
    <w:rsid w:val="00A05CFF"/>
    <w:rsid w:val="00A07868"/>
    <w:rsid w:val="00A104FC"/>
    <w:rsid w:val="00A123B7"/>
    <w:rsid w:val="00A12657"/>
    <w:rsid w:val="00A14E7D"/>
    <w:rsid w:val="00A17BB3"/>
    <w:rsid w:val="00A204DD"/>
    <w:rsid w:val="00A219EB"/>
    <w:rsid w:val="00A2426E"/>
    <w:rsid w:val="00A24EE1"/>
    <w:rsid w:val="00A25565"/>
    <w:rsid w:val="00A25FA7"/>
    <w:rsid w:val="00A2712C"/>
    <w:rsid w:val="00A2745E"/>
    <w:rsid w:val="00A3048D"/>
    <w:rsid w:val="00A311EE"/>
    <w:rsid w:val="00A31408"/>
    <w:rsid w:val="00A31449"/>
    <w:rsid w:val="00A32204"/>
    <w:rsid w:val="00A32C66"/>
    <w:rsid w:val="00A3431E"/>
    <w:rsid w:val="00A350C7"/>
    <w:rsid w:val="00A35AC7"/>
    <w:rsid w:val="00A37BA7"/>
    <w:rsid w:val="00A43304"/>
    <w:rsid w:val="00A43E55"/>
    <w:rsid w:val="00A44B3F"/>
    <w:rsid w:val="00A4515C"/>
    <w:rsid w:val="00A455C9"/>
    <w:rsid w:val="00A461E4"/>
    <w:rsid w:val="00A4688D"/>
    <w:rsid w:val="00A47683"/>
    <w:rsid w:val="00A50823"/>
    <w:rsid w:val="00A524CE"/>
    <w:rsid w:val="00A5292D"/>
    <w:rsid w:val="00A5327A"/>
    <w:rsid w:val="00A5435E"/>
    <w:rsid w:val="00A5554A"/>
    <w:rsid w:val="00A56E24"/>
    <w:rsid w:val="00A57154"/>
    <w:rsid w:val="00A57886"/>
    <w:rsid w:val="00A60EA0"/>
    <w:rsid w:val="00A64014"/>
    <w:rsid w:val="00A64671"/>
    <w:rsid w:val="00A67A02"/>
    <w:rsid w:val="00A72340"/>
    <w:rsid w:val="00A744DA"/>
    <w:rsid w:val="00A75218"/>
    <w:rsid w:val="00A758F3"/>
    <w:rsid w:val="00A75D46"/>
    <w:rsid w:val="00A802DB"/>
    <w:rsid w:val="00A802F2"/>
    <w:rsid w:val="00A80F95"/>
    <w:rsid w:val="00A81C00"/>
    <w:rsid w:val="00A826EB"/>
    <w:rsid w:val="00A832CE"/>
    <w:rsid w:val="00A84187"/>
    <w:rsid w:val="00A8504C"/>
    <w:rsid w:val="00A86271"/>
    <w:rsid w:val="00A8697D"/>
    <w:rsid w:val="00A90AA1"/>
    <w:rsid w:val="00A92DD6"/>
    <w:rsid w:val="00A93E0A"/>
    <w:rsid w:val="00A9440E"/>
    <w:rsid w:val="00A9747F"/>
    <w:rsid w:val="00A97685"/>
    <w:rsid w:val="00A976F8"/>
    <w:rsid w:val="00AA0708"/>
    <w:rsid w:val="00AA1ABB"/>
    <w:rsid w:val="00AA2AE1"/>
    <w:rsid w:val="00AA31C8"/>
    <w:rsid w:val="00AA3509"/>
    <w:rsid w:val="00AA3D2C"/>
    <w:rsid w:val="00AA55B6"/>
    <w:rsid w:val="00AA642E"/>
    <w:rsid w:val="00AB11BD"/>
    <w:rsid w:val="00AB1994"/>
    <w:rsid w:val="00AB1D64"/>
    <w:rsid w:val="00AB3382"/>
    <w:rsid w:val="00AB7300"/>
    <w:rsid w:val="00AC00FA"/>
    <w:rsid w:val="00AC17B3"/>
    <w:rsid w:val="00AC1AA6"/>
    <w:rsid w:val="00AC6D47"/>
    <w:rsid w:val="00AC7F6E"/>
    <w:rsid w:val="00AD1852"/>
    <w:rsid w:val="00AD60A8"/>
    <w:rsid w:val="00AE451A"/>
    <w:rsid w:val="00AF072C"/>
    <w:rsid w:val="00AF57E0"/>
    <w:rsid w:val="00AF7CC8"/>
    <w:rsid w:val="00B01453"/>
    <w:rsid w:val="00B01A15"/>
    <w:rsid w:val="00B03767"/>
    <w:rsid w:val="00B04BA5"/>
    <w:rsid w:val="00B0503D"/>
    <w:rsid w:val="00B05F05"/>
    <w:rsid w:val="00B06510"/>
    <w:rsid w:val="00B0731E"/>
    <w:rsid w:val="00B075F5"/>
    <w:rsid w:val="00B07C8A"/>
    <w:rsid w:val="00B14671"/>
    <w:rsid w:val="00B15C2C"/>
    <w:rsid w:val="00B1611E"/>
    <w:rsid w:val="00B16C2C"/>
    <w:rsid w:val="00B1737D"/>
    <w:rsid w:val="00B205A8"/>
    <w:rsid w:val="00B2099E"/>
    <w:rsid w:val="00B2107D"/>
    <w:rsid w:val="00B22224"/>
    <w:rsid w:val="00B22531"/>
    <w:rsid w:val="00B22560"/>
    <w:rsid w:val="00B23E38"/>
    <w:rsid w:val="00B25032"/>
    <w:rsid w:val="00B2595E"/>
    <w:rsid w:val="00B26CDB"/>
    <w:rsid w:val="00B32633"/>
    <w:rsid w:val="00B34D68"/>
    <w:rsid w:val="00B35F1D"/>
    <w:rsid w:val="00B36D32"/>
    <w:rsid w:val="00B36F1A"/>
    <w:rsid w:val="00B415E6"/>
    <w:rsid w:val="00B4339A"/>
    <w:rsid w:val="00B44B99"/>
    <w:rsid w:val="00B454AC"/>
    <w:rsid w:val="00B45CFF"/>
    <w:rsid w:val="00B4650A"/>
    <w:rsid w:val="00B471BA"/>
    <w:rsid w:val="00B47C9D"/>
    <w:rsid w:val="00B5019F"/>
    <w:rsid w:val="00B515D9"/>
    <w:rsid w:val="00B55880"/>
    <w:rsid w:val="00B62213"/>
    <w:rsid w:val="00B6448F"/>
    <w:rsid w:val="00B659CA"/>
    <w:rsid w:val="00B671E3"/>
    <w:rsid w:val="00B70FA0"/>
    <w:rsid w:val="00B73656"/>
    <w:rsid w:val="00B76C80"/>
    <w:rsid w:val="00B80185"/>
    <w:rsid w:val="00B80A1D"/>
    <w:rsid w:val="00B81FD8"/>
    <w:rsid w:val="00B83C3C"/>
    <w:rsid w:val="00B850BF"/>
    <w:rsid w:val="00B86786"/>
    <w:rsid w:val="00B86C41"/>
    <w:rsid w:val="00B91C9B"/>
    <w:rsid w:val="00B92EC3"/>
    <w:rsid w:val="00B93376"/>
    <w:rsid w:val="00B948F9"/>
    <w:rsid w:val="00B94C35"/>
    <w:rsid w:val="00B94C5B"/>
    <w:rsid w:val="00B95476"/>
    <w:rsid w:val="00BA4B43"/>
    <w:rsid w:val="00BA6429"/>
    <w:rsid w:val="00BA753C"/>
    <w:rsid w:val="00BA7D34"/>
    <w:rsid w:val="00BA7F85"/>
    <w:rsid w:val="00BB3151"/>
    <w:rsid w:val="00BB5A48"/>
    <w:rsid w:val="00BC1C56"/>
    <w:rsid w:val="00BC5706"/>
    <w:rsid w:val="00BC66FD"/>
    <w:rsid w:val="00BC7DB0"/>
    <w:rsid w:val="00BD23A3"/>
    <w:rsid w:val="00BD29C3"/>
    <w:rsid w:val="00BD341A"/>
    <w:rsid w:val="00BD4E7C"/>
    <w:rsid w:val="00BD5082"/>
    <w:rsid w:val="00BE0388"/>
    <w:rsid w:val="00BE6760"/>
    <w:rsid w:val="00BF0CC5"/>
    <w:rsid w:val="00BF0D50"/>
    <w:rsid w:val="00BF31F4"/>
    <w:rsid w:val="00BF35E2"/>
    <w:rsid w:val="00BF3CE1"/>
    <w:rsid w:val="00BF461A"/>
    <w:rsid w:val="00BF4DBA"/>
    <w:rsid w:val="00BF6D74"/>
    <w:rsid w:val="00C01F35"/>
    <w:rsid w:val="00C01F54"/>
    <w:rsid w:val="00C0309F"/>
    <w:rsid w:val="00C04A69"/>
    <w:rsid w:val="00C04C87"/>
    <w:rsid w:val="00C050BB"/>
    <w:rsid w:val="00C054BD"/>
    <w:rsid w:val="00C0633C"/>
    <w:rsid w:val="00C07975"/>
    <w:rsid w:val="00C1222C"/>
    <w:rsid w:val="00C167DB"/>
    <w:rsid w:val="00C16AD3"/>
    <w:rsid w:val="00C16EFE"/>
    <w:rsid w:val="00C17511"/>
    <w:rsid w:val="00C2154D"/>
    <w:rsid w:val="00C21D43"/>
    <w:rsid w:val="00C22554"/>
    <w:rsid w:val="00C229D3"/>
    <w:rsid w:val="00C22B5D"/>
    <w:rsid w:val="00C239BD"/>
    <w:rsid w:val="00C241F8"/>
    <w:rsid w:val="00C25DFC"/>
    <w:rsid w:val="00C27EEE"/>
    <w:rsid w:val="00C304EF"/>
    <w:rsid w:val="00C32117"/>
    <w:rsid w:val="00C331CF"/>
    <w:rsid w:val="00C353E5"/>
    <w:rsid w:val="00C3648A"/>
    <w:rsid w:val="00C367CF"/>
    <w:rsid w:val="00C404EB"/>
    <w:rsid w:val="00C40B5D"/>
    <w:rsid w:val="00C4125F"/>
    <w:rsid w:val="00C459CB"/>
    <w:rsid w:val="00C46E16"/>
    <w:rsid w:val="00C5047D"/>
    <w:rsid w:val="00C504E4"/>
    <w:rsid w:val="00C51ACD"/>
    <w:rsid w:val="00C51B0C"/>
    <w:rsid w:val="00C5264A"/>
    <w:rsid w:val="00C552AA"/>
    <w:rsid w:val="00C55BE1"/>
    <w:rsid w:val="00C57491"/>
    <w:rsid w:val="00C61DE3"/>
    <w:rsid w:val="00C62A1C"/>
    <w:rsid w:val="00C6687B"/>
    <w:rsid w:val="00C675EE"/>
    <w:rsid w:val="00C67D9F"/>
    <w:rsid w:val="00C70336"/>
    <w:rsid w:val="00C729B5"/>
    <w:rsid w:val="00C7457D"/>
    <w:rsid w:val="00C81E56"/>
    <w:rsid w:val="00C83060"/>
    <w:rsid w:val="00C83F93"/>
    <w:rsid w:val="00C85265"/>
    <w:rsid w:val="00C86006"/>
    <w:rsid w:val="00C93346"/>
    <w:rsid w:val="00C94178"/>
    <w:rsid w:val="00C94251"/>
    <w:rsid w:val="00C96FF9"/>
    <w:rsid w:val="00C9703A"/>
    <w:rsid w:val="00C97357"/>
    <w:rsid w:val="00CA16A9"/>
    <w:rsid w:val="00CA2707"/>
    <w:rsid w:val="00CA2D86"/>
    <w:rsid w:val="00CA3390"/>
    <w:rsid w:val="00CA4BE7"/>
    <w:rsid w:val="00CA5AC7"/>
    <w:rsid w:val="00CA5C24"/>
    <w:rsid w:val="00CA7971"/>
    <w:rsid w:val="00CB0740"/>
    <w:rsid w:val="00CB2759"/>
    <w:rsid w:val="00CB38C6"/>
    <w:rsid w:val="00CB4123"/>
    <w:rsid w:val="00CB4217"/>
    <w:rsid w:val="00CB4AD4"/>
    <w:rsid w:val="00CB5968"/>
    <w:rsid w:val="00CC1DEF"/>
    <w:rsid w:val="00CC36EC"/>
    <w:rsid w:val="00CC40CF"/>
    <w:rsid w:val="00CC4407"/>
    <w:rsid w:val="00CC7366"/>
    <w:rsid w:val="00CD0813"/>
    <w:rsid w:val="00CD19C1"/>
    <w:rsid w:val="00CD3CEC"/>
    <w:rsid w:val="00CD59BC"/>
    <w:rsid w:val="00CD6082"/>
    <w:rsid w:val="00CD62B9"/>
    <w:rsid w:val="00CD7964"/>
    <w:rsid w:val="00CE1B6B"/>
    <w:rsid w:val="00CE224B"/>
    <w:rsid w:val="00CE3BF6"/>
    <w:rsid w:val="00CE3DB3"/>
    <w:rsid w:val="00CE6213"/>
    <w:rsid w:val="00CE732E"/>
    <w:rsid w:val="00CF2301"/>
    <w:rsid w:val="00CF3375"/>
    <w:rsid w:val="00CF59A3"/>
    <w:rsid w:val="00CF5D82"/>
    <w:rsid w:val="00CF66E3"/>
    <w:rsid w:val="00D007BB"/>
    <w:rsid w:val="00D014EA"/>
    <w:rsid w:val="00D03345"/>
    <w:rsid w:val="00D03422"/>
    <w:rsid w:val="00D05954"/>
    <w:rsid w:val="00D05DCF"/>
    <w:rsid w:val="00D1036C"/>
    <w:rsid w:val="00D11C94"/>
    <w:rsid w:val="00D1415E"/>
    <w:rsid w:val="00D14F18"/>
    <w:rsid w:val="00D14FEC"/>
    <w:rsid w:val="00D156C3"/>
    <w:rsid w:val="00D1573B"/>
    <w:rsid w:val="00D21118"/>
    <w:rsid w:val="00D21ED2"/>
    <w:rsid w:val="00D22309"/>
    <w:rsid w:val="00D2505A"/>
    <w:rsid w:val="00D25816"/>
    <w:rsid w:val="00D269E7"/>
    <w:rsid w:val="00D347EF"/>
    <w:rsid w:val="00D357BD"/>
    <w:rsid w:val="00D3583E"/>
    <w:rsid w:val="00D36D6D"/>
    <w:rsid w:val="00D41060"/>
    <w:rsid w:val="00D4392D"/>
    <w:rsid w:val="00D46489"/>
    <w:rsid w:val="00D47FE9"/>
    <w:rsid w:val="00D50AF0"/>
    <w:rsid w:val="00D5129D"/>
    <w:rsid w:val="00D54CBC"/>
    <w:rsid w:val="00D56983"/>
    <w:rsid w:val="00D56A74"/>
    <w:rsid w:val="00D67A0A"/>
    <w:rsid w:val="00D71059"/>
    <w:rsid w:val="00D71412"/>
    <w:rsid w:val="00D71492"/>
    <w:rsid w:val="00D731CC"/>
    <w:rsid w:val="00D82DD6"/>
    <w:rsid w:val="00D837C3"/>
    <w:rsid w:val="00D848C1"/>
    <w:rsid w:val="00D84CEA"/>
    <w:rsid w:val="00D85481"/>
    <w:rsid w:val="00D91282"/>
    <w:rsid w:val="00D91D94"/>
    <w:rsid w:val="00D92E97"/>
    <w:rsid w:val="00D935CF"/>
    <w:rsid w:val="00D937D3"/>
    <w:rsid w:val="00DA11E3"/>
    <w:rsid w:val="00DA3E13"/>
    <w:rsid w:val="00DA4F22"/>
    <w:rsid w:val="00DA53A3"/>
    <w:rsid w:val="00DA6EF1"/>
    <w:rsid w:val="00DA7C07"/>
    <w:rsid w:val="00DA7E53"/>
    <w:rsid w:val="00DB2DCC"/>
    <w:rsid w:val="00DB3245"/>
    <w:rsid w:val="00DB456E"/>
    <w:rsid w:val="00DB4DA2"/>
    <w:rsid w:val="00DB51BD"/>
    <w:rsid w:val="00DB75F8"/>
    <w:rsid w:val="00DB765D"/>
    <w:rsid w:val="00DC61FB"/>
    <w:rsid w:val="00DC644A"/>
    <w:rsid w:val="00DC6900"/>
    <w:rsid w:val="00DD56A1"/>
    <w:rsid w:val="00DD7589"/>
    <w:rsid w:val="00DE1014"/>
    <w:rsid w:val="00DE2316"/>
    <w:rsid w:val="00DE2D3D"/>
    <w:rsid w:val="00DE3299"/>
    <w:rsid w:val="00DE57F8"/>
    <w:rsid w:val="00DE5D13"/>
    <w:rsid w:val="00DE6F32"/>
    <w:rsid w:val="00DE7021"/>
    <w:rsid w:val="00DE7094"/>
    <w:rsid w:val="00DF0477"/>
    <w:rsid w:val="00E002EB"/>
    <w:rsid w:val="00E006CA"/>
    <w:rsid w:val="00E008AF"/>
    <w:rsid w:val="00E02896"/>
    <w:rsid w:val="00E02F9C"/>
    <w:rsid w:val="00E03332"/>
    <w:rsid w:val="00E041D0"/>
    <w:rsid w:val="00E0517C"/>
    <w:rsid w:val="00E05CD1"/>
    <w:rsid w:val="00E06427"/>
    <w:rsid w:val="00E12A7E"/>
    <w:rsid w:val="00E144D9"/>
    <w:rsid w:val="00E15CD5"/>
    <w:rsid w:val="00E2027C"/>
    <w:rsid w:val="00E21B14"/>
    <w:rsid w:val="00E2268D"/>
    <w:rsid w:val="00E23743"/>
    <w:rsid w:val="00E27C16"/>
    <w:rsid w:val="00E30CBC"/>
    <w:rsid w:val="00E319B7"/>
    <w:rsid w:val="00E32615"/>
    <w:rsid w:val="00E32884"/>
    <w:rsid w:val="00E34C37"/>
    <w:rsid w:val="00E3727C"/>
    <w:rsid w:val="00E3762C"/>
    <w:rsid w:val="00E37BF1"/>
    <w:rsid w:val="00E4022E"/>
    <w:rsid w:val="00E405AD"/>
    <w:rsid w:val="00E421C5"/>
    <w:rsid w:val="00E4428C"/>
    <w:rsid w:val="00E44746"/>
    <w:rsid w:val="00E50067"/>
    <w:rsid w:val="00E5122C"/>
    <w:rsid w:val="00E540FE"/>
    <w:rsid w:val="00E5538A"/>
    <w:rsid w:val="00E55893"/>
    <w:rsid w:val="00E56545"/>
    <w:rsid w:val="00E577CF"/>
    <w:rsid w:val="00E61109"/>
    <w:rsid w:val="00E616E0"/>
    <w:rsid w:val="00E61C2F"/>
    <w:rsid w:val="00E66354"/>
    <w:rsid w:val="00E7303C"/>
    <w:rsid w:val="00E746D1"/>
    <w:rsid w:val="00E74A2E"/>
    <w:rsid w:val="00E74F20"/>
    <w:rsid w:val="00E81CF8"/>
    <w:rsid w:val="00E85002"/>
    <w:rsid w:val="00E941BC"/>
    <w:rsid w:val="00E947BE"/>
    <w:rsid w:val="00E96244"/>
    <w:rsid w:val="00E968B7"/>
    <w:rsid w:val="00EA023F"/>
    <w:rsid w:val="00EA12FD"/>
    <w:rsid w:val="00EA1D73"/>
    <w:rsid w:val="00EA42E6"/>
    <w:rsid w:val="00EA5D03"/>
    <w:rsid w:val="00EB0A81"/>
    <w:rsid w:val="00EB0EF7"/>
    <w:rsid w:val="00EB1528"/>
    <w:rsid w:val="00EB2663"/>
    <w:rsid w:val="00EB2C38"/>
    <w:rsid w:val="00EB2D60"/>
    <w:rsid w:val="00EB3195"/>
    <w:rsid w:val="00EB38BC"/>
    <w:rsid w:val="00EB38F1"/>
    <w:rsid w:val="00EB7203"/>
    <w:rsid w:val="00EB7E85"/>
    <w:rsid w:val="00EB7EE7"/>
    <w:rsid w:val="00EC0351"/>
    <w:rsid w:val="00EC0BD9"/>
    <w:rsid w:val="00EC1913"/>
    <w:rsid w:val="00EC790E"/>
    <w:rsid w:val="00ED11D6"/>
    <w:rsid w:val="00ED13DF"/>
    <w:rsid w:val="00ED296A"/>
    <w:rsid w:val="00ED6539"/>
    <w:rsid w:val="00ED6854"/>
    <w:rsid w:val="00EE0951"/>
    <w:rsid w:val="00EE3F59"/>
    <w:rsid w:val="00EE4D39"/>
    <w:rsid w:val="00EF382F"/>
    <w:rsid w:val="00EF3A54"/>
    <w:rsid w:val="00EF4EA0"/>
    <w:rsid w:val="00EF5154"/>
    <w:rsid w:val="00F01D2A"/>
    <w:rsid w:val="00F04473"/>
    <w:rsid w:val="00F04F2A"/>
    <w:rsid w:val="00F06F7C"/>
    <w:rsid w:val="00F10D55"/>
    <w:rsid w:val="00F12743"/>
    <w:rsid w:val="00F12CB4"/>
    <w:rsid w:val="00F12D8B"/>
    <w:rsid w:val="00F13338"/>
    <w:rsid w:val="00F1472E"/>
    <w:rsid w:val="00F173B8"/>
    <w:rsid w:val="00F2067E"/>
    <w:rsid w:val="00F2108A"/>
    <w:rsid w:val="00F22FD4"/>
    <w:rsid w:val="00F23F34"/>
    <w:rsid w:val="00F23F89"/>
    <w:rsid w:val="00F2527E"/>
    <w:rsid w:val="00F25CAE"/>
    <w:rsid w:val="00F26349"/>
    <w:rsid w:val="00F26B18"/>
    <w:rsid w:val="00F300DB"/>
    <w:rsid w:val="00F33EC5"/>
    <w:rsid w:val="00F36445"/>
    <w:rsid w:val="00F42E14"/>
    <w:rsid w:val="00F43116"/>
    <w:rsid w:val="00F46302"/>
    <w:rsid w:val="00F47B48"/>
    <w:rsid w:val="00F51EC9"/>
    <w:rsid w:val="00F533A8"/>
    <w:rsid w:val="00F54792"/>
    <w:rsid w:val="00F5488B"/>
    <w:rsid w:val="00F55002"/>
    <w:rsid w:val="00F556BF"/>
    <w:rsid w:val="00F5647A"/>
    <w:rsid w:val="00F56F10"/>
    <w:rsid w:val="00F57027"/>
    <w:rsid w:val="00F6009E"/>
    <w:rsid w:val="00F610C1"/>
    <w:rsid w:val="00F61B95"/>
    <w:rsid w:val="00F622ED"/>
    <w:rsid w:val="00F62503"/>
    <w:rsid w:val="00F64981"/>
    <w:rsid w:val="00F7012C"/>
    <w:rsid w:val="00F7092A"/>
    <w:rsid w:val="00F731E1"/>
    <w:rsid w:val="00F733A4"/>
    <w:rsid w:val="00F7363B"/>
    <w:rsid w:val="00F754AA"/>
    <w:rsid w:val="00F75AA4"/>
    <w:rsid w:val="00F75D57"/>
    <w:rsid w:val="00F77D40"/>
    <w:rsid w:val="00F8031B"/>
    <w:rsid w:val="00F809E5"/>
    <w:rsid w:val="00F82633"/>
    <w:rsid w:val="00F872C3"/>
    <w:rsid w:val="00F904CC"/>
    <w:rsid w:val="00F91A63"/>
    <w:rsid w:val="00F94DA8"/>
    <w:rsid w:val="00F964A4"/>
    <w:rsid w:val="00FA48C1"/>
    <w:rsid w:val="00FA5170"/>
    <w:rsid w:val="00FA5855"/>
    <w:rsid w:val="00FA76E6"/>
    <w:rsid w:val="00FB1045"/>
    <w:rsid w:val="00FB29C4"/>
    <w:rsid w:val="00FB3485"/>
    <w:rsid w:val="00FB427A"/>
    <w:rsid w:val="00FB4C84"/>
    <w:rsid w:val="00FB4E4A"/>
    <w:rsid w:val="00FB7D10"/>
    <w:rsid w:val="00FC2561"/>
    <w:rsid w:val="00FC39DE"/>
    <w:rsid w:val="00FC5248"/>
    <w:rsid w:val="00FC5E22"/>
    <w:rsid w:val="00FD2E93"/>
    <w:rsid w:val="00FD3125"/>
    <w:rsid w:val="00FD4612"/>
    <w:rsid w:val="00FD67B4"/>
    <w:rsid w:val="00FD7068"/>
    <w:rsid w:val="00FD7519"/>
    <w:rsid w:val="00FE1FFA"/>
    <w:rsid w:val="00FE2B58"/>
    <w:rsid w:val="00FE3003"/>
    <w:rsid w:val="00FE430E"/>
    <w:rsid w:val="00FE500C"/>
    <w:rsid w:val="00FE584D"/>
    <w:rsid w:val="00FE58E0"/>
    <w:rsid w:val="00FE5C8C"/>
    <w:rsid w:val="00FE6421"/>
    <w:rsid w:val="00FE75C8"/>
    <w:rsid w:val="00FF0A63"/>
    <w:rsid w:val="00FF0CDF"/>
    <w:rsid w:val="00FF43B1"/>
    <w:rsid w:val="00FF6EF0"/>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B719"/>
  <w15:docId w15:val="{54131B59-2CC3-47D0-90D9-4FE7A278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34"/>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23034"/>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23034"/>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23034"/>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023034"/>
    <w:rPr>
      <w:rFonts w:ascii="Roboto Lt" w:eastAsia="Arial" w:hAnsi="Roboto Lt" w:cstheme="majorBidi"/>
      <w:bC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1"/>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table" w:styleId="Tabelacomgrade">
    <w:name w:val="Table Grid"/>
    <w:basedOn w:val="Tabelanormal"/>
    <w:uiPriority w:val="39"/>
    <w:rsid w:val="00D25816"/>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Legenda">
    <w:name w:val="WW-Legenda"/>
    <w:basedOn w:val="Normal"/>
    <w:next w:val="Texto"/>
    <w:rsid w:val="00D25816"/>
    <w:pPr>
      <w:tabs>
        <w:tab w:val="clear" w:pos="851"/>
      </w:tabs>
      <w:suppressAutoHyphens/>
      <w:spacing w:before="120" w:after="120" w:line="240" w:lineRule="auto"/>
      <w:jc w:val="center"/>
    </w:pPr>
    <w:rPr>
      <w:rFonts w:ascii="Arial" w:eastAsia="Calibri" w:hAnsi="Arial" w:cs="Arial"/>
      <w:bCs/>
      <w:sz w:val="20"/>
      <w:szCs w:val="18"/>
      <w:lang w:eastAsia="zh-CN"/>
    </w:rPr>
  </w:style>
  <w:style w:type="paragraph" w:styleId="Textodenotaderodap">
    <w:name w:val="footnote text"/>
    <w:basedOn w:val="Normal"/>
    <w:link w:val="TextodenotaderodapChar"/>
    <w:uiPriority w:val="99"/>
    <w:semiHidden/>
    <w:unhideWhenUsed/>
    <w:rsid w:val="00D25816"/>
    <w:pPr>
      <w:tabs>
        <w:tab w:val="clear" w:pos="851"/>
      </w:tabs>
      <w:spacing w:line="240" w:lineRule="auto"/>
      <w:jc w:val="left"/>
    </w:pPr>
    <w:rPr>
      <w:rFonts w:asciiTheme="minorHAnsi" w:eastAsiaTheme="minorHAnsi" w:hAnsiTheme="minorHAnsi"/>
      <w:sz w:val="20"/>
      <w:szCs w:val="20"/>
      <w:lang w:eastAsia="en-US"/>
    </w:rPr>
  </w:style>
  <w:style w:type="character" w:customStyle="1" w:styleId="TextodenotaderodapChar">
    <w:name w:val="Texto de nota de rodapé Char"/>
    <w:basedOn w:val="Fontepargpadro"/>
    <w:link w:val="Textodenotaderodap"/>
    <w:uiPriority w:val="99"/>
    <w:semiHidden/>
    <w:rsid w:val="00D25816"/>
    <w:rPr>
      <w:rFonts w:eastAsiaTheme="minorHAnsi"/>
      <w:lang w:eastAsia="en-US"/>
    </w:rPr>
  </w:style>
  <w:style w:type="character" w:styleId="Refdenotaderodap">
    <w:name w:val="footnote reference"/>
    <w:basedOn w:val="Fontepargpadro"/>
    <w:uiPriority w:val="99"/>
    <w:semiHidden/>
    <w:unhideWhenUsed/>
    <w:rsid w:val="00D25816"/>
    <w:rPr>
      <w:vertAlign w:val="superscript"/>
    </w:rPr>
  </w:style>
  <w:style w:type="paragraph" w:styleId="NormalWeb">
    <w:name w:val="Normal (Web)"/>
    <w:basedOn w:val="Normal"/>
    <w:uiPriority w:val="99"/>
    <w:unhideWhenUsed/>
    <w:qFormat/>
    <w:rsid w:val="00D25816"/>
    <w:pPr>
      <w:tabs>
        <w:tab w:val="clear" w:pos="851"/>
      </w:tabs>
      <w:spacing w:before="100" w:beforeAutospacing="1" w:after="100" w:afterAutospacing="1" w:line="240" w:lineRule="auto"/>
      <w:jc w:val="left"/>
    </w:pPr>
    <w:rPr>
      <w:rFonts w:eastAsia="Times New Roman" w:cs="Times New Roman"/>
      <w:szCs w:val="24"/>
    </w:rPr>
  </w:style>
  <w:style w:type="character" w:styleId="Hyperlink">
    <w:name w:val="Hyperlink"/>
    <w:basedOn w:val="Fontepargpadro"/>
    <w:uiPriority w:val="99"/>
    <w:unhideWhenUsed/>
    <w:qFormat/>
    <w:rsid w:val="00702154"/>
    <w:rPr>
      <w:color w:val="0563C1" w:themeColor="hyperlink"/>
      <w:u w:val="single"/>
    </w:rPr>
  </w:style>
  <w:style w:type="paragraph" w:customStyle="1" w:styleId="Default">
    <w:name w:val="Default"/>
    <w:rsid w:val="00702154"/>
    <w:pPr>
      <w:autoSpaceDE w:val="0"/>
      <w:autoSpaceDN w:val="0"/>
      <w:adjustRightInd w:val="0"/>
    </w:pPr>
    <w:rPr>
      <w:rFonts w:ascii="Times New Roman" w:eastAsia="Calibri" w:hAnsi="Times New Roman" w:cs="Times New Roman"/>
      <w:color w:val="000000"/>
      <w:sz w:val="24"/>
      <w:szCs w:val="24"/>
    </w:rPr>
  </w:style>
  <w:style w:type="character" w:styleId="MenoPendente">
    <w:name w:val="Unresolved Mention"/>
    <w:basedOn w:val="Fontepargpadro"/>
    <w:uiPriority w:val="99"/>
    <w:semiHidden/>
    <w:unhideWhenUsed/>
    <w:rsid w:val="00704C7C"/>
    <w:rPr>
      <w:color w:val="605E5C"/>
      <w:shd w:val="clear" w:color="auto" w:fill="E1DFDD"/>
    </w:rPr>
  </w:style>
  <w:style w:type="character" w:styleId="HiperlinkVisitado">
    <w:name w:val="FollowedHyperlink"/>
    <w:basedOn w:val="Fontepargpadro"/>
    <w:uiPriority w:val="99"/>
    <w:semiHidden/>
    <w:unhideWhenUsed/>
    <w:rsid w:val="008A740D"/>
    <w:rPr>
      <w:color w:val="954F72" w:themeColor="followedHyperlink"/>
      <w:u w:val="single"/>
    </w:rPr>
  </w:style>
  <w:style w:type="paragraph" w:styleId="Ttulo">
    <w:name w:val="Title"/>
    <w:basedOn w:val="Normal"/>
    <w:next w:val="Normal"/>
    <w:link w:val="TtuloChar"/>
    <w:autoRedefine/>
    <w:uiPriority w:val="10"/>
    <w:qFormat/>
    <w:rsid w:val="00E06427"/>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E06427"/>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23034"/>
    <w:pPr>
      <w:numPr>
        <w:ilvl w:val="1"/>
      </w:numPr>
      <w:spacing w:after="240" w:line="240" w:lineRule="auto"/>
      <w:jc w:val="right"/>
    </w:pPr>
    <w:rPr>
      <w:color w:val="595959" w:themeColor="text1" w:themeTint="A6"/>
      <w:spacing w:val="15"/>
      <w:sz w:val="22"/>
    </w:rPr>
  </w:style>
  <w:style w:type="character" w:customStyle="1" w:styleId="SubttuloChar">
    <w:name w:val="Subtítulo Char"/>
    <w:basedOn w:val="Fontepargpadro"/>
    <w:link w:val="Subttulo"/>
    <w:uiPriority w:val="11"/>
    <w:rsid w:val="00023034"/>
    <w:rPr>
      <w:rFonts w:ascii="Roboto Lt" w:hAnsi="Roboto Lt"/>
      <w:color w:val="595959" w:themeColor="text1" w:themeTint="A6"/>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8134</Words>
  <Characters>43927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2</cp:revision>
  <dcterms:created xsi:type="dcterms:W3CDTF">2024-03-13T13:47:00Z</dcterms:created>
  <dcterms:modified xsi:type="dcterms:W3CDTF">2024-03-13T13:47:00Z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