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1145" w14:textId="2B028057" w:rsidR="00C97E93" w:rsidRPr="00DA6102" w:rsidRDefault="00DA6102" w:rsidP="00DA6102">
      <w:pPr>
        <w:spacing w:line="240" w:lineRule="auto"/>
        <w:jc w:val="center"/>
        <w:rPr>
          <w:rFonts w:eastAsia="Arial" w:cs="Times New Roman"/>
          <w:bCs/>
          <w:szCs w:val="24"/>
        </w:rPr>
      </w:pPr>
      <w:r w:rsidRPr="00DA6102">
        <w:rPr>
          <w:rFonts w:eastAsia="Arial" w:cs="Times New Roman"/>
          <w:bCs/>
          <w:szCs w:val="24"/>
        </w:rPr>
        <w:t>GT - DIREITOS SOCIAIS NA CONTEMPORANEIDADE</w:t>
      </w:r>
    </w:p>
    <w:p w14:paraId="5D4A349E" w14:textId="77777777" w:rsidR="00C97E93" w:rsidRDefault="00C97E93">
      <w:pPr>
        <w:jc w:val="center"/>
        <w:rPr>
          <w:rFonts w:eastAsia="Arial" w:cs="Times New Roman"/>
          <w:b/>
          <w:szCs w:val="24"/>
        </w:rPr>
      </w:pPr>
    </w:p>
    <w:p w14:paraId="02D18637" w14:textId="57C07255" w:rsidR="00C97E93" w:rsidRDefault="004A56DE" w:rsidP="00DA6102">
      <w:pPr>
        <w:pStyle w:val="Ttulo"/>
        <w:rPr>
          <w:u w:val="single"/>
        </w:rPr>
      </w:pPr>
      <w:r>
        <w:t>DIREITO DE PREEMPÇ</w:t>
      </w:r>
      <w:r w:rsidR="002D1012">
        <w:t>ÃO</w:t>
      </w:r>
      <w:r>
        <w:t xml:space="preserve">: </w:t>
      </w:r>
      <w:r w:rsidR="00DA6102" w:rsidRPr="002D1012">
        <w:t xml:space="preserve">uma análise da eficácia do instituto no plano diretor da cidade de Natal/RN </w:t>
      </w:r>
    </w:p>
    <w:p w14:paraId="3B16A646" w14:textId="77777777" w:rsidR="00385697" w:rsidRDefault="00385697" w:rsidP="00DA6102">
      <w:pPr>
        <w:pStyle w:val="Subttulo"/>
      </w:pPr>
      <w:r>
        <w:t>Maria Laura Urbano Sousa Costa</w:t>
      </w:r>
    </w:p>
    <w:p w14:paraId="62A3DBCA" w14:textId="77777777" w:rsidR="00C97E93" w:rsidRDefault="00501BF8">
      <w:pPr>
        <w:spacing w:line="240" w:lineRule="auto"/>
        <w:rPr>
          <w:rFonts w:eastAsia="Arial" w:cs="Times New Roman"/>
          <w:b/>
          <w:caps/>
          <w:szCs w:val="24"/>
        </w:rPr>
      </w:pPr>
      <w:r>
        <w:rPr>
          <w:rFonts w:eastAsia="Arial" w:cs="Times New Roman"/>
          <w:b/>
          <w:caps/>
          <w:szCs w:val="24"/>
        </w:rPr>
        <w:t>Resumo</w:t>
      </w:r>
    </w:p>
    <w:p w14:paraId="4333BBB6" w14:textId="77777777" w:rsidR="00C97E93" w:rsidRDefault="00C97E93">
      <w:pPr>
        <w:spacing w:line="240" w:lineRule="auto"/>
        <w:rPr>
          <w:rFonts w:eastAsia="Arial" w:cs="Times New Roman"/>
          <w:szCs w:val="24"/>
        </w:rPr>
      </w:pPr>
    </w:p>
    <w:p w14:paraId="32B4FB1A" w14:textId="77777777" w:rsidR="00AD37D3" w:rsidRPr="00780583" w:rsidRDefault="00AD37D3" w:rsidP="000A3B1C">
      <w:pPr>
        <w:spacing w:line="240" w:lineRule="auto"/>
        <w:rPr>
          <w:sz w:val="22"/>
          <w:szCs w:val="24"/>
        </w:rPr>
      </w:pPr>
      <w:r w:rsidRPr="00780583">
        <w:rPr>
          <w:sz w:val="22"/>
          <w:szCs w:val="24"/>
        </w:rPr>
        <w:t xml:space="preserve">O Estatuto da Cidade (Lei nº 10.257/2001), lei complementar destinada a regulamentar os artigos 182 e 183 da Constituição </w:t>
      </w:r>
      <w:r w:rsidRPr="00780583">
        <w:rPr>
          <w:sz w:val="22"/>
        </w:rPr>
        <w:t xml:space="preserve">Federal, </w:t>
      </w:r>
      <w:r w:rsidR="003219DE" w:rsidRPr="00780583">
        <w:rPr>
          <w:sz w:val="22"/>
        </w:rPr>
        <w:t>criou</w:t>
      </w:r>
      <w:r w:rsidRPr="00780583">
        <w:rPr>
          <w:sz w:val="22"/>
        </w:rPr>
        <w:t xml:space="preserve"> diversos institutos para garantir o direito constitucional da política urbana. Um desses instrumentos é o Direito de Preempção, </w:t>
      </w:r>
      <w:r w:rsidR="00E9251E" w:rsidRPr="00780583">
        <w:rPr>
          <w:sz w:val="22"/>
        </w:rPr>
        <w:t xml:space="preserve">isto é, a </w:t>
      </w:r>
      <w:r w:rsidR="00C74EBA" w:rsidRPr="00780583">
        <w:rPr>
          <w:sz w:val="22"/>
        </w:rPr>
        <w:t xml:space="preserve">garantia de </w:t>
      </w:r>
      <w:r w:rsidR="00E9251E" w:rsidRPr="00780583">
        <w:rPr>
          <w:sz w:val="22"/>
        </w:rPr>
        <w:t>preferência do Poder Público municipal em adquirir imóvel urbano objeto de venda entre particulares</w:t>
      </w:r>
      <w:r w:rsidR="00C74EBA" w:rsidRPr="00780583">
        <w:rPr>
          <w:sz w:val="22"/>
        </w:rPr>
        <w:t>, a fim de executar programas e projetos de interesse social</w:t>
      </w:r>
      <w:r w:rsidR="00E9251E" w:rsidRPr="00780583">
        <w:rPr>
          <w:sz w:val="22"/>
        </w:rPr>
        <w:t xml:space="preserve">. </w:t>
      </w:r>
      <w:r w:rsidRPr="00780583">
        <w:rPr>
          <w:sz w:val="22"/>
        </w:rPr>
        <w:t>Nesse viés, objetiva-se analisar se o Direito de Preempção tem eficácia em Natal/RN, visto que está previsto no Plano Diretor da cida</w:t>
      </w:r>
      <w:r w:rsidR="003219DE" w:rsidRPr="00780583">
        <w:rPr>
          <w:sz w:val="22"/>
        </w:rPr>
        <w:t xml:space="preserve">de. Para isso, fez-se um estudo </w:t>
      </w:r>
      <w:r w:rsidR="00005E71" w:rsidRPr="00780583">
        <w:rPr>
          <w:sz w:val="22"/>
        </w:rPr>
        <w:t>d</w:t>
      </w:r>
      <w:r w:rsidRPr="00780583">
        <w:rPr>
          <w:sz w:val="22"/>
        </w:rPr>
        <w:t xml:space="preserve">o Plano Diretor de Natal e em outras legislações municipais. A fim de </w:t>
      </w:r>
      <w:r w:rsidR="00C74EBA" w:rsidRPr="00780583">
        <w:rPr>
          <w:sz w:val="22"/>
        </w:rPr>
        <w:t>orientar o artigo, foi utilizada</w:t>
      </w:r>
      <w:r w:rsidRPr="00780583">
        <w:rPr>
          <w:sz w:val="22"/>
        </w:rPr>
        <w:t xml:space="preserve"> </w:t>
      </w:r>
      <w:r w:rsidR="00D92930" w:rsidRPr="00780583">
        <w:rPr>
          <w:sz w:val="22"/>
        </w:rPr>
        <w:t xml:space="preserve">a </w:t>
      </w:r>
      <w:r w:rsidR="00C74EBA" w:rsidRPr="00780583">
        <w:rPr>
          <w:sz w:val="22"/>
        </w:rPr>
        <w:t>metodologia de natureza teórica</w:t>
      </w:r>
      <w:r w:rsidR="005257BB" w:rsidRPr="00780583">
        <w:rPr>
          <w:sz w:val="22"/>
        </w:rPr>
        <w:t xml:space="preserve"> com abordagem qualitativa dos dados.</w:t>
      </w:r>
      <w:r w:rsidR="00C74EBA" w:rsidRPr="00780583">
        <w:rPr>
          <w:sz w:val="22"/>
        </w:rPr>
        <w:t xml:space="preserve"> </w:t>
      </w:r>
      <w:r w:rsidRPr="00780583">
        <w:rPr>
          <w:sz w:val="22"/>
        </w:rPr>
        <w:t>A partir da pesquisa, observou-se que inexiste qualquer lei municipal que regularize o instituto, assim como inexiste qualquer caso concreto de aplicação desse mecanismo no município. Provando, por fim, que a eficácia</w:t>
      </w:r>
      <w:r w:rsidRPr="00780583">
        <w:rPr>
          <w:sz w:val="22"/>
          <w:szCs w:val="24"/>
        </w:rPr>
        <w:t xml:space="preserve"> do Direito de Preempção é reduz</w:t>
      </w:r>
      <w:r w:rsidR="0019749F" w:rsidRPr="00780583">
        <w:rPr>
          <w:sz w:val="22"/>
          <w:szCs w:val="24"/>
        </w:rPr>
        <w:t xml:space="preserve">ida, se mostrando mais </w:t>
      </w:r>
      <w:r w:rsidR="00C27C0D" w:rsidRPr="00780583">
        <w:rPr>
          <w:sz w:val="22"/>
          <w:szCs w:val="24"/>
        </w:rPr>
        <w:t>efetivos outros</w:t>
      </w:r>
      <w:r w:rsidR="00BE5017" w:rsidRPr="00780583">
        <w:rPr>
          <w:sz w:val="22"/>
          <w:szCs w:val="24"/>
        </w:rPr>
        <w:t xml:space="preserve"> institutos da política de desenvolvimento urbano</w:t>
      </w:r>
      <w:r w:rsidR="0019749F" w:rsidRPr="00780583">
        <w:rPr>
          <w:sz w:val="22"/>
          <w:szCs w:val="24"/>
        </w:rPr>
        <w:t xml:space="preserve">, como </w:t>
      </w:r>
      <w:r w:rsidRPr="00780583">
        <w:rPr>
          <w:sz w:val="22"/>
          <w:szCs w:val="24"/>
        </w:rPr>
        <w:t xml:space="preserve">a </w:t>
      </w:r>
      <w:r w:rsidR="0019749F" w:rsidRPr="00780583">
        <w:rPr>
          <w:sz w:val="22"/>
          <w:szCs w:val="24"/>
        </w:rPr>
        <w:t>“</w:t>
      </w:r>
      <w:r w:rsidRPr="00780583">
        <w:rPr>
          <w:sz w:val="22"/>
          <w:szCs w:val="24"/>
        </w:rPr>
        <w:t>Desapropriação</w:t>
      </w:r>
      <w:r w:rsidR="0019749F" w:rsidRPr="00780583">
        <w:rPr>
          <w:sz w:val="22"/>
          <w:szCs w:val="24"/>
        </w:rPr>
        <w:t>”</w:t>
      </w:r>
      <w:r w:rsidR="00C27C0D" w:rsidRPr="00780583">
        <w:rPr>
          <w:sz w:val="22"/>
          <w:szCs w:val="24"/>
        </w:rPr>
        <w:t xml:space="preserve">. </w:t>
      </w:r>
    </w:p>
    <w:p w14:paraId="6411E0F2" w14:textId="77777777" w:rsidR="00C97E93" w:rsidRDefault="00C97E93">
      <w:pPr>
        <w:spacing w:line="240" w:lineRule="auto"/>
        <w:rPr>
          <w:rFonts w:eastAsia="Arial" w:cs="Times New Roman"/>
          <w:szCs w:val="24"/>
        </w:rPr>
      </w:pPr>
    </w:p>
    <w:p w14:paraId="1CEF8F37" w14:textId="77777777" w:rsidR="00C97E93" w:rsidRPr="00DA6102" w:rsidRDefault="00501BF8">
      <w:pPr>
        <w:spacing w:line="240" w:lineRule="auto"/>
        <w:rPr>
          <w:rFonts w:eastAsia="Arial" w:cs="Times New Roman"/>
          <w:sz w:val="22"/>
        </w:rPr>
      </w:pPr>
      <w:r w:rsidRPr="00DA6102">
        <w:rPr>
          <w:rFonts w:eastAsia="Arial" w:cs="Times New Roman"/>
          <w:b/>
          <w:sz w:val="22"/>
        </w:rPr>
        <w:t xml:space="preserve">Palavras-chave: </w:t>
      </w:r>
      <w:r w:rsidR="00B27078" w:rsidRPr="00DA6102">
        <w:rPr>
          <w:rFonts w:eastAsia="Arial" w:cs="Times New Roman"/>
          <w:sz w:val="22"/>
        </w:rPr>
        <w:t>Direito Urbanístico. Política Urbana. Desenvolvimento Urbano. Direito de Preempção. Desapropriação.</w:t>
      </w:r>
    </w:p>
    <w:p w14:paraId="53CB26EF" w14:textId="77777777" w:rsidR="00C97E93" w:rsidRDefault="00501BF8" w:rsidP="00DA6102">
      <w:pPr>
        <w:pStyle w:val="Ttulo1"/>
      </w:pPr>
      <w:r>
        <w:t>1 INTRODU</w:t>
      </w:r>
      <w:r w:rsidR="00E71358">
        <w:t>ÇÃO</w:t>
      </w:r>
    </w:p>
    <w:p w14:paraId="33A1779E" w14:textId="77777777" w:rsidR="004A56DE" w:rsidRDefault="004A56DE" w:rsidP="00392CE5">
      <w:pPr>
        <w:ind w:firstLine="851"/>
        <w:rPr>
          <w:rFonts w:eastAsia="Times New Roman" w:cs="Times New Roman"/>
          <w:szCs w:val="24"/>
        </w:rPr>
      </w:pPr>
      <w:r>
        <w:rPr>
          <w:rFonts w:eastAsia="Times New Roman" w:cs="Times New Roman"/>
          <w:szCs w:val="24"/>
        </w:rPr>
        <w:t xml:space="preserve">A Constituição Federal de 1988 inovou ao trazer um capítulo destinado à política urbana, estabelecendo, nos </w:t>
      </w:r>
      <w:proofErr w:type="spellStart"/>
      <w:r>
        <w:rPr>
          <w:rFonts w:eastAsia="Times New Roman" w:cs="Times New Roman"/>
          <w:szCs w:val="24"/>
        </w:rPr>
        <w:t>arts</w:t>
      </w:r>
      <w:proofErr w:type="spellEnd"/>
      <w:r>
        <w:rPr>
          <w:rFonts w:eastAsia="Times New Roman" w:cs="Times New Roman"/>
          <w:szCs w:val="24"/>
        </w:rPr>
        <w:t>. 182 e 183, que esta é desenvolvida pelo Poder Público Municipal, em conformidade com diretrizes gerais fixadas em lei. Além</w:t>
      </w:r>
      <w:r w:rsidR="00391282">
        <w:rPr>
          <w:rFonts w:eastAsia="Times New Roman" w:cs="Times New Roman"/>
          <w:szCs w:val="24"/>
        </w:rPr>
        <w:t xml:space="preserve"> disso, nos artigos mencionados</w:t>
      </w:r>
      <w:r>
        <w:rPr>
          <w:rFonts w:eastAsia="Times New Roman" w:cs="Times New Roman"/>
          <w:szCs w:val="24"/>
        </w:rPr>
        <w:t xml:space="preserve"> é consolidado o </w:t>
      </w:r>
      <w:r w:rsidR="00E37229">
        <w:rPr>
          <w:rFonts w:eastAsia="Times New Roman" w:cs="Times New Roman"/>
          <w:szCs w:val="24"/>
        </w:rPr>
        <w:t>Plano D</w:t>
      </w:r>
      <w:r w:rsidRPr="00E37229">
        <w:rPr>
          <w:rFonts w:eastAsia="Times New Roman" w:cs="Times New Roman"/>
          <w:szCs w:val="24"/>
        </w:rPr>
        <w:t>iretor</w:t>
      </w:r>
      <w:r>
        <w:rPr>
          <w:rFonts w:eastAsia="Times New Roman" w:cs="Times New Roman"/>
          <w:szCs w:val="24"/>
        </w:rPr>
        <w:t>, o qual é um instrumento básico para o desenvolvimento urbano e que é obrigatório nas cidades com mais de vinte mil habitantes.</w:t>
      </w:r>
    </w:p>
    <w:p w14:paraId="5476A53D" w14:textId="77777777" w:rsidR="004A56DE" w:rsidRDefault="004A56DE" w:rsidP="00392CE5">
      <w:pPr>
        <w:ind w:firstLine="851"/>
        <w:rPr>
          <w:rFonts w:eastAsia="Times New Roman" w:cs="Times New Roman"/>
          <w:szCs w:val="24"/>
        </w:rPr>
      </w:pPr>
      <w:r>
        <w:rPr>
          <w:rFonts w:eastAsia="Times New Roman" w:cs="Times New Roman"/>
          <w:szCs w:val="24"/>
        </w:rPr>
        <w:t xml:space="preserve">A regulamentação dos supracitados dispositivos constitucionais foi disciplinada com o Estatuto da Cidade (Lei 10.257, de 10 de julho de 2001), a partir da criação de novos instrumentos da política de desenvolvimento urbano, como o parcelamento e edificações compulsórios, IPTU progressivo, outorga onerosa do direito de construir, </w:t>
      </w:r>
      <w:r w:rsidR="0090500B">
        <w:rPr>
          <w:rFonts w:eastAsia="Times New Roman" w:cs="Times New Roman"/>
          <w:szCs w:val="24"/>
        </w:rPr>
        <w:t xml:space="preserve">desapropriação, </w:t>
      </w:r>
      <w:r w:rsidR="00AF5E51">
        <w:rPr>
          <w:rFonts w:eastAsia="Times New Roman" w:cs="Times New Roman"/>
          <w:szCs w:val="24"/>
        </w:rPr>
        <w:t>d</w:t>
      </w:r>
      <w:r>
        <w:rPr>
          <w:rFonts w:eastAsia="Times New Roman" w:cs="Times New Roman"/>
          <w:szCs w:val="24"/>
        </w:rPr>
        <w:t>ireito de preempção, entre outros.</w:t>
      </w:r>
    </w:p>
    <w:p w14:paraId="66AE01E1" w14:textId="77777777" w:rsidR="004A56DE" w:rsidRDefault="004A56DE" w:rsidP="00392CE5">
      <w:pPr>
        <w:ind w:firstLine="851"/>
        <w:rPr>
          <w:rFonts w:eastAsia="Times New Roman" w:cs="Times New Roman"/>
          <w:szCs w:val="24"/>
        </w:rPr>
      </w:pPr>
      <w:r>
        <w:rPr>
          <w:rFonts w:eastAsia="Times New Roman" w:cs="Times New Roman"/>
          <w:szCs w:val="24"/>
        </w:rPr>
        <w:t xml:space="preserve">Diante do exposto, a política urbana pode ser conceituada como uma série de medidas e estratégias legislativas e administrativas que objetivam “ordenar o pleno </w:t>
      </w:r>
      <w:r>
        <w:rPr>
          <w:rFonts w:eastAsia="Times New Roman" w:cs="Times New Roman"/>
          <w:szCs w:val="24"/>
        </w:rPr>
        <w:lastRenderedPageBreak/>
        <w:t>desenvolvimento das funções sociais da cidade e garantir o bem-estar de seus habitantes”, como consta expressamente no art. 182 da Constituição Federal. Dentre os instrumentos abordados no Estatuto da Cidade, os quais garantem o des</w:t>
      </w:r>
      <w:r w:rsidR="00AF5E51">
        <w:rPr>
          <w:rFonts w:eastAsia="Times New Roman" w:cs="Times New Roman"/>
          <w:szCs w:val="24"/>
        </w:rPr>
        <w:t>envolvimento da cidade, está o D</w:t>
      </w:r>
      <w:r>
        <w:rPr>
          <w:rFonts w:eastAsia="Times New Roman" w:cs="Times New Roman"/>
          <w:szCs w:val="24"/>
        </w:rPr>
        <w:t>ireito de Preempção</w:t>
      </w:r>
      <w:r w:rsidR="00A054E8">
        <w:rPr>
          <w:rFonts w:eastAsia="Times New Roman" w:cs="Times New Roman"/>
          <w:szCs w:val="24"/>
        </w:rPr>
        <w:t>, tema do presente trabalho</w:t>
      </w:r>
      <w:r>
        <w:rPr>
          <w:rFonts w:eastAsia="Times New Roman" w:cs="Times New Roman"/>
          <w:szCs w:val="24"/>
        </w:rPr>
        <w:t xml:space="preserve">. </w:t>
      </w:r>
    </w:p>
    <w:p w14:paraId="3C8B0415" w14:textId="77777777" w:rsidR="004A56DE" w:rsidRDefault="004A56DE" w:rsidP="00392CE5">
      <w:pPr>
        <w:ind w:firstLine="851"/>
        <w:rPr>
          <w:rFonts w:eastAsia="Times New Roman" w:cs="Times New Roman"/>
          <w:szCs w:val="24"/>
        </w:rPr>
      </w:pPr>
      <w:r>
        <w:rPr>
          <w:rFonts w:eastAsia="Times New Roman" w:cs="Times New Roman"/>
          <w:szCs w:val="24"/>
        </w:rPr>
        <w:t xml:space="preserve">A Região Metropolitana de Natal surgiu em 1997, por meio da Lei Complementar Estadual nº 152/97 e, atualmente, é composta de 15 municípios e 1,6 milhão de habitantes. É nesta região potiguar que se concentra a maior parte do valor econômico do Rio Grande do Norte, assim como os maiores problemas urbanos, ambientais e sociais (SILVA; LIVRAMENTO; CLEMENTINO, 2022). Contudo, a política urbana </w:t>
      </w:r>
      <w:r w:rsidR="00DD7D68">
        <w:rPr>
          <w:rFonts w:eastAsia="Times New Roman" w:cs="Times New Roman"/>
          <w:szCs w:val="24"/>
        </w:rPr>
        <w:t xml:space="preserve">natalense </w:t>
      </w:r>
      <w:r>
        <w:rPr>
          <w:rFonts w:eastAsia="Times New Roman" w:cs="Times New Roman"/>
          <w:szCs w:val="24"/>
        </w:rPr>
        <w:t xml:space="preserve">continua sendo um grande desafio, sendo quase </w:t>
      </w:r>
      <w:r w:rsidR="00043AB7">
        <w:rPr>
          <w:rFonts w:eastAsia="Times New Roman" w:cs="Times New Roman"/>
          <w:szCs w:val="24"/>
        </w:rPr>
        <w:t>inexistentes projetos urbanísticos de interesse comum</w:t>
      </w:r>
      <w:r>
        <w:rPr>
          <w:rFonts w:eastAsia="Times New Roman" w:cs="Times New Roman"/>
          <w:szCs w:val="24"/>
        </w:rPr>
        <w:t>. Assim, a relevância desta pesquisa centra-se na ampliação dos conhecimentos acerca da política urbana no município de Natal/RN, principalmente no que tange a</w:t>
      </w:r>
      <w:r w:rsidR="00727AFE">
        <w:rPr>
          <w:rFonts w:eastAsia="Times New Roman" w:cs="Times New Roman"/>
          <w:szCs w:val="24"/>
        </w:rPr>
        <w:t>os</w:t>
      </w:r>
      <w:r>
        <w:rPr>
          <w:rFonts w:eastAsia="Times New Roman" w:cs="Times New Roman"/>
          <w:szCs w:val="24"/>
        </w:rPr>
        <w:t xml:space="preserve"> instrumentos da política de desenvolvimento urbano.</w:t>
      </w:r>
    </w:p>
    <w:p w14:paraId="3C287052" w14:textId="77777777" w:rsidR="004A56DE" w:rsidRDefault="004A56DE" w:rsidP="00392CE5">
      <w:pPr>
        <w:ind w:firstLine="851"/>
        <w:rPr>
          <w:rFonts w:eastAsia="Times New Roman" w:cs="Times New Roman"/>
          <w:szCs w:val="24"/>
        </w:rPr>
      </w:pPr>
      <w:r>
        <w:rPr>
          <w:rFonts w:eastAsia="Times New Roman" w:cs="Times New Roman"/>
          <w:szCs w:val="24"/>
        </w:rPr>
        <w:t xml:space="preserve">Diante do exposto, o objetivo do presente trabalho é </w:t>
      </w:r>
      <w:r w:rsidR="00727AFE" w:rsidRPr="0090500B">
        <w:rPr>
          <w:rFonts w:eastAsia="Times New Roman" w:cs="Times New Roman"/>
          <w:szCs w:val="24"/>
        </w:rPr>
        <w:t>analisar</w:t>
      </w:r>
      <w:r w:rsidR="00727AFE">
        <w:rPr>
          <w:rFonts w:eastAsia="Times New Roman" w:cs="Times New Roman"/>
          <w:szCs w:val="24"/>
        </w:rPr>
        <w:t xml:space="preserve"> </w:t>
      </w:r>
      <w:r>
        <w:rPr>
          <w:rFonts w:eastAsia="Times New Roman" w:cs="Times New Roman"/>
          <w:szCs w:val="24"/>
        </w:rPr>
        <w:t xml:space="preserve">a eficácia do Direito de Preempção no município de Natal/RN. Para isso, se faz necessário atingir alguns objetivos específicos: 1) Averiguar </w:t>
      </w:r>
      <w:r w:rsidR="0090500B">
        <w:rPr>
          <w:rFonts w:eastAsia="Times New Roman" w:cs="Times New Roman"/>
          <w:szCs w:val="24"/>
        </w:rPr>
        <w:t>a existência</w:t>
      </w:r>
      <w:r w:rsidR="00727AFE" w:rsidRPr="0090500B">
        <w:rPr>
          <w:rFonts w:eastAsia="Times New Roman" w:cs="Times New Roman"/>
          <w:szCs w:val="24"/>
        </w:rPr>
        <w:t xml:space="preserve"> </w:t>
      </w:r>
      <w:r w:rsidR="0090500B">
        <w:rPr>
          <w:rFonts w:eastAsia="Times New Roman" w:cs="Times New Roman"/>
          <w:szCs w:val="24"/>
        </w:rPr>
        <w:t xml:space="preserve">de uma área </w:t>
      </w:r>
      <w:r>
        <w:rPr>
          <w:rFonts w:eastAsia="Times New Roman" w:cs="Times New Roman"/>
          <w:szCs w:val="24"/>
        </w:rPr>
        <w:t>abarcada pelo instituto da preempção, como disposto no Plano Diretor; 2) Averiguar se já foi exercido o direito de preempção em algum momento na cidade de Natal/RN</w:t>
      </w:r>
      <w:r w:rsidR="00D40CBA">
        <w:rPr>
          <w:rFonts w:eastAsia="Times New Roman" w:cs="Times New Roman"/>
          <w:szCs w:val="24"/>
        </w:rPr>
        <w:t xml:space="preserve"> desde a criação da referida Lei</w:t>
      </w:r>
      <w:r>
        <w:rPr>
          <w:rFonts w:eastAsia="Times New Roman" w:cs="Times New Roman"/>
          <w:szCs w:val="24"/>
        </w:rPr>
        <w:t>; 3) Compreender se existe algum outro instrumento da política de desenvolvimento urbano mais eficaz para o município de Natal/RN; 4) Aval</w:t>
      </w:r>
      <w:r w:rsidR="004E15B6">
        <w:rPr>
          <w:rFonts w:eastAsia="Times New Roman" w:cs="Times New Roman"/>
          <w:szCs w:val="24"/>
        </w:rPr>
        <w:t>iar criticamente os impactos do instituto</w:t>
      </w:r>
      <w:r>
        <w:rPr>
          <w:rFonts w:eastAsia="Times New Roman" w:cs="Times New Roman"/>
          <w:szCs w:val="24"/>
        </w:rPr>
        <w:t xml:space="preserve"> na função social da propriedade.</w:t>
      </w:r>
    </w:p>
    <w:p w14:paraId="55D16EAF" w14:textId="77777777" w:rsidR="00C97E93" w:rsidRDefault="00501BF8" w:rsidP="00DA6102">
      <w:pPr>
        <w:pStyle w:val="Ttulo1"/>
      </w:pPr>
      <w:r>
        <w:t>2 REFERENCIAL TEÓRICO (SEÇÃO PRIMÁRIA: MAIÚSCULO COM NEGRITO)</w:t>
      </w:r>
    </w:p>
    <w:p w14:paraId="5E901480" w14:textId="77777777" w:rsidR="00C97E93" w:rsidRPr="00DA6102" w:rsidRDefault="00501BF8" w:rsidP="00DA6102">
      <w:pPr>
        <w:pStyle w:val="Ttulo2"/>
      </w:pPr>
      <w:r w:rsidRPr="00DA6102">
        <w:t xml:space="preserve">2.1 </w:t>
      </w:r>
      <w:r w:rsidR="00557591" w:rsidRPr="00DA6102">
        <w:t>Conceito e escopo</w:t>
      </w:r>
    </w:p>
    <w:p w14:paraId="586F660A" w14:textId="77777777" w:rsidR="00557591" w:rsidRDefault="0090500B" w:rsidP="00557591">
      <w:pPr>
        <w:ind w:firstLine="720"/>
        <w:rPr>
          <w:rFonts w:eastAsia="Times New Roman" w:cs="Times New Roman"/>
          <w:szCs w:val="24"/>
        </w:rPr>
      </w:pPr>
      <w:r>
        <w:rPr>
          <w:rFonts w:eastAsia="Times New Roman" w:cs="Times New Roman"/>
          <w:szCs w:val="24"/>
        </w:rPr>
        <w:t>“Preempção” é definida como direito de</w:t>
      </w:r>
      <w:r w:rsidR="00557591">
        <w:rPr>
          <w:rFonts w:eastAsia="Times New Roman" w:cs="Times New Roman"/>
          <w:szCs w:val="24"/>
        </w:rPr>
        <w:t xml:space="preserve"> preferência ou prelação (</w:t>
      </w:r>
      <w:r w:rsidR="00055924">
        <w:rPr>
          <w:rFonts w:eastAsia="Times New Roman" w:cs="Times New Roman"/>
          <w:szCs w:val="24"/>
        </w:rPr>
        <w:t>CARVALHO FILHO, 2003</w:t>
      </w:r>
      <w:r w:rsidR="00557591">
        <w:rPr>
          <w:rFonts w:eastAsia="Times New Roman" w:cs="Times New Roman"/>
          <w:szCs w:val="24"/>
        </w:rPr>
        <w:t xml:space="preserve">). Na legislação, o conceito de direito de preempção está disposto no art. 25 da Lei nº 10.257/2001 (Estatuto da Cidade), o qual estabelece que este é o direito de preferência do Poder Público municipal em adquirir imóvel urbano objeto de venda entre particulares. Além disso, o parágrafo 1º de tal dispositivo dispõe que lei municipal delimitará as áreas em que será possível incidir esse direito e fixará o prazo </w:t>
      </w:r>
      <w:r w:rsidR="00557591">
        <w:rPr>
          <w:rFonts w:eastAsia="Times New Roman" w:cs="Times New Roman"/>
          <w:szCs w:val="24"/>
        </w:rPr>
        <w:lastRenderedPageBreak/>
        <w:t xml:space="preserve">de vigência deste. Desse modo, o direito de preempção não é algo amplo e infinito, vide </w:t>
      </w:r>
      <w:r w:rsidR="00557591">
        <w:rPr>
          <w:rFonts w:eastAsia="Times New Roman" w:cs="Times New Roman"/>
          <w:i/>
          <w:szCs w:val="24"/>
        </w:rPr>
        <w:t xml:space="preserve">in </w:t>
      </w:r>
      <w:proofErr w:type="spellStart"/>
      <w:r w:rsidR="00557591">
        <w:rPr>
          <w:rFonts w:eastAsia="Times New Roman" w:cs="Times New Roman"/>
          <w:i/>
          <w:szCs w:val="24"/>
        </w:rPr>
        <w:t>verbis</w:t>
      </w:r>
      <w:proofErr w:type="spellEnd"/>
      <w:r w:rsidR="00557591">
        <w:rPr>
          <w:rFonts w:eastAsia="Times New Roman" w:cs="Times New Roman"/>
          <w:szCs w:val="24"/>
        </w:rPr>
        <w:t>:</w:t>
      </w:r>
    </w:p>
    <w:p w14:paraId="58D498AE" w14:textId="77777777" w:rsidR="00557591" w:rsidRPr="00392CE5" w:rsidRDefault="00557591" w:rsidP="00DA6102">
      <w:pPr>
        <w:pStyle w:val="Citao"/>
      </w:pPr>
      <w:r w:rsidRPr="00392CE5">
        <w:t>Art. 25.</w:t>
      </w:r>
      <w:r w:rsidRPr="00392CE5">
        <w:rPr>
          <w:b/>
        </w:rPr>
        <w:t xml:space="preserve"> </w:t>
      </w:r>
      <w:r w:rsidRPr="00392CE5">
        <w:t>O direito de preempção confere ao Poder Público municipal preferência para aquisição de imóvel urbano objeto de alienação onerosa entre particulares.</w:t>
      </w:r>
    </w:p>
    <w:p w14:paraId="6EF226D8" w14:textId="77777777" w:rsidR="00557591" w:rsidRPr="00392CE5" w:rsidRDefault="00557591" w:rsidP="00DA6102">
      <w:pPr>
        <w:pStyle w:val="Citao"/>
      </w:pPr>
      <w:r w:rsidRPr="00392CE5">
        <w:t>§ 1</w:t>
      </w:r>
      <w:r w:rsidRPr="00392CE5">
        <w:rPr>
          <w:u w:val="single"/>
          <w:vertAlign w:val="superscript"/>
        </w:rPr>
        <w:t>o</w:t>
      </w:r>
      <w:r w:rsidRPr="00392CE5">
        <w:t xml:space="preserve"> Lei municipal, baseada no plano diretor, delimitará as áreas em que incidirá o direito de preempção e fixará prazo de vigência, não superior a cinco anos, renovável a partir de um ano após o decurso do prazo inicial de vigência.</w:t>
      </w:r>
    </w:p>
    <w:p w14:paraId="5AC9324A" w14:textId="77777777" w:rsidR="00557591" w:rsidRPr="00392CE5" w:rsidRDefault="00557591" w:rsidP="00DA6102">
      <w:pPr>
        <w:pStyle w:val="Citao"/>
      </w:pPr>
      <w:r w:rsidRPr="00392CE5">
        <w:t>§ 2</w:t>
      </w:r>
      <w:r w:rsidRPr="00392CE5">
        <w:rPr>
          <w:u w:val="single"/>
          <w:vertAlign w:val="superscript"/>
        </w:rPr>
        <w:t>o</w:t>
      </w:r>
      <w:r w:rsidRPr="00392CE5">
        <w:t xml:space="preserve"> O direito de preempção fica assegurado durante o prazo de vigência fixado na forma do § 1</w:t>
      </w:r>
      <w:r w:rsidRPr="00392CE5">
        <w:rPr>
          <w:u w:val="single"/>
          <w:vertAlign w:val="superscript"/>
        </w:rPr>
        <w:t>o</w:t>
      </w:r>
      <w:r w:rsidRPr="00392CE5">
        <w:t>, independentemente do número de alienações referentes ao mesmo imóvel.</w:t>
      </w:r>
    </w:p>
    <w:p w14:paraId="22BE6177" w14:textId="778CDA67" w:rsidR="00557591" w:rsidRDefault="00557591" w:rsidP="00DA6102">
      <w:pPr>
        <w:rPr>
          <w:rFonts w:eastAsia="Times New Roman" w:cs="Times New Roman"/>
          <w:szCs w:val="24"/>
        </w:rPr>
      </w:pPr>
      <w:r>
        <w:rPr>
          <w:rFonts w:eastAsia="Times New Roman" w:cs="Times New Roman"/>
          <w:szCs w:val="24"/>
        </w:rPr>
        <w:tab/>
        <w:t>Nesse viés, o artigo 26 afirma que o direito de preempção incide sobre um</w:t>
      </w:r>
      <w:r w:rsidR="00D40CBA">
        <w:rPr>
          <w:rFonts w:eastAsia="Times New Roman" w:cs="Times New Roman"/>
          <w:szCs w:val="24"/>
        </w:rPr>
        <w:t xml:space="preserve">a área específica e delimitada </w:t>
      </w:r>
      <w:r>
        <w:rPr>
          <w:rFonts w:eastAsia="Times New Roman" w:cs="Times New Roman"/>
          <w:szCs w:val="24"/>
        </w:rPr>
        <w:t>quando o poder público necessitar do terreno para as seguintes situações:</w:t>
      </w:r>
    </w:p>
    <w:p w14:paraId="32C873F1" w14:textId="77777777" w:rsidR="00557591" w:rsidRPr="00392CE5" w:rsidRDefault="00557591" w:rsidP="00DA6102">
      <w:pPr>
        <w:pStyle w:val="Citao"/>
      </w:pPr>
      <w:r w:rsidRPr="00392CE5">
        <w:t>Art. 26. O direito de preempção será exercido sempre que o Poder Público necessitar de áreas para:</w:t>
      </w:r>
    </w:p>
    <w:p w14:paraId="699F5696" w14:textId="77777777" w:rsidR="00557591" w:rsidRPr="00392CE5" w:rsidRDefault="00557591" w:rsidP="00DA6102">
      <w:pPr>
        <w:pStyle w:val="Citao"/>
      </w:pPr>
      <w:r w:rsidRPr="00392CE5">
        <w:t xml:space="preserve">I – </w:t>
      </w:r>
      <w:proofErr w:type="gramStart"/>
      <w:r w:rsidRPr="00392CE5">
        <w:t>regularização</w:t>
      </w:r>
      <w:proofErr w:type="gramEnd"/>
      <w:r w:rsidRPr="00392CE5">
        <w:t xml:space="preserve"> fundiária;</w:t>
      </w:r>
    </w:p>
    <w:p w14:paraId="20C99794" w14:textId="77777777" w:rsidR="00557591" w:rsidRPr="00392CE5" w:rsidRDefault="00557591" w:rsidP="00DA6102">
      <w:pPr>
        <w:pStyle w:val="Citao"/>
      </w:pPr>
      <w:r w:rsidRPr="00392CE5">
        <w:t xml:space="preserve">II – </w:t>
      </w:r>
      <w:proofErr w:type="gramStart"/>
      <w:r w:rsidRPr="00392CE5">
        <w:t>execução</w:t>
      </w:r>
      <w:proofErr w:type="gramEnd"/>
      <w:r w:rsidRPr="00392CE5">
        <w:t xml:space="preserve"> de programas e projetos habitacionais de interesse social;</w:t>
      </w:r>
    </w:p>
    <w:p w14:paraId="70C8CF7F" w14:textId="77777777" w:rsidR="00557591" w:rsidRPr="00392CE5" w:rsidRDefault="00557591" w:rsidP="00DA6102">
      <w:pPr>
        <w:pStyle w:val="Citao"/>
      </w:pPr>
      <w:r w:rsidRPr="00392CE5">
        <w:t>III – constituição de reserva fundiária;</w:t>
      </w:r>
    </w:p>
    <w:p w14:paraId="62CD26F5" w14:textId="77777777" w:rsidR="00557591" w:rsidRPr="00392CE5" w:rsidRDefault="00557591" w:rsidP="00DA6102">
      <w:pPr>
        <w:pStyle w:val="Citao"/>
      </w:pPr>
      <w:r w:rsidRPr="00392CE5">
        <w:t>IV – ordenamento e direcionamento da expansão urbana;</w:t>
      </w:r>
    </w:p>
    <w:p w14:paraId="735C6D87" w14:textId="77777777" w:rsidR="00557591" w:rsidRPr="00392CE5" w:rsidRDefault="00557591" w:rsidP="00DA6102">
      <w:pPr>
        <w:pStyle w:val="Citao"/>
      </w:pPr>
      <w:r w:rsidRPr="00392CE5">
        <w:t xml:space="preserve">V – </w:t>
      </w:r>
      <w:proofErr w:type="gramStart"/>
      <w:r w:rsidRPr="00392CE5">
        <w:t>implantação</w:t>
      </w:r>
      <w:proofErr w:type="gramEnd"/>
      <w:r w:rsidRPr="00392CE5">
        <w:t xml:space="preserve"> de equipamentos urbanos e comunitários;</w:t>
      </w:r>
    </w:p>
    <w:p w14:paraId="3BE2BCCB" w14:textId="77777777" w:rsidR="00557591" w:rsidRPr="00392CE5" w:rsidRDefault="00557591" w:rsidP="00DA6102">
      <w:pPr>
        <w:pStyle w:val="Citao"/>
      </w:pPr>
      <w:r w:rsidRPr="00392CE5">
        <w:t xml:space="preserve">VI – </w:t>
      </w:r>
      <w:proofErr w:type="gramStart"/>
      <w:r w:rsidRPr="00392CE5">
        <w:t>criação</w:t>
      </w:r>
      <w:proofErr w:type="gramEnd"/>
      <w:r w:rsidRPr="00392CE5">
        <w:t xml:space="preserve"> de espaços públicos de lazer e áreas verdes;</w:t>
      </w:r>
    </w:p>
    <w:p w14:paraId="04718F31" w14:textId="77777777" w:rsidR="00557591" w:rsidRPr="00392CE5" w:rsidRDefault="00557591" w:rsidP="00DA6102">
      <w:pPr>
        <w:pStyle w:val="Citao"/>
      </w:pPr>
      <w:r w:rsidRPr="00392CE5">
        <w:t>VII – criação de unidades de conservação ou proteção de outras áreas de interesse ambiental;</w:t>
      </w:r>
    </w:p>
    <w:p w14:paraId="138EFD4E" w14:textId="77777777" w:rsidR="00557591" w:rsidRPr="00392CE5" w:rsidRDefault="00557591" w:rsidP="00DA6102">
      <w:pPr>
        <w:pStyle w:val="Citao"/>
      </w:pPr>
      <w:r w:rsidRPr="00392CE5">
        <w:t>VIII – proteção de áreas de interesse histórico, cultural ou paisagístico;</w:t>
      </w:r>
    </w:p>
    <w:p w14:paraId="433A3D0B" w14:textId="77777777" w:rsidR="00557591" w:rsidRPr="00392CE5" w:rsidRDefault="00557591" w:rsidP="00DA6102">
      <w:pPr>
        <w:pStyle w:val="Citao"/>
      </w:pPr>
      <w:r w:rsidRPr="00392CE5">
        <w:t>Parágrafo único. A lei municipal prevista no § 1º do art. 25 desta Lei deverá enquadrar cada área em que incidirá o direito de preempção em uma ou mais das finalidades enumeradas por este artigo.</w:t>
      </w:r>
    </w:p>
    <w:p w14:paraId="5E9587DD" w14:textId="77777777" w:rsidR="00557591" w:rsidRDefault="00557591" w:rsidP="00DA6102">
      <w:pPr>
        <w:spacing w:after="240"/>
        <w:ind w:firstLine="720"/>
        <w:rPr>
          <w:rFonts w:eastAsia="Times New Roman" w:cs="Times New Roman"/>
          <w:szCs w:val="24"/>
        </w:rPr>
      </w:pPr>
      <w:r>
        <w:rPr>
          <w:rFonts w:eastAsia="Times New Roman" w:cs="Times New Roman"/>
          <w:szCs w:val="24"/>
        </w:rPr>
        <w:t>Observe, portanto, que a vantagem de adquirir preferencialmente um imóvel urbano tem um caráter público e não pode ser usado indiscriminadamente. Em razão disso, o município deve delimitar a região da cidade e o prazo de vigência do direito (</w:t>
      </w:r>
      <w:proofErr w:type="spellStart"/>
      <w:r>
        <w:rPr>
          <w:rFonts w:eastAsia="Times New Roman" w:cs="Times New Roman"/>
          <w:szCs w:val="24"/>
        </w:rPr>
        <w:t>art</w:t>
      </w:r>
      <w:proofErr w:type="spellEnd"/>
      <w:r>
        <w:rPr>
          <w:rFonts w:eastAsia="Times New Roman" w:cs="Times New Roman"/>
          <w:szCs w:val="24"/>
        </w:rPr>
        <w:t>, 25,§ 1º) em lei específica baseada no plano diretor.</w:t>
      </w:r>
    </w:p>
    <w:p w14:paraId="298A1AF4" w14:textId="77777777" w:rsidR="00557591" w:rsidRDefault="00557591" w:rsidP="00557591">
      <w:pPr>
        <w:ind w:firstLine="720"/>
        <w:rPr>
          <w:rFonts w:eastAsia="Times New Roman" w:cs="Times New Roman"/>
          <w:szCs w:val="24"/>
        </w:rPr>
      </w:pPr>
      <w:r>
        <w:rPr>
          <w:rFonts w:eastAsia="Times New Roman" w:cs="Times New Roman"/>
          <w:szCs w:val="24"/>
        </w:rPr>
        <w:lastRenderedPageBreak/>
        <w:t xml:space="preserve">Ademais, conforme o Estatuto da Cidade, a preempção deverá seguir um procedimento específico e público. No primeiro momento, haverá a comunicação do proprietário do imóvel ao município sobre a vontade de vendê-lo (art. 27, caput) para que o Poder Público municipal, no prazo máximo de trinta dias, manifeste por escrito sua intenção em comprá-lo. Após a notificação, será anexada proposta de compra assinada por terceiro interessado na aquisição do imóvel, da qual </w:t>
      </w:r>
      <w:r w:rsidR="00E94ADF">
        <w:rPr>
          <w:rFonts w:eastAsia="Times New Roman" w:cs="Times New Roman"/>
          <w:szCs w:val="24"/>
        </w:rPr>
        <w:t>constará</w:t>
      </w:r>
      <w:r>
        <w:rPr>
          <w:rFonts w:eastAsia="Times New Roman" w:cs="Times New Roman"/>
          <w:szCs w:val="24"/>
        </w:rPr>
        <w:t xml:space="preserve"> preço, condições de pagamento e prazo de validade (art. 27, § 1º). O Município, por conseguinte, deverá publicar em órgão oficial ou em pelo menos um jornal de grande circulação, municipal ou regional, o edital de aviso da notificação citado acima, bem como o motivo de querer adquirir o imóvel.</w:t>
      </w:r>
    </w:p>
    <w:p w14:paraId="3238CB2C" w14:textId="77777777" w:rsidR="00557591" w:rsidRDefault="00557591" w:rsidP="00557591">
      <w:pPr>
        <w:ind w:firstLine="720"/>
        <w:rPr>
          <w:rFonts w:eastAsia="Times New Roman" w:cs="Times New Roman"/>
          <w:sz w:val="28"/>
          <w:szCs w:val="28"/>
        </w:rPr>
      </w:pPr>
      <w:r>
        <w:rPr>
          <w:rFonts w:eastAsia="Times New Roman" w:cs="Times New Roman"/>
          <w:szCs w:val="24"/>
        </w:rPr>
        <w:t xml:space="preserve">Contudo, passado o prazo de trinta dias, e se o município não tiver apresentado interesse na compra do imóvel, o proprietário do bem poderá oferecê-lo a terceiros nas condições da proposta apresentada (art. 27, § 3º). Ademais, se o imóvel for vendido </w:t>
      </w:r>
      <w:r w:rsidR="00E94ADF">
        <w:rPr>
          <w:rFonts w:eastAsia="Times New Roman" w:cs="Times New Roman"/>
          <w:szCs w:val="24"/>
        </w:rPr>
        <w:t>à</w:t>
      </w:r>
      <w:r>
        <w:rPr>
          <w:rFonts w:eastAsia="Times New Roman" w:cs="Times New Roman"/>
          <w:szCs w:val="24"/>
        </w:rPr>
        <w:t xml:space="preserve"> terceiro, “o proprietário fica obrigado a apresentar ao Município, no prazo de trinta dias, cópia do instrumento público de alienação do imóvel” (art. 27, § 4º). </w:t>
      </w:r>
    </w:p>
    <w:p w14:paraId="47D72A3B" w14:textId="77777777" w:rsidR="00557591" w:rsidRPr="009B7882" w:rsidRDefault="00557591" w:rsidP="009B7882">
      <w:pPr>
        <w:ind w:firstLine="720"/>
        <w:rPr>
          <w:rFonts w:eastAsia="Times New Roman" w:cs="Times New Roman"/>
          <w:sz w:val="20"/>
          <w:szCs w:val="20"/>
        </w:rPr>
      </w:pPr>
      <w:r>
        <w:rPr>
          <w:rFonts w:eastAsia="Times New Roman" w:cs="Times New Roman"/>
          <w:szCs w:val="24"/>
        </w:rPr>
        <w:t xml:space="preserve">Por fim, pode ser observado alguns efeitos jurídicos do descumprimento das regras citadas acima, </w:t>
      </w:r>
      <w:r w:rsidR="00E94ADF">
        <w:rPr>
          <w:rFonts w:eastAsia="Times New Roman" w:cs="Times New Roman"/>
          <w:szCs w:val="24"/>
        </w:rPr>
        <w:t>por exemplo,</w:t>
      </w:r>
      <w:r>
        <w:rPr>
          <w:rFonts w:eastAsia="Times New Roman" w:cs="Times New Roman"/>
          <w:szCs w:val="24"/>
        </w:rPr>
        <w:t xml:space="preserve"> o efeito sofrido pelo vendedor que não der preferência na alienação da coisa é de cunho indenizatório, respondendo por perdas e danos, em consonância com o art. 584, CC/02 (FILHO, 2003). Por sua vez, o art. 27, § 5º, do Estatuto da Cidade, estabelece que tal alienação irregular </w:t>
      </w:r>
      <w:r w:rsidR="00E94ADF">
        <w:rPr>
          <w:rFonts w:eastAsia="Times New Roman" w:cs="Times New Roman"/>
          <w:szCs w:val="24"/>
        </w:rPr>
        <w:t>seja</w:t>
      </w:r>
      <w:r>
        <w:rPr>
          <w:rFonts w:eastAsia="Times New Roman" w:cs="Times New Roman"/>
          <w:szCs w:val="24"/>
        </w:rPr>
        <w:t xml:space="preserve"> nula de pleno direito.</w:t>
      </w:r>
    </w:p>
    <w:p w14:paraId="247BEBB5" w14:textId="77777777" w:rsidR="00C97E93" w:rsidRPr="00DA6102" w:rsidRDefault="00501BF8" w:rsidP="00DA6102">
      <w:pPr>
        <w:pStyle w:val="Ttulo3"/>
      </w:pPr>
      <w:r w:rsidRPr="00DA6102">
        <w:t xml:space="preserve">2.1.1 </w:t>
      </w:r>
      <w:r w:rsidR="00557591" w:rsidRPr="00DA6102">
        <w:t>Relação com princípio da política urbana e/ou do direito urbanístico</w:t>
      </w:r>
    </w:p>
    <w:p w14:paraId="410E432A" w14:textId="77777777" w:rsidR="00557591" w:rsidRDefault="00557591" w:rsidP="00557591">
      <w:pPr>
        <w:ind w:firstLine="720"/>
        <w:rPr>
          <w:rFonts w:eastAsia="Times New Roman" w:cs="Times New Roman"/>
          <w:szCs w:val="24"/>
        </w:rPr>
      </w:pPr>
      <w:r>
        <w:rPr>
          <w:rFonts w:eastAsia="Times New Roman" w:cs="Times New Roman"/>
          <w:szCs w:val="24"/>
        </w:rPr>
        <w:t>O Direito de Preempção é uma manifestação do poder de polícia administrativa. Esse instituto, como foi possível observar acima, pretende: ordenar o pleno desenvolvimento das funções sociais da cidade e da propriedade; contornar o desordenado e acelerado crescimento urbano; proteção da questão ambiental, através implementação do direito de preempção.</w:t>
      </w:r>
    </w:p>
    <w:p w14:paraId="5B3375E0" w14:textId="77777777" w:rsidR="00557591" w:rsidRDefault="00557591" w:rsidP="00557591">
      <w:pPr>
        <w:ind w:firstLine="720"/>
        <w:rPr>
          <w:rFonts w:eastAsia="Times New Roman" w:cs="Times New Roman"/>
          <w:szCs w:val="24"/>
        </w:rPr>
      </w:pPr>
      <w:r>
        <w:rPr>
          <w:rFonts w:eastAsia="Times New Roman" w:cs="Times New Roman"/>
          <w:szCs w:val="24"/>
        </w:rPr>
        <w:t xml:space="preserve">É sabido que a organização das cidades brasileiras reflete uma desigualdade latente do país, em Natal não seria diferente. Normalmente, os problemas sociais e ambientais atingem a população mais vulnerável. Nesse viés, de acordo com “A RMN é um espaço de vida urbana e rural marcado pela desigualdade de oportunidades, </w:t>
      </w:r>
      <w:r>
        <w:rPr>
          <w:rFonts w:eastAsia="Times New Roman" w:cs="Times New Roman"/>
          <w:szCs w:val="24"/>
        </w:rPr>
        <w:lastRenderedPageBreak/>
        <w:t>diferenciais de renda e infraestrutura e baixa articulação governativa” (CLEMENTINO, 2019).</w:t>
      </w:r>
    </w:p>
    <w:p w14:paraId="46B21C94" w14:textId="77777777" w:rsidR="00557591" w:rsidRPr="00392CE5" w:rsidRDefault="00557591" w:rsidP="00DA6102">
      <w:pPr>
        <w:pStyle w:val="Citao"/>
      </w:pPr>
      <w:r w:rsidRPr="00392CE5">
        <w:t>Portanto, reformar o capitalismo é um desiderato da reforma das nossas cidades, mas ao mesmo tempo reformar as nossas cidades é um caminho estratégico para reformar a natureza antinacional, antissocial e antidemocrática que caracteriza o atual padrão de acumu</w:t>
      </w:r>
      <w:r w:rsidR="00873F09">
        <w:t xml:space="preserve">lação do capitalismo brasileiro </w:t>
      </w:r>
      <w:r w:rsidRPr="00392CE5">
        <w:t>(</w:t>
      </w:r>
      <w:r w:rsidR="00CD1547">
        <w:t xml:space="preserve">CLEMENTINO, 2019, </w:t>
      </w:r>
      <w:r w:rsidRPr="00392CE5">
        <w:t xml:space="preserve">p.12). </w:t>
      </w:r>
    </w:p>
    <w:p w14:paraId="0DC4DA7C" w14:textId="77777777" w:rsidR="00557591" w:rsidRDefault="00557591" w:rsidP="00557591">
      <w:pPr>
        <w:rPr>
          <w:b/>
        </w:rPr>
      </w:pPr>
      <w:r>
        <w:rPr>
          <w:b/>
        </w:rPr>
        <w:t>2.2. C</w:t>
      </w:r>
      <w:r w:rsidRPr="00557591">
        <w:rPr>
          <w:b/>
        </w:rPr>
        <w:t>otejo com o plano diretor</w:t>
      </w:r>
    </w:p>
    <w:p w14:paraId="53FE82EA" w14:textId="155A247F" w:rsidR="00557591" w:rsidRDefault="00557591" w:rsidP="00557591">
      <w:pPr>
        <w:ind w:firstLine="720"/>
        <w:rPr>
          <w:rFonts w:eastAsia="Times New Roman" w:cs="Times New Roman"/>
          <w:szCs w:val="24"/>
        </w:rPr>
      </w:pPr>
      <w:r>
        <w:rPr>
          <w:rFonts w:eastAsia="Times New Roman" w:cs="Times New Roman"/>
          <w:szCs w:val="24"/>
        </w:rPr>
        <w:t xml:space="preserve">O Plano Diretor de Natal, Lei Complementar nº 208, de 07 de março de </w:t>
      </w:r>
      <w:r w:rsidR="00DA6102">
        <w:rPr>
          <w:rFonts w:eastAsia="Times New Roman" w:cs="Times New Roman"/>
          <w:szCs w:val="24"/>
        </w:rPr>
        <w:t>2022, dispõe</w:t>
      </w:r>
      <w:r>
        <w:rPr>
          <w:rFonts w:eastAsia="Times New Roman" w:cs="Times New Roman"/>
          <w:szCs w:val="24"/>
        </w:rPr>
        <w:t xml:space="preserve"> em seu art. 95 o Direito de Preempção para aquisição de imóvel urbano que seja objeto de alienação onerosa de particulares. Nesse viés, os </w:t>
      </w:r>
      <w:proofErr w:type="spellStart"/>
      <w:r>
        <w:rPr>
          <w:rFonts w:eastAsia="Times New Roman" w:cs="Times New Roman"/>
          <w:szCs w:val="24"/>
        </w:rPr>
        <w:t>arts</w:t>
      </w:r>
      <w:proofErr w:type="spellEnd"/>
      <w:r>
        <w:rPr>
          <w:rFonts w:eastAsia="Times New Roman" w:cs="Times New Roman"/>
          <w:szCs w:val="24"/>
        </w:rPr>
        <w:t xml:space="preserve">. 96 a 100 reforçam o procedimento disposto no Estatuto da Cidade, qual seja: comunicação do interesse de venda ao Município, pelo alienante; resposta do ente público em até 30 dias; bem como, publicação em diário oficial ou jornal de grande circulação sobre o interesse na compra do imóvel. </w:t>
      </w:r>
    </w:p>
    <w:p w14:paraId="65F129DD" w14:textId="77777777" w:rsidR="00557591" w:rsidRDefault="00557591" w:rsidP="00557591">
      <w:pPr>
        <w:ind w:firstLine="720"/>
        <w:rPr>
          <w:rFonts w:eastAsia="Times New Roman" w:cs="Times New Roman"/>
          <w:szCs w:val="24"/>
        </w:rPr>
      </w:pPr>
      <w:r>
        <w:rPr>
          <w:rFonts w:eastAsia="Times New Roman" w:cs="Times New Roman"/>
          <w:szCs w:val="24"/>
        </w:rPr>
        <w:t>Porém, a legislação em vigor ainda delimita que o proprietário de imóvel deverá, necessariamente, fazer uma “carta de intenção”, informando ao Município “sua intenção de alienar seu imóvel, por meio de carta de intenção devidamente protocolada no órgão municipal de planejamento urbano e meio ambiente” (art. 99, caput). Ademais, tal carta deverá conter:</w:t>
      </w:r>
    </w:p>
    <w:p w14:paraId="7FB366EC" w14:textId="77777777" w:rsidR="00557591" w:rsidRPr="00D05FBD" w:rsidRDefault="00557591" w:rsidP="00C002E7">
      <w:pPr>
        <w:spacing w:line="240" w:lineRule="auto"/>
        <w:ind w:left="2268"/>
        <w:rPr>
          <w:rFonts w:eastAsia="Times New Roman" w:cs="Times New Roman"/>
          <w:sz w:val="22"/>
          <w:szCs w:val="20"/>
        </w:rPr>
      </w:pPr>
      <w:r w:rsidRPr="00D05FBD">
        <w:rPr>
          <w:rFonts w:eastAsia="Times New Roman" w:cs="Times New Roman"/>
          <w:sz w:val="22"/>
          <w:szCs w:val="20"/>
        </w:rPr>
        <w:t>Art. 99.</w:t>
      </w:r>
    </w:p>
    <w:p w14:paraId="2080796D" w14:textId="77777777" w:rsidR="00557591" w:rsidRPr="00D05FBD" w:rsidRDefault="00557591" w:rsidP="00D05FBD">
      <w:pPr>
        <w:spacing w:line="240" w:lineRule="auto"/>
        <w:ind w:left="2267"/>
        <w:rPr>
          <w:rFonts w:eastAsia="Times New Roman" w:cs="Times New Roman"/>
          <w:sz w:val="22"/>
          <w:szCs w:val="20"/>
        </w:rPr>
      </w:pPr>
      <w:r w:rsidRPr="00D05FBD">
        <w:rPr>
          <w:rFonts w:eastAsia="Times New Roman" w:cs="Times New Roman"/>
          <w:sz w:val="22"/>
          <w:szCs w:val="20"/>
        </w:rPr>
        <w:t xml:space="preserve">§ 3º A carta de intenção tratada no caput deste Artigo deverá conter, no mínimo: </w:t>
      </w:r>
    </w:p>
    <w:p w14:paraId="7BBF10A7" w14:textId="77777777" w:rsidR="00557591" w:rsidRPr="00D05FBD" w:rsidRDefault="00557591" w:rsidP="00D05FBD">
      <w:pPr>
        <w:spacing w:line="240" w:lineRule="auto"/>
        <w:ind w:left="2267"/>
        <w:rPr>
          <w:rFonts w:eastAsia="Times New Roman" w:cs="Times New Roman"/>
          <w:sz w:val="22"/>
          <w:szCs w:val="20"/>
        </w:rPr>
      </w:pPr>
      <w:r w:rsidRPr="00D05FBD">
        <w:rPr>
          <w:rFonts w:eastAsia="Times New Roman" w:cs="Times New Roman"/>
          <w:sz w:val="22"/>
          <w:szCs w:val="20"/>
        </w:rPr>
        <w:t xml:space="preserve">I – endereço residencial do proprietário e endereço do imóvel objeto de alienação; </w:t>
      </w:r>
    </w:p>
    <w:p w14:paraId="6BEED080" w14:textId="77777777" w:rsidR="00557591" w:rsidRPr="00D05FBD" w:rsidRDefault="00557591" w:rsidP="00D05FBD">
      <w:pPr>
        <w:spacing w:line="240" w:lineRule="auto"/>
        <w:ind w:left="2267"/>
        <w:rPr>
          <w:rFonts w:eastAsia="Times New Roman" w:cs="Times New Roman"/>
          <w:sz w:val="22"/>
          <w:szCs w:val="20"/>
        </w:rPr>
      </w:pPr>
      <w:r w:rsidRPr="00D05FBD">
        <w:rPr>
          <w:rFonts w:eastAsia="Times New Roman" w:cs="Times New Roman"/>
          <w:sz w:val="22"/>
          <w:szCs w:val="20"/>
        </w:rPr>
        <w:t xml:space="preserve">II – cópia autenticada da certidão do Registro Imobiliário que comprove o domínio do imóvel; III – preço da alienação e condições de pagamento; </w:t>
      </w:r>
    </w:p>
    <w:p w14:paraId="43C1A5D4" w14:textId="77777777" w:rsidR="00557591" w:rsidRPr="00D05FBD" w:rsidRDefault="00557591" w:rsidP="00D05FBD">
      <w:pPr>
        <w:spacing w:line="240" w:lineRule="auto"/>
        <w:ind w:left="2267"/>
        <w:rPr>
          <w:rFonts w:eastAsia="Times New Roman" w:cs="Times New Roman"/>
          <w:sz w:val="22"/>
          <w:szCs w:val="20"/>
        </w:rPr>
      </w:pPr>
      <w:r w:rsidRPr="00D05FBD">
        <w:rPr>
          <w:rFonts w:eastAsia="Times New Roman" w:cs="Times New Roman"/>
          <w:sz w:val="22"/>
          <w:szCs w:val="20"/>
        </w:rPr>
        <w:t xml:space="preserve">IV – preço da alienação e condições de pagamento de terceiros interessados se for o caso. </w:t>
      </w:r>
    </w:p>
    <w:p w14:paraId="77037C12" w14:textId="77777777" w:rsidR="00557591" w:rsidRPr="00D05FBD" w:rsidRDefault="00557591" w:rsidP="00D05FBD">
      <w:pPr>
        <w:spacing w:line="240" w:lineRule="auto"/>
        <w:ind w:left="2267"/>
        <w:rPr>
          <w:rFonts w:eastAsia="Times New Roman" w:cs="Times New Roman"/>
          <w:sz w:val="22"/>
          <w:szCs w:val="20"/>
        </w:rPr>
      </w:pPr>
      <w:r w:rsidRPr="00D05FBD">
        <w:rPr>
          <w:rFonts w:eastAsia="Times New Roman" w:cs="Times New Roman"/>
          <w:sz w:val="22"/>
          <w:szCs w:val="20"/>
        </w:rPr>
        <w:t xml:space="preserve">§ 4º Deverão ser juntadas à carta de intenção tratada neste Artigo, as certidões negativas de débitos federal, estadual e municipal, incidentes sobre o imóvel. </w:t>
      </w:r>
    </w:p>
    <w:p w14:paraId="5BBBB85F" w14:textId="77777777" w:rsidR="00557591" w:rsidRPr="00D05FBD" w:rsidRDefault="00557591" w:rsidP="00D05FBD">
      <w:pPr>
        <w:spacing w:line="240" w:lineRule="auto"/>
        <w:ind w:left="2267"/>
        <w:rPr>
          <w:rFonts w:eastAsia="Times New Roman" w:cs="Times New Roman"/>
          <w:sz w:val="22"/>
          <w:szCs w:val="20"/>
        </w:rPr>
      </w:pPr>
      <w:r w:rsidRPr="00D05FBD">
        <w:rPr>
          <w:rFonts w:eastAsia="Times New Roman" w:cs="Times New Roman"/>
          <w:sz w:val="22"/>
          <w:szCs w:val="20"/>
        </w:rPr>
        <w:t xml:space="preserve">§ 5º Na impossibilidade de atendimento total ou parcial da exigência contida no § 4º deste artigo, o proprietário deverá apresentar alternativa de preço que considere o débito existente sobre o imóvel, que deve ser assumido às suas custas, assim como o ônus de sua regularização. </w:t>
      </w:r>
    </w:p>
    <w:p w14:paraId="4B9CFBD6" w14:textId="77777777" w:rsidR="00557591" w:rsidRDefault="00557591" w:rsidP="00557591">
      <w:pPr>
        <w:ind w:firstLine="720"/>
        <w:rPr>
          <w:rFonts w:eastAsia="Times New Roman" w:cs="Times New Roman"/>
          <w:szCs w:val="24"/>
        </w:rPr>
      </w:pPr>
    </w:p>
    <w:p w14:paraId="60762D16" w14:textId="77777777" w:rsidR="00557591" w:rsidRDefault="00557591" w:rsidP="00557591">
      <w:pPr>
        <w:ind w:firstLine="720"/>
        <w:rPr>
          <w:rFonts w:eastAsia="Times New Roman" w:cs="Times New Roman"/>
          <w:szCs w:val="24"/>
        </w:rPr>
      </w:pPr>
      <w:r>
        <w:rPr>
          <w:rFonts w:eastAsia="Times New Roman" w:cs="Times New Roman"/>
          <w:szCs w:val="24"/>
        </w:rPr>
        <w:lastRenderedPageBreak/>
        <w:t xml:space="preserve">Ademais, tal lei estabelece que os imóveis que incidirão esse direito deverão ser identificados e estabelecidos pelo Poder Público no prazo máximo de 5 (cinco) anos, contados da data de entrada em vigor desta Lei (art. 96, § 1°). </w:t>
      </w:r>
    </w:p>
    <w:p w14:paraId="30AC97DC" w14:textId="77777777" w:rsidR="00557591" w:rsidRDefault="00557591" w:rsidP="00557591">
      <w:pPr>
        <w:ind w:firstLine="720"/>
        <w:rPr>
          <w:rFonts w:eastAsia="Times New Roman" w:cs="Times New Roman"/>
          <w:szCs w:val="24"/>
        </w:rPr>
      </w:pPr>
      <w:r>
        <w:rPr>
          <w:rFonts w:eastAsia="Times New Roman" w:cs="Times New Roman"/>
          <w:szCs w:val="24"/>
        </w:rPr>
        <w:t>Conforme o art. 96, § 2° Ficam desde já declarados como possíveis de aplicação do direito de preempção os imóveis localizados nas áreas não edificáveis.</w:t>
      </w:r>
    </w:p>
    <w:p w14:paraId="684A97DB" w14:textId="77777777" w:rsidR="00557591" w:rsidRDefault="00557591" w:rsidP="00557591">
      <w:pPr>
        <w:ind w:firstLine="720"/>
        <w:rPr>
          <w:rFonts w:eastAsia="Times New Roman" w:cs="Times New Roman"/>
          <w:szCs w:val="24"/>
        </w:rPr>
      </w:pPr>
      <w:r>
        <w:rPr>
          <w:rFonts w:eastAsia="Times New Roman" w:cs="Times New Roman"/>
          <w:szCs w:val="24"/>
        </w:rPr>
        <w:t xml:space="preserve">Outro ponto a se considerar é a destinação e o uso dos imóveis adquiridos pela preempção, que, de forma similar ao </w:t>
      </w:r>
      <w:r w:rsidR="00806E63">
        <w:rPr>
          <w:rFonts w:eastAsia="Times New Roman" w:cs="Times New Roman"/>
          <w:szCs w:val="24"/>
        </w:rPr>
        <w:t>Estatuto da Cidade, compreende:</w:t>
      </w:r>
    </w:p>
    <w:p w14:paraId="5FC1C17C" w14:textId="77777777" w:rsidR="00557591" w:rsidRPr="00D05FBD" w:rsidRDefault="00557591" w:rsidP="005E48CA">
      <w:pPr>
        <w:spacing w:line="240" w:lineRule="auto"/>
        <w:ind w:left="2267"/>
        <w:rPr>
          <w:rFonts w:eastAsia="Times New Roman" w:cs="Times New Roman"/>
          <w:sz w:val="22"/>
          <w:szCs w:val="20"/>
        </w:rPr>
      </w:pPr>
      <w:r w:rsidRPr="00D05FBD">
        <w:rPr>
          <w:rFonts w:eastAsia="Times New Roman" w:cs="Times New Roman"/>
          <w:sz w:val="22"/>
          <w:szCs w:val="20"/>
        </w:rPr>
        <w:t>Art. 97. Os imóveis adquiridos pelo Poder Público em decorrência da aplicação do direito de preempção serão utilizados para os</w:t>
      </w:r>
      <w:r w:rsidR="005E48CA">
        <w:rPr>
          <w:rFonts w:eastAsia="Times New Roman" w:cs="Times New Roman"/>
          <w:sz w:val="22"/>
          <w:szCs w:val="20"/>
        </w:rPr>
        <w:t xml:space="preserve"> seguintes usos e destinações: </w:t>
      </w:r>
    </w:p>
    <w:p w14:paraId="27288AD7" w14:textId="77777777" w:rsidR="00557591" w:rsidRPr="00D05FBD" w:rsidRDefault="00557591" w:rsidP="00557591">
      <w:pPr>
        <w:spacing w:line="240" w:lineRule="auto"/>
        <w:ind w:left="2267"/>
        <w:rPr>
          <w:rFonts w:eastAsia="Times New Roman" w:cs="Times New Roman"/>
          <w:sz w:val="22"/>
          <w:szCs w:val="20"/>
        </w:rPr>
      </w:pPr>
      <w:r w:rsidRPr="00D05FBD">
        <w:rPr>
          <w:rFonts w:eastAsia="Times New Roman" w:cs="Times New Roman"/>
          <w:sz w:val="22"/>
          <w:szCs w:val="20"/>
        </w:rPr>
        <w:t>I – desenvolvimento de programas de regularização fundiária e urbanística;</w:t>
      </w:r>
    </w:p>
    <w:p w14:paraId="596316F2" w14:textId="77777777" w:rsidR="00557591" w:rsidRPr="00D05FBD" w:rsidRDefault="00557591" w:rsidP="00557591">
      <w:pPr>
        <w:spacing w:line="240" w:lineRule="auto"/>
        <w:ind w:left="2267"/>
        <w:rPr>
          <w:rFonts w:eastAsia="Times New Roman" w:cs="Times New Roman"/>
          <w:sz w:val="22"/>
          <w:szCs w:val="20"/>
        </w:rPr>
      </w:pPr>
      <w:r w:rsidRPr="00D05FBD">
        <w:rPr>
          <w:rFonts w:eastAsia="Times New Roman" w:cs="Times New Roman"/>
          <w:sz w:val="22"/>
          <w:szCs w:val="20"/>
        </w:rPr>
        <w:t>II – execução de Programas e Projetos Habitacionais de Interesse Social;</w:t>
      </w:r>
    </w:p>
    <w:p w14:paraId="49742EA2" w14:textId="77777777" w:rsidR="00557591" w:rsidRPr="00D05FBD" w:rsidRDefault="00557591" w:rsidP="00557591">
      <w:pPr>
        <w:spacing w:line="240" w:lineRule="auto"/>
        <w:ind w:left="2267"/>
        <w:rPr>
          <w:rFonts w:eastAsia="Times New Roman" w:cs="Times New Roman"/>
          <w:sz w:val="22"/>
          <w:szCs w:val="20"/>
        </w:rPr>
      </w:pPr>
      <w:r w:rsidRPr="00D05FBD">
        <w:rPr>
          <w:rFonts w:eastAsia="Times New Roman" w:cs="Times New Roman"/>
          <w:sz w:val="22"/>
          <w:szCs w:val="20"/>
        </w:rPr>
        <w:t xml:space="preserve">III – constituição de reserva fundiária; </w:t>
      </w:r>
    </w:p>
    <w:p w14:paraId="092DEC33" w14:textId="77777777" w:rsidR="00557591" w:rsidRPr="00D05FBD" w:rsidRDefault="00557591" w:rsidP="00557591">
      <w:pPr>
        <w:spacing w:line="240" w:lineRule="auto"/>
        <w:ind w:left="2267"/>
        <w:rPr>
          <w:rFonts w:eastAsia="Times New Roman" w:cs="Times New Roman"/>
          <w:sz w:val="22"/>
          <w:szCs w:val="20"/>
        </w:rPr>
      </w:pPr>
      <w:r w:rsidRPr="00D05FBD">
        <w:rPr>
          <w:rFonts w:eastAsia="Times New Roman" w:cs="Times New Roman"/>
          <w:sz w:val="22"/>
          <w:szCs w:val="20"/>
        </w:rPr>
        <w:t xml:space="preserve">IV – reestruturação viária, ordenamento e direcionamento da expansão urbana; </w:t>
      </w:r>
    </w:p>
    <w:p w14:paraId="41CB10DB" w14:textId="77777777" w:rsidR="00557591" w:rsidRPr="00D05FBD" w:rsidRDefault="00557591" w:rsidP="00557591">
      <w:pPr>
        <w:spacing w:line="240" w:lineRule="auto"/>
        <w:ind w:left="2267"/>
        <w:rPr>
          <w:rFonts w:eastAsia="Times New Roman" w:cs="Times New Roman"/>
          <w:sz w:val="22"/>
          <w:szCs w:val="20"/>
        </w:rPr>
      </w:pPr>
      <w:r w:rsidRPr="00D05FBD">
        <w:rPr>
          <w:rFonts w:eastAsia="Times New Roman" w:cs="Times New Roman"/>
          <w:sz w:val="22"/>
          <w:szCs w:val="20"/>
        </w:rPr>
        <w:t xml:space="preserve">V – implantação de equipamentos urbanos e comunitários; </w:t>
      </w:r>
    </w:p>
    <w:p w14:paraId="26528178" w14:textId="77777777" w:rsidR="00557591" w:rsidRPr="00D05FBD" w:rsidRDefault="00557591" w:rsidP="00557591">
      <w:pPr>
        <w:spacing w:line="240" w:lineRule="auto"/>
        <w:ind w:left="2267"/>
        <w:rPr>
          <w:rFonts w:eastAsia="Times New Roman" w:cs="Times New Roman"/>
          <w:sz w:val="22"/>
          <w:szCs w:val="20"/>
        </w:rPr>
      </w:pPr>
      <w:r w:rsidRPr="00D05FBD">
        <w:rPr>
          <w:rFonts w:eastAsia="Times New Roman" w:cs="Times New Roman"/>
          <w:sz w:val="22"/>
          <w:szCs w:val="20"/>
        </w:rPr>
        <w:t xml:space="preserve">VI – criação de espaços livres públicos de lazer e áreas verdes; </w:t>
      </w:r>
    </w:p>
    <w:p w14:paraId="463D9F40" w14:textId="77777777" w:rsidR="00557591" w:rsidRPr="00D05FBD" w:rsidRDefault="00557591" w:rsidP="00557591">
      <w:pPr>
        <w:spacing w:line="240" w:lineRule="auto"/>
        <w:ind w:left="2267"/>
        <w:rPr>
          <w:rFonts w:eastAsia="Times New Roman" w:cs="Times New Roman"/>
          <w:sz w:val="22"/>
          <w:szCs w:val="20"/>
        </w:rPr>
      </w:pPr>
      <w:r w:rsidRPr="00D05FBD">
        <w:rPr>
          <w:rFonts w:eastAsia="Times New Roman" w:cs="Times New Roman"/>
          <w:sz w:val="22"/>
          <w:szCs w:val="20"/>
        </w:rPr>
        <w:t xml:space="preserve">VII– criação de unidades de conservação ou proteção de áreas de interesse ambiental; </w:t>
      </w:r>
    </w:p>
    <w:p w14:paraId="45133F1A" w14:textId="77777777" w:rsidR="00557591" w:rsidRPr="00D05FBD" w:rsidRDefault="00557591" w:rsidP="00557591">
      <w:pPr>
        <w:spacing w:line="240" w:lineRule="auto"/>
        <w:ind w:left="2267"/>
        <w:rPr>
          <w:rFonts w:eastAsia="Times New Roman" w:cs="Times New Roman"/>
          <w:sz w:val="22"/>
          <w:szCs w:val="20"/>
        </w:rPr>
      </w:pPr>
      <w:r w:rsidRPr="00D05FBD">
        <w:rPr>
          <w:rFonts w:eastAsia="Times New Roman" w:cs="Times New Roman"/>
          <w:sz w:val="22"/>
          <w:szCs w:val="20"/>
        </w:rPr>
        <w:t xml:space="preserve">VIII – proteção de áreas de interesse histórico, cultural e paisagístico; </w:t>
      </w:r>
    </w:p>
    <w:p w14:paraId="0E68B505" w14:textId="77777777" w:rsidR="00557591" w:rsidRPr="00D05FBD" w:rsidRDefault="00557591" w:rsidP="00557591">
      <w:pPr>
        <w:spacing w:line="240" w:lineRule="auto"/>
        <w:ind w:left="2267"/>
        <w:rPr>
          <w:rFonts w:eastAsia="Times New Roman" w:cs="Times New Roman"/>
          <w:sz w:val="22"/>
          <w:szCs w:val="20"/>
        </w:rPr>
      </w:pPr>
      <w:r w:rsidRPr="00D05FBD">
        <w:rPr>
          <w:rFonts w:eastAsia="Times New Roman" w:cs="Times New Roman"/>
          <w:sz w:val="22"/>
          <w:szCs w:val="20"/>
        </w:rPr>
        <w:t xml:space="preserve">IX– implantação de equipamentos ou instalações de infraestrutura; </w:t>
      </w:r>
    </w:p>
    <w:p w14:paraId="61F53BDC" w14:textId="77777777" w:rsidR="00557591" w:rsidRPr="00D05FBD" w:rsidRDefault="00557591" w:rsidP="00DA6102">
      <w:pPr>
        <w:spacing w:after="240" w:line="240" w:lineRule="auto"/>
        <w:ind w:left="2267"/>
        <w:rPr>
          <w:rFonts w:eastAsia="Times New Roman" w:cs="Times New Roman"/>
          <w:sz w:val="22"/>
          <w:szCs w:val="20"/>
        </w:rPr>
      </w:pPr>
      <w:r w:rsidRPr="00D05FBD">
        <w:rPr>
          <w:rFonts w:eastAsia="Times New Roman" w:cs="Times New Roman"/>
          <w:sz w:val="22"/>
          <w:szCs w:val="20"/>
        </w:rPr>
        <w:t xml:space="preserve">X – atendimento de demandas provenientes das secretarias municipais. </w:t>
      </w:r>
    </w:p>
    <w:p w14:paraId="43B2C1B8" w14:textId="77777777" w:rsidR="00557591" w:rsidRDefault="00557591" w:rsidP="00557591">
      <w:pPr>
        <w:ind w:firstLine="720"/>
        <w:rPr>
          <w:rFonts w:eastAsia="Times New Roman" w:cs="Times New Roman"/>
          <w:szCs w:val="24"/>
        </w:rPr>
      </w:pPr>
      <w:r>
        <w:rPr>
          <w:rFonts w:eastAsia="Times New Roman" w:cs="Times New Roman"/>
          <w:szCs w:val="24"/>
        </w:rPr>
        <w:t>A posteriori, o Direito de Preempção, em consonância com o Plano Diretor de Natal/RN, deve ser aplicado nas seguintes áreas:</w:t>
      </w:r>
    </w:p>
    <w:p w14:paraId="15E32533" w14:textId="77777777" w:rsidR="00557591" w:rsidRPr="00D05FBD" w:rsidRDefault="00557591" w:rsidP="00557591">
      <w:pPr>
        <w:spacing w:line="240" w:lineRule="auto"/>
        <w:ind w:left="2267"/>
        <w:rPr>
          <w:rFonts w:eastAsia="Times New Roman" w:cs="Times New Roman"/>
          <w:sz w:val="22"/>
          <w:szCs w:val="20"/>
        </w:rPr>
      </w:pPr>
      <w:r w:rsidRPr="00D05FBD">
        <w:rPr>
          <w:rFonts w:eastAsia="Times New Roman" w:cs="Times New Roman"/>
          <w:sz w:val="22"/>
          <w:szCs w:val="20"/>
        </w:rPr>
        <w:t>Art. 98. São passíveis da aplicação do direito de preempção todos os imóveis, edificados ou não, localizados nas seguintes áreas, e identificados por meio de cadastro a ser elaborado pelo órgão municipal de planejamento urbano e meio ambiente:</w:t>
      </w:r>
    </w:p>
    <w:p w14:paraId="4616D7FD" w14:textId="77777777" w:rsidR="00557591" w:rsidRPr="00D05FBD" w:rsidRDefault="00557591" w:rsidP="00557591">
      <w:pPr>
        <w:spacing w:line="240" w:lineRule="auto"/>
        <w:ind w:left="2267"/>
        <w:rPr>
          <w:rFonts w:eastAsia="Times New Roman" w:cs="Times New Roman"/>
          <w:sz w:val="22"/>
          <w:szCs w:val="20"/>
        </w:rPr>
      </w:pPr>
      <w:r w:rsidRPr="00D05FBD">
        <w:rPr>
          <w:rFonts w:eastAsia="Times New Roman" w:cs="Times New Roman"/>
          <w:sz w:val="22"/>
          <w:szCs w:val="20"/>
        </w:rPr>
        <w:t xml:space="preserve">I – Zona de Proteção Ambiental, especialmente nas subzonas de preservação e conservação nas Zonas já regulamentadas identificadas no Mapa 3 do Anexo III, assim como nas que vierem a ser regulamentadas e estabelecidas pelo Poder Público; </w:t>
      </w:r>
    </w:p>
    <w:p w14:paraId="7568E32B" w14:textId="77777777" w:rsidR="00557591" w:rsidRPr="00D05FBD" w:rsidRDefault="00557591" w:rsidP="00557591">
      <w:pPr>
        <w:spacing w:line="240" w:lineRule="auto"/>
        <w:ind w:left="2267"/>
        <w:rPr>
          <w:rFonts w:eastAsia="Times New Roman" w:cs="Times New Roman"/>
          <w:sz w:val="22"/>
          <w:szCs w:val="20"/>
        </w:rPr>
      </w:pPr>
      <w:r w:rsidRPr="00D05FBD">
        <w:rPr>
          <w:rFonts w:eastAsia="Times New Roman" w:cs="Times New Roman"/>
          <w:sz w:val="22"/>
          <w:szCs w:val="20"/>
        </w:rPr>
        <w:t xml:space="preserve">II – Áreas Especiais de Interesse Social, delimitadas no Mapa 4 do Anexo III; </w:t>
      </w:r>
    </w:p>
    <w:p w14:paraId="53DFD5CA" w14:textId="77777777" w:rsidR="00557591" w:rsidRPr="00D05FBD" w:rsidRDefault="00557591" w:rsidP="00557591">
      <w:pPr>
        <w:spacing w:line="240" w:lineRule="auto"/>
        <w:ind w:left="2267"/>
        <w:rPr>
          <w:rFonts w:eastAsia="Times New Roman" w:cs="Times New Roman"/>
          <w:sz w:val="22"/>
          <w:szCs w:val="20"/>
        </w:rPr>
      </w:pPr>
      <w:r w:rsidRPr="00D05FBD">
        <w:rPr>
          <w:rFonts w:eastAsia="Times New Roman" w:cs="Times New Roman"/>
          <w:sz w:val="22"/>
          <w:szCs w:val="20"/>
        </w:rPr>
        <w:t xml:space="preserve">III – Área Especial de Preservação Cultural, delimitada no Mapa 6 do Anexo III; </w:t>
      </w:r>
    </w:p>
    <w:p w14:paraId="4D19993F" w14:textId="77777777" w:rsidR="00557591" w:rsidRDefault="00557591" w:rsidP="00557591">
      <w:pPr>
        <w:spacing w:line="240" w:lineRule="auto"/>
        <w:ind w:left="2267"/>
        <w:rPr>
          <w:rFonts w:eastAsia="Times New Roman" w:cs="Times New Roman"/>
          <w:sz w:val="20"/>
          <w:szCs w:val="20"/>
        </w:rPr>
      </w:pPr>
      <w:r w:rsidRPr="00D05FBD">
        <w:rPr>
          <w:rFonts w:eastAsia="Times New Roman" w:cs="Times New Roman"/>
          <w:sz w:val="22"/>
          <w:szCs w:val="20"/>
        </w:rPr>
        <w:t>IV – demais áreas, glebas ou imóveis do Município, identificados nos planos urbanísticos das Operações Urbanas Consorciadas – OUC – ou nos Planos Setoriais, quando considerados necessários ao Poder Público, conforme previsão contida no plano a que se referem os incisos I ao V do Art. 117, desta Lei.</w:t>
      </w:r>
    </w:p>
    <w:p w14:paraId="6A18F12F" w14:textId="77777777" w:rsidR="00E94ADF" w:rsidRDefault="00E94ADF" w:rsidP="00F23FB5">
      <w:pPr>
        <w:rPr>
          <w:rFonts w:eastAsia="Times New Roman" w:cs="Times New Roman"/>
          <w:szCs w:val="24"/>
        </w:rPr>
      </w:pPr>
    </w:p>
    <w:p w14:paraId="59E9761C" w14:textId="77777777" w:rsidR="00940BE2" w:rsidRDefault="00557591" w:rsidP="00557591">
      <w:pPr>
        <w:ind w:firstLine="720"/>
        <w:rPr>
          <w:rFonts w:eastAsia="Times New Roman" w:cs="Times New Roman"/>
          <w:szCs w:val="24"/>
        </w:rPr>
      </w:pPr>
      <w:r>
        <w:rPr>
          <w:rFonts w:eastAsia="Times New Roman" w:cs="Times New Roman"/>
          <w:szCs w:val="24"/>
        </w:rPr>
        <w:lastRenderedPageBreak/>
        <w:t>Conforme o art. 37, inciso VIII, do Plano Diretor do município de Natal/RN, será aplicada o Direito de Preempção Áreas Especiais de interesse Social - AEIS 1. Contudo, ta</w:t>
      </w:r>
      <w:r w:rsidR="00940BE2">
        <w:rPr>
          <w:rFonts w:eastAsia="Times New Roman" w:cs="Times New Roman"/>
          <w:szCs w:val="24"/>
        </w:rPr>
        <w:t>is áreas não foram delimitadas</w:t>
      </w:r>
      <w:r>
        <w:rPr>
          <w:rFonts w:eastAsia="Times New Roman" w:cs="Times New Roman"/>
          <w:szCs w:val="24"/>
        </w:rPr>
        <w:t xml:space="preserve"> na lei em questão. Desse modo, em </w:t>
      </w:r>
      <w:r w:rsidR="00E94ADF">
        <w:rPr>
          <w:rFonts w:eastAsia="Times New Roman" w:cs="Times New Roman"/>
          <w:szCs w:val="24"/>
        </w:rPr>
        <w:t>estudo acerca</w:t>
      </w:r>
      <w:r>
        <w:rPr>
          <w:rFonts w:eastAsia="Times New Roman" w:cs="Times New Roman"/>
          <w:szCs w:val="24"/>
        </w:rPr>
        <w:t xml:space="preserve"> da descrição das AEIS em Natal, foi encontrada a Lei nº 4.663, de 31 de julho de 1995, que dispõe sobre o uso do solo, limites e prescrições urbanísticas da Área Especial de Interesse Social - AEIS, no bairro de Mãe Luiza. Nesta normativa, </w:t>
      </w:r>
      <w:r w:rsidR="00E94ADF">
        <w:rPr>
          <w:rFonts w:eastAsia="Times New Roman" w:cs="Times New Roman"/>
          <w:szCs w:val="24"/>
        </w:rPr>
        <w:t>conceituam-se</w:t>
      </w:r>
      <w:r>
        <w:rPr>
          <w:rFonts w:eastAsia="Times New Roman" w:cs="Times New Roman"/>
          <w:szCs w:val="24"/>
        </w:rPr>
        <w:t xml:space="preserve"> Áreas Especiais como “porções da zona urbana situadas em zonas adensáveis ou não, com destinação específica ou normas próprias de uso e ocupação do solo, compreendendo, entre outras, a Área Especial de Interesse Social” (art. 1º). </w:t>
      </w:r>
    </w:p>
    <w:p w14:paraId="6C64E86F" w14:textId="77777777" w:rsidR="00557591" w:rsidRDefault="00557591" w:rsidP="00557591">
      <w:pPr>
        <w:ind w:firstLine="720"/>
        <w:rPr>
          <w:rFonts w:eastAsia="Times New Roman" w:cs="Times New Roman"/>
          <w:szCs w:val="24"/>
        </w:rPr>
      </w:pPr>
      <w:r>
        <w:rPr>
          <w:rFonts w:eastAsia="Times New Roman" w:cs="Times New Roman"/>
          <w:szCs w:val="24"/>
        </w:rPr>
        <w:t>Por sua vez, a Áreas Especiais de Interesse Social são definidas como áreas que se destinam a “produção, manutenção e recuperação de habitações de interesse social”, compreendendo:</w:t>
      </w:r>
    </w:p>
    <w:p w14:paraId="0D4AD09B" w14:textId="77777777" w:rsidR="00557591" w:rsidRPr="00D05FBD" w:rsidRDefault="00557591" w:rsidP="00557591">
      <w:pPr>
        <w:spacing w:line="240" w:lineRule="auto"/>
        <w:ind w:left="2267"/>
        <w:rPr>
          <w:rFonts w:eastAsia="Times New Roman" w:cs="Times New Roman"/>
          <w:sz w:val="22"/>
          <w:szCs w:val="20"/>
        </w:rPr>
      </w:pPr>
      <w:r w:rsidRPr="00D05FBD">
        <w:rPr>
          <w:rFonts w:eastAsia="Times New Roman" w:cs="Times New Roman"/>
          <w:sz w:val="22"/>
          <w:szCs w:val="20"/>
        </w:rPr>
        <w:t>Art. 2º. [...]</w:t>
      </w:r>
    </w:p>
    <w:p w14:paraId="0A31715A" w14:textId="77777777" w:rsidR="00557591" w:rsidRPr="00D05FBD" w:rsidRDefault="00557591" w:rsidP="00557591">
      <w:pPr>
        <w:spacing w:line="240" w:lineRule="auto"/>
        <w:ind w:left="2267"/>
        <w:rPr>
          <w:rFonts w:eastAsia="Times New Roman" w:cs="Times New Roman"/>
          <w:sz w:val="22"/>
          <w:szCs w:val="20"/>
        </w:rPr>
      </w:pPr>
      <w:r w:rsidRPr="00D05FBD">
        <w:rPr>
          <w:rFonts w:eastAsia="Times New Roman" w:cs="Times New Roman"/>
          <w:sz w:val="22"/>
          <w:szCs w:val="20"/>
        </w:rPr>
        <w:t>I- terrenos públicos ou particulares ocupados por favelas, vilas ou loteamentos irregulares, desde que</w:t>
      </w:r>
      <w:r w:rsidR="00940BE2" w:rsidRPr="00D05FBD">
        <w:rPr>
          <w:rFonts w:eastAsia="Times New Roman" w:cs="Times New Roman"/>
          <w:sz w:val="22"/>
          <w:szCs w:val="20"/>
        </w:rPr>
        <w:t xml:space="preserve"> </w:t>
      </w:r>
      <w:r w:rsidRPr="00D05FBD">
        <w:rPr>
          <w:rFonts w:eastAsia="Times New Roman" w:cs="Times New Roman"/>
          <w:sz w:val="22"/>
          <w:szCs w:val="20"/>
        </w:rPr>
        <w:t xml:space="preserve">haja interesse público em se promover a urbanização e </w:t>
      </w:r>
      <w:r w:rsidR="00D05FBD">
        <w:rPr>
          <w:rFonts w:eastAsia="Times New Roman" w:cs="Times New Roman"/>
          <w:sz w:val="22"/>
          <w:szCs w:val="20"/>
        </w:rPr>
        <w:t>r</w:t>
      </w:r>
      <w:r w:rsidRPr="00D05FBD">
        <w:rPr>
          <w:rFonts w:eastAsia="Times New Roman" w:cs="Times New Roman"/>
          <w:sz w:val="22"/>
          <w:szCs w:val="20"/>
        </w:rPr>
        <w:t>egularização jurídica;</w:t>
      </w:r>
    </w:p>
    <w:p w14:paraId="25D62F29" w14:textId="77777777" w:rsidR="00557591" w:rsidRPr="00D05FBD" w:rsidRDefault="00557591" w:rsidP="00557591">
      <w:pPr>
        <w:spacing w:line="240" w:lineRule="auto"/>
        <w:ind w:left="2267"/>
        <w:rPr>
          <w:rFonts w:eastAsia="Times New Roman" w:cs="Times New Roman"/>
          <w:sz w:val="28"/>
          <w:szCs w:val="24"/>
        </w:rPr>
      </w:pPr>
      <w:r w:rsidRPr="00D05FBD">
        <w:rPr>
          <w:rFonts w:eastAsia="Times New Roman" w:cs="Times New Roman"/>
          <w:sz w:val="22"/>
          <w:szCs w:val="20"/>
        </w:rPr>
        <w:t xml:space="preserve">II - </w:t>
      </w:r>
      <w:proofErr w:type="gramStart"/>
      <w:r w:rsidRPr="00D05FBD">
        <w:rPr>
          <w:rFonts w:eastAsia="Times New Roman" w:cs="Times New Roman"/>
          <w:sz w:val="22"/>
          <w:szCs w:val="20"/>
        </w:rPr>
        <w:t>glebas</w:t>
      </w:r>
      <w:proofErr w:type="gramEnd"/>
      <w:r w:rsidRPr="00D05FBD">
        <w:rPr>
          <w:rFonts w:eastAsia="Times New Roman" w:cs="Times New Roman"/>
          <w:sz w:val="22"/>
          <w:szCs w:val="20"/>
        </w:rPr>
        <w:t xml:space="preserve"> ou lotes urbanos, isolados ou contíguos, não edificados, subutilizados, ou não utilizados, com área superior a 400.00 m² (quatrocentos metros quadrados), necessários para implantação de programas habitacionais destinados a grupos sociais de renda familiar de até 3 (três) salários mínimos, ou de igual valor.</w:t>
      </w:r>
      <w:r w:rsidRPr="00D05FBD">
        <w:rPr>
          <w:rFonts w:eastAsia="Times New Roman" w:cs="Times New Roman"/>
          <w:sz w:val="28"/>
          <w:szCs w:val="24"/>
        </w:rPr>
        <w:t xml:space="preserve"> </w:t>
      </w:r>
    </w:p>
    <w:p w14:paraId="2898B6DE" w14:textId="77777777" w:rsidR="0073469E" w:rsidRDefault="0073469E" w:rsidP="00DA6102">
      <w:pPr>
        <w:pStyle w:val="Ttulo2"/>
      </w:pPr>
      <w:r>
        <w:t xml:space="preserve">2.2. Outras legislações municipais </w:t>
      </w:r>
      <w:r w:rsidRPr="00557591">
        <w:t>vigentes</w:t>
      </w:r>
    </w:p>
    <w:p w14:paraId="3ADBA19E" w14:textId="77777777" w:rsidR="00557591" w:rsidRDefault="00AC5733" w:rsidP="00557591">
      <w:pPr>
        <w:ind w:firstLine="720"/>
        <w:rPr>
          <w:rFonts w:eastAsia="Times New Roman" w:cs="Times New Roman"/>
          <w:szCs w:val="24"/>
        </w:rPr>
      </w:pPr>
      <w:r>
        <w:rPr>
          <w:rFonts w:eastAsia="Times New Roman" w:cs="Times New Roman"/>
          <w:szCs w:val="24"/>
        </w:rPr>
        <w:t>A</w:t>
      </w:r>
      <w:r w:rsidR="00557591">
        <w:rPr>
          <w:rFonts w:eastAsia="Times New Roman" w:cs="Times New Roman"/>
          <w:szCs w:val="24"/>
        </w:rPr>
        <w:t>ssim como no Plano Diretor, a Lei Orgânica do município de Natal também estabelece o Direito de Preempç</w:t>
      </w:r>
      <w:r w:rsidR="00D57053">
        <w:rPr>
          <w:rFonts w:eastAsia="Times New Roman" w:cs="Times New Roman"/>
          <w:szCs w:val="24"/>
        </w:rPr>
        <w:t>ão, a partir do seu artigo 119-</w:t>
      </w:r>
      <w:r w:rsidR="00557591">
        <w:rPr>
          <w:rFonts w:eastAsia="Times New Roman" w:cs="Times New Roman"/>
          <w:szCs w:val="24"/>
        </w:rPr>
        <w:t>A, quando cita os instrumentos para as ações de Regu</w:t>
      </w:r>
      <w:r w:rsidR="004719CD">
        <w:rPr>
          <w:rFonts w:eastAsia="Times New Roman" w:cs="Times New Roman"/>
          <w:szCs w:val="24"/>
        </w:rPr>
        <w:t>larização Fundiária (NATAL, 2006</w:t>
      </w:r>
      <w:r w:rsidR="00557591">
        <w:rPr>
          <w:rFonts w:eastAsia="Times New Roman" w:cs="Times New Roman"/>
          <w:szCs w:val="24"/>
        </w:rPr>
        <w:t xml:space="preserve">). </w:t>
      </w:r>
    </w:p>
    <w:p w14:paraId="16D4073D" w14:textId="77777777" w:rsidR="00AC5733" w:rsidRPr="0073469E" w:rsidRDefault="0073469E" w:rsidP="0073469E">
      <w:pPr>
        <w:ind w:firstLine="720"/>
        <w:rPr>
          <w:rFonts w:eastAsia="Times New Roman" w:cs="Times New Roman"/>
          <w:szCs w:val="24"/>
        </w:rPr>
      </w:pPr>
      <w:r>
        <w:rPr>
          <w:rFonts w:eastAsia="Times New Roman" w:cs="Times New Roman"/>
          <w:szCs w:val="24"/>
        </w:rPr>
        <w:t>Ademais, as leis complementares nº 221</w:t>
      </w:r>
      <w:r w:rsidRPr="00AC5733">
        <w:rPr>
          <w:szCs w:val="24"/>
        </w:rPr>
        <w:t>/</w:t>
      </w:r>
      <w:r w:rsidRPr="0073469E">
        <w:rPr>
          <w:rFonts w:eastAsia="Times New Roman" w:cs="Times New Roman"/>
          <w:szCs w:val="24"/>
        </w:rPr>
        <w:t>2022</w:t>
      </w:r>
      <w:r>
        <w:rPr>
          <w:rFonts w:eastAsia="Times New Roman" w:cs="Times New Roman"/>
          <w:szCs w:val="24"/>
        </w:rPr>
        <w:t xml:space="preserve"> e 223</w:t>
      </w:r>
      <w:r w:rsidRPr="00AC5733">
        <w:rPr>
          <w:szCs w:val="24"/>
        </w:rPr>
        <w:t>/</w:t>
      </w:r>
      <w:r>
        <w:rPr>
          <w:szCs w:val="24"/>
        </w:rPr>
        <w:t>2022 disciplinam o uso e a ocupação do solo, respectivamente, na Zona de Proteção Ambiental 8</w:t>
      </w:r>
      <w:r>
        <w:rPr>
          <w:rFonts w:eastAsia="Times New Roman" w:cs="Times New Roman"/>
          <w:szCs w:val="24"/>
        </w:rPr>
        <w:t xml:space="preserve"> (</w:t>
      </w:r>
      <w:r w:rsidRPr="0073469E">
        <w:rPr>
          <w:rFonts w:eastAsia="Times New Roman" w:cs="Times New Roman"/>
          <w:szCs w:val="24"/>
        </w:rPr>
        <w:t>ZPA8</w:t>
      </w:r>
      <w:r>
        <w:rPr>
          <w:rFonts w:eastAsia="Times New Roman" w:cs="Times New Roman"/>
          <w:szCs w:val="24"/>
        </w:rPr>
        <w:t xml:space="preserve">) e </w:t>
      </w:r>
      <w:r w:rsidRPr="0073469E">
        <w:rPr>
          <w:rFonts w:eastAsia="Times New Roman" w:cs="Times New Roman"/>
          <w:szCs w:val="24"/>
        </w:rPr>
        <w:t>Zona de Proteção</w:t>
      </w:r>
      <w:r>
        <w:rPr>
          <w:rFonts w:eastAsia="Times New Roman" w:cs="Times New Roman"/>
          <w:szCs w:val="24"/>
        </w:rPr>
        <w:t xml:space="preserve"> </w:t>
      </w:r>
      <w:r w:rsidRPr="0073469E">
        <w:rPr>
          <w:rFonts w:eastAsia="Times New Roman" w:cs="Times New Roman"/>
          <w:szCs w:val="24"/>
        </w:rPr>
        <w:t>Ambiental 10 (ZPA-10)</w:t>
      </w:r>
      <w:r w:rsidR="003D28B5">
        <w:rPr>
          <w:rFonts w:eastAsia="Times New Roman" w:cs="Times New Roman"/>
          <w:szCs w:val="24"/>
        </w:rPr>
        <w:t>, áreas em que incidem o Direito de Preempção</w:t>
      </w:r>
      <w:r>
        <w:rPr>
          <w:rFonts w:eastAsia="Times New Roman" w:cs="Times New Roman"/>
          <w:szCs w:val="24"/>
        </w:rPr>
        <w:t>. Logo, do</w:t>
      </w:r>
      <w:r w:rsidR="00AC5733">
        <w:rPr>
          <w:rFonts w:eastAsia="Times New Roman" w:cs="Times New Roman"/>
          <w:szCs w:val="24"/>
        </w:rPr>
        <w:t xml:space="preserve"> A</w:t>
      </w:r>
      <w:r>
        <w:rPr>
          <w:rFonts w:eastAsia="Times New Roman" w:cs="Times New Roman"/>
          <w:szCs w:val="24"/>
        </w:rPr>
        <w:t xml:space="preserve">nexo 1 daquela normativa se extrai </w:t>
      </w:r>
      <w:r w:rsidR="003D28B5">
        <w:t>o mapa dos terrenos submetidos</w:t>
      </w:r>
      <w:r>
        <w:rPr>
          <w:rFonts w:eastAsia="Times New Roman" w:cs="Times New Roman"/>
          <w:szCs w:val="24"/>
        </w:rPr>
        <w:t xml:space="preserve"> </w:t>
      </w:r>
      <w:r w:rsidR="003D28B5">
        <w:rPr>
          <w:rFonts w:eastAsia="Times New Roman" w:cs="Times New Roman"/>
          <w:szCs w:val="24"/>
        </w:rPr>
        <w:t xml:space="preserve">a </w:t>
      </w:r>
      <w:r>
        <w:rPr>
          <w:rFonts w:eastAsia="Times New Roman" w:cs="Times New Roman"/>
          <w:szCs w:val="24"/>
        </w:rPr>
        <w:t>preempção no município</w:t>
      </w:r>
      <w:r w:rsidR="003D28B5">
        <w:rPr>
          <w:rFonts w:eastAsia="Times New Roman" w:cs="Times New Roman"/>
          <w:szCs w:val="24"/>
        </w:rPr>
        <w:t>. Vide:</w:t>
      </w:r>
      <w:r>
        <w:rPr>
          <w:rFonts w:eastAsia="Times New Roman" w:cs="Times New Roman"/>
          <w:szCs w:val="24"/>
        </w:rPr>
        <w:t xml:space="preserve"> </w:t>
      </w:r>
    </w:p>
    <w:p w14:paraId="5F2664A8" w14:textId="77777777" w:rsidR="00BA7658" w:rsidRDefault="00BA7658" w:rsidP="00557591">
      <w:pPr>
        <w:ind w:firstLine="720"/>
        <w:rPr>
          <w:szCs w:val="24"/>
        </w:rPr>
      </w:pPr>
    </w:p>
    <w:p w14:paraId="5EF07565" w14:textId="77777777" w:rsidR="00B44BC1" w:rsidRDefault="00B44BC1" w:rsidP="00BA7658">
      <w:pPr>
        <w:ind w:firstLine="720"/>
        <w:jc w:val="center"/>
        <w:rPr>
          <w:rFonts w:eastAsia="Times New Roman" w:cs="Times New Roman"/>
          <w:sz w:val="28"/>
          <w:szCs w:val="24"/>
        </w:rPr>
      </w:pPr>
    </w:p>
    <w:p w14:paraId="49D480E7" w14:textId="77777777" w:rsidR="00DA5A62" w:rsidRDefault="00DA5A62" w:rsidP="00BA7658">
      <w:pPr>
        <w:ind w:firstLine="720"/>
        <w:jc w:val="center"/>
        <w:rPr>
          <w:rFonts w:eastAsia="Times New Roman" w:cs="Times New Roman"/>
          <w:sz w:val="28"/>
          <w:szCs w:val="24"/>
        </w:rPr>
      </w:pPr>
    </w:p>
    <w:p w14:paraId="7861F641" w14:textId="77777777" w:rsidR="00DA5A62" w:rsidRDefault="00DA5A62" w:rsidP="00BA7658">
      <w:pPr>
        <w:ind w:firstLine="720"/>
        <w:jc w:val="center"/>
        <w:rPr>
          <w:rFonts w:eastAsia="Times New Roman" w:cs="Times New Roman"/>
          <w:sz w:val="28"/>
          <w:szCs w:val="24"/>
        </w:rPr>
      </w:pPr>
    </w:p>
    <w:p w14:paraId="461E85D7" w14:textId="77777777" w:rsidR="00DA5A62" w:rsidRPr="00DA5A62" w:rsidRDefault="00DA5A62" w:rsidP="00DA5A62">
      <w:pPr>
        <w:keepNext/>
        <w:spacing w:line="240" w:lineRule="auto"/>
        <w:jc w:val="center"/>
        <w:rPr>
          <w:rFonts w:eastAsia="Arial" w:cs="Times New Roman"/>
          <w:sz w:val="22"/>
        </w:rPr>
      </w:pPr>
      <w:r>
        <w:rPr>
          <w:rFonts w:eastAsia="Arial" w:cs="Times New Roman"/>
          <w:b/>
          <w:bCs/>
          <w:sz w:val="22"/>
        </w:rPr>
        <w:lastRenderedPageBreak/>
        <w:t xml:space="preserve">Figura </w:t>
      </w:r>
      <w:r w:rsidRPr="00D05FBD">
        <w:rPr>
          <w:rFonts w:eastAsia="Arial" w:cs="Times New Roman"/>
          <w:b/>
          <w:bCs/>
          <w:sz w:val="22"/>
        </w:rPr>
        <w:t xml:space="preserve">1 </w:t>
      </w:r>
      <w:r w:rsidRPr="00D05FBD">
        <w:rPr>
          <w:rFonts w:eastAsia="Arial" w:cs="Times New Roman"/>
          <w:sz w:val="22"/>
        </w:rPr>
        <w:t xml:space="preserve">– </w:t>
      </w:r>
      <w:r>
        <w:rPr>
          <w:rFonts w:eastAsia="Arial" w:cs="Times New Roman"/>
          <w:sz w:val="22"/>
        </w:rPr>
        <w:t>Mapa da área submetida ao Direito de Preempção na ZPA – Setor A</w:t>
      </w:r>
    </w:p>
    <w:p w14:paraId="1C0161AC" w14:textId="77777777" w:rsidR="00AC5733" w:rsidRPr="00AC5733" w:rsidRDefault="00BA7658" w:rsidP="00DA6102">
      <w:pPr>
        <w:jc w:val="center"/>
        <w:rPr>
          <w:rFonts w:eastAsia="Times New Roman" w:cs="Times New Roman"/>
          <w:sz w:val="28"/>
          <w:szCs w:val="24"/>
        </w:rPr>
      </w:pPr>
      <w:r>
        <w:rPr>
          <w:rFonts w:eastAsia="Times New Roman" w:cs="Times New Roman"/>
          <w:noProof/>
          <w:sz w:val="28"/>
          <w:szCs w:val="24"/>
        </w:rPr>
        <w:drawing>
          <wp:inline distT="0" distB="0" distL="0" distR="0" wp14:anchorId="0243F64B" wp14:editId="044C4BBB">
            <wp:extent cx="4019910" cy="5847449"/>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_20221228_38689342c83636a04418f10af2de3d51-18_pages-to-jpg-0001.jpg"/>
                    <pic:cNvPicPr/>
                  </pic:nvPicPr>
                  <pic:blipFill rotWithShape="1">
                    <a:blip r:embed="rId8" cstate="print">
                      <a:extLst>
                        <a:ext uri="{28A0092B-C50C-407E-A947-70E740481C1C}">
                          <a14:useLocalDpi xmlns:a14="http://schemas.microsoft.com/office/drawing/2010/main" val="0"/>
                        </a:ext>
                      </a:extLst>
                    </a:blip>
                    <a:srcRect l="10360" t="15538" r="10635" b="3128"/>
                    <a:stretch/>
                  </pic:blipFill>
                  <pic:spPr bwMode="auto">
                    <a:xfrm>
                      <a:off x="0" y="0"/>
                      <a:ext cx="4019542" cy="5846914"/>
                    </a:xfrm>
                    <a:prstGeom prst="rect">
                      <a:avLst/>
                    </a:prstGeom>
                    <a:ln>
                      <a:noFill/>
                    </a:ln>
                    <a:extLst>
                      <a:ext uri="{53640926-AAD7-44D8-BBD7-CCE9431645EC}">
                        <a14:shadowObscured xmlns:a14="http://schemas.microsoft.com/office/drawing/2010/main"/>
                      </a:ext>
                    </a:extLst>
                  </pic:spPr>
                </pic:pic>
              </a:graphicData>
            </a:graphic>
          </wp:inline>
        </w:drawing>
      </w:r>
    </w:p>
    <w:p w14:paraId="7C0CD1C8" w14:textId="6831A4A3" w:rsidR="0086022A" w:rsidRPr="00DA6102" w:rsidRDefault="0086022A" w:rsidP="00DA6102">
      <w:pPr>
        <w:spacing w:line="240" w:lineRule="auto"/>
        <w:jc w:val="center"/>
        <w:rPr>
          <w:rFonts w:eastAsia="Arial" w:cs="Times New Roman"/>
          <w:sz w:val="18"/>
          <w:szCs w:val="18"/>
        </w:rPr>
      </w:pPr>
      <w:r w:rsidRPr="00DA6102">
        <w:rPr>
          <w:rFonts w:eastAsia="Arial" w:cs="Times New Roman"/>
          <w:b/>
          <w:bCs/>
          <w:sz w:val="18"/>
          <w:szCs w:val="18"/>
        </w:rPr>
        <w:t>Fonte:</w:t>
      </w:r>
      <w:r w:rsidRPr="00DA6102">
        <w:rPr>
          <w:rFonts w:eastAsia="Arial" w:cs="Times New Roman"/>
          <w:sz w:val="18"/>
          <w:szCs w:val="18"/>
        </w:rPr>
        <w:t xml:space="preserve"> Natal (2022)</w:t>
      </w:r>
    </w:p>
    <w:p w14:paraId="12D8DEBE" w14:textId="77777777" w:rsidR="0086022A" w:rsidRDefault="0086022A" w:rsidP="00557591">
      <w:pPr>
        <w:rPr>
          <w:b/>
        </w:rPr>
      </w:pPr>
    </w:p>
    <w:p w14:paraId="24E5E6E2" w14:textId="77777777" w:rsidR="00557591" w:rsidRDefault="0086022A" w:rsidP="00557591">
      <w:r>
        <w:rPr>
          <w:b/>
        </w:rPr>
        <w:tab/>
      </w:r>
      <w:r w:rsidR="003D28B5" w:rsidRPr="003D28B5">
        <w:t>A</w:t>
      </w:r>
      <w:r w:rsidR="008B3660">
        <w:t>demais, a</w:t>
      </w:r>
      <w:r w:rsidR="003D28B5" w:rsidRPr="003D28B5">
        <w:t xml:space="preserve"> </w:t>
      </w:r>
      <w:r w:rsidR="00123397" w:rsidRPr="003D28B5">
        <w:t>Lei Complementar</w:t>
      </w:r>
      <w:r w:rsidR="00123397">
        <w:t xml:space="preserve"> nº 223</w:t>
      </w:r>
      <w:r w:rsidR="00A076BD">
        <w:t>,</w:t>
      </w:r>
      <w:r w:rsidR="00123397">
        <w:t xml:space="preserve"> de 22 de dezembro de 2022</w:t>
      </w:r>
      <w:r w:rsidR="003D28B5">
        <w:t xml:space="preserve">, </w:t>
      </w:r>
      <w:r w:rsidR="008B3660">
        <w:t xml:space="preserve">estabelece que os </w:t>
      </w:r>
      <w:r w:rsidR="003D28B5">
        <w:t xml:space="preserve">terrenos </w:t>
      </w:r>
      <w:r w:rsidR="00D62E69">
        <w:t>localizados na ZPA-10</w:t>
      </w:r>
      <w:r w:rsidR="00352FA1">
        <w:t xml:space="preserve"> (figura 2)</w:t>
      </w:r>
      <w:r w:rsidR="00D62E69">
        <w:t xml:space="preserve"> são objetos do direito de preempção</w:t>
      </w:r>
      <w:r w:rsidR="00AB064F">
        <w:t xml:space="preserve"> (art.14)</w:t>
      </w:r>
      <w:r w:rsidR="00B37EC2">
        <w:t xml:space="preserve">, e delimita </w:t>
      </w:r>
      <w:r w:rsidR="008B3660">
        <w:t>o</w:t>
      </w:r>
      <w:r w:rsidR="00AB064F">
        <w:t>s</w:t>
      </w:r>
      <w:r w:rsidR="008B3660">
        <w:t xml:space="preserve"> objetivos da possível </w:t>
      </w:r>
      <w:r w:rsidR="005F6907">
        <w:t>aquisição dos</w:t>
      </w:r>
      <w:r w:rsidR="00AB064F">
        <w:t xml:space="preserve"> imóveis</w:t>
      </w:r>
      <w:r w:rsidR="00D62E69">
        <w:t xml:space="preserve">. Vide </w:t>
      </w:r>
      <w:r w:rsidR="00D62E69" w:rsidRPr="00D62E69">
        <w:rPr>
          <w:i/>
        </w:rPr>
        <w:t xml:space="preserve">in </w:t>
      </w:r>
      <w:proofErr w:type="spellStart"/>
      <w:r w:rsidR="00D62E69" w:rsidRPr="00D62E69">
        <w:rPr>
          <w:i/>
        </w:rPr>
        <w:t>verbis</w:t>
      </w:r>
      <w:proofErr w:type="spellEnd"/>
      <w:r w:rsidR="00D62E69">
        <w:t>:</w:t>
      </w:r>
    </w:p>
    <w:p w14:paraId="32FFD5A3" w14:textId="77777777" w:rsidR="00123397" w:rsidRPr="00123397" w:rsidRDefault="00123397" w:rsidP="00123397">
      <w:pPr>
        <w:spacing w:line="240" w:lineRule="auto"/>
        <w:ind w:left="2268"/>
        <w:rPr>
          <w:sz w:val="22"/>
        </w:rPr>
      </w:pPr>
      <w:r w:rsidRPr="00123397">
        <w:rPr>
          <w:sz w:val="22"/>
        </w:rPr>
        <w:t>Art. 14 Os imóveis situados nas Subzonas da ZPA-10, especificadas neste artigo, são objeto do direito de</w:t>
      </w:r>
      <w:r>
        <w:rPr>
          <w:sz w:val="22"/>
        </w:rPr>
        <w:t xml:space="preserve"> </w:t>
      </w:r>
      <w:r w:rsidRPr="00123397">
        <w:rPr>
          <w:sz w:val="22"/>
        </w:rPr>
        <w:t>preempção, com a seguinte finalidade:</w:t>
      </w:r>
    </w:p>
    <w:p w14:paraId="1BB38F41" w14:textId="77777777" w:rsidR="00123397" w:rsidRPr="00123397" w:rsidRDefault="00123397" w:rsidP="00123397">
      <w:pPr>
        <w:spacing w:line="240" w:lineRule="auto"/>
        <w:ind w:left="2268"/>
        <w:rPr>
          <w:sz w:val="22"/>
        </w:rPr>
      </w:pPr>
      <w:r w:rsidRPr="00123397">
        <w:rPr>
          <w:sz w:val="22"/>
        </w:rPr>
        <w:t>I – Na SP para instituição de Unidade de Conservação Municipal;</w:t>
      </w:r>
    </w:p>
    <w:p w14:paraId="528B7D90" w14:textId="77777777" w:rsidR="00123397" w:rsidRPr="00123397" w:rsidRDefault="00123397" w:rsidP="00123397">
      <w:pPr>
        <w:spacing w:line="240" w:lineRule="auto"/>
        <w:ind w:left="2268"/>
        <w:rPr>
          <w:sz w:val="22"/>
        </w:rPr>
      </w:pPr>
      <w:r w:rsidRPr="00123397">
        <w:rPr>
          <w:sz w:val="22"/>
        </w:rPr>
        <w:t>II – Na SC para ampliação da SP e instituição de unidade de conservação;</w:t>
      </w:r>
    </w:p>
    <w:p w14:paraId="4C5CEC0E" w14:textId="77777777" w:rsidR="00AB064F" w:rsidRDefault="00123397" w:rsidP="00AB064F">
      <w:pPr>
        <w:spacing w:line="240" w:lineRule="auto"/>
        <w:ind w:left="2268"/>
      </w:pPr>
      <w:r w:rsidRPr="00123397">
        <w:rPr>
          <w:sz w:val="22"/>
        </w:rPr>
        <w:t>III – Na SUR3 para ampliação da área de preservação e/ou destinada a programa de relocação de moradores</w:t>
      </w:r>
      <w:r>
        <w:rPr>
          <w:sz w:val="22"/>
        </w:rPr>
        <w:t xml:space="preserve"> </w:t>
      </w:r>
      <w:r w:rsidRPr="00123397">
        <w:rPr>
          <w:sz w:val="22"/>
        </w:rPr>
        <w:t>do</w:t>
      </w:r>
      <w:r>
        <w:rPr>
          <w:sz w:val="22"/>
        </w:rPr>
        <w:t xml:space="preserve"> mesmo bairro em áreas de </w:t>
      </w:r>
      <w:r>
        <w:rPr>
          <w:sz w:val="22"/>
        </w:rPr>
        <w:lastRenderedPageBreak/>
        <w:t>risco.</w:t>
      </w:r>
      <w:r>
        <w:cr/>
      </w:r>
    </w:p>
    <w:p w14:paraId="23D8C0C3" w14:textId="77777777" w:rsidR="00AB064F" w:rsidRDefault="00352FA1" w:rsidP="003C507D">
      <w:r>
        <w:tab/>
        <w:t>Em consonância com tal lei municipal, a Zona de Proteção Ambiental</w:t>
      </w:r>
      <w:r w:rsidR="003C507D">
        <w:t xml:space="preserve"> 10 tem a seguinte localização:</w:t>
      </w:r>
    </w:p>
    <w:p w14:paraId="4D67ACFD" w14:textId="77777777" w:rsidR="00352FA1" w:rsidRDefault="00352FA1" w:rsidP="00352FA1">
      <w:pPr>
        <w:spacing w:line="240" w:lineRule="auto"/>
      </w:pPr>
    </w:p>
    <w:p w14:paraId="1D644FF0" w14:textId="77777777" w:rsidR="00352FA1" w:rsidRPr="00352FA1" w:rsidRDefault="00352FA1" w:rsidP="00352FA1">
      <w:pPr>
        <w:keepNext/>
        <w:spacing w:line="240" w:lineRule="auto"/>
        <w:jc w:val="center"/>
        <w:rPr>
          <w:rFonts w:eastAsia="Arial" w:cs="Times New Roman"/>
          <w:sz w:val="22"/>
        </w:rPr>
      </w:pPr>
      <w:r>
        <w:rPr>
          <w:rFonts w:eastAsia="Arial" w:cs="Times New Roman"/>
          <w:b/>
          <w:bCs/>
          <w:sz w:val="22"/>
        </w:rPr>
        <w:t>Figura 2</w:t>
      </w:r>
      <w:r w:rsidRPr="00D05FBD">
        <w:rPr>
          <w:rFonts w:eastAsia="Arial" w:cs="Times New Roman"/>
          <w:b/>
          <w:bCs/>
          <w:sz w:val="22"/>
        </w:rPr>
        <w:t xml:space="preserve"> </w:t>
      </w:r>
      <w:r w:rsidRPr="00D05FBD">
        <w:rPr>
          <w:rFonts w:eastAsia="Arial" w:cs="Times New Roman"/>
          <w:sz w:val="22"/>
        </w:rPr>
        <w:t xml:space="preserve">– </w:t>
      </w:r>
      <w:r>
        <w:rPr>
          <w:rFonts w:eastAsia="Arial" w:cs="Times New Roman"/>
          <w:sz w:val="22"/>
        </w:rPr>
        <w:t>Mapa da</w:t>
      </w:r>
      <w:r w:rsidRPr="00352FA1">
        <w:rPr>
          <w:rFonts w:eastAsia="Arial" w:cs="Times New Roman"/>
          <w:sz w:val="22"/>
        </w:rPr>
        <w:t xml:space="preserve"> Zona de Proteção Ambiental 10</w:t>
      </w:r>
    </w:p>
    <w:p w14:paraId="2C5B5E7D" w14:textId="77777777" w:rsidR="00352FA1" w:rsidRPr="00123397" w:rsidRDefault="00352FA1" w:rsidP="00754CF8">
      <w:pPr>
        <w:spacing w:line="240" w:lineRule="auto"/>
        <w:jc w:val="center"/>
      </w:pPr>
      <w:r>
        <w:rPr>
          <w:noProof/>
        </w:rPr>
        <w:drawing>
          <wp:inline distT="0" distB="0" distL="0" distR="0" wp14:anchorId="7E01E60D" wp14:editId="7D733BF8">
            <wp:extent cx="4154759" cy="50101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_20221228_38689342c83636a04418f10af2de3d51-213_page-0001.jpg"/>
                    <pic:cNvPicPr/>
                  </pic:nvPicPr>
                  <pic:blipFill rotWithShape="1">
                    <a:blip r:embed="rId9">
                      <a:extLst>
                        <a:ext uri="{28A0092B-C50C-407E-A947-70E740481C1C}">
                          <a14:useLocalDpi xmlns:a14="http://schemas.microsoft.com/office/drawing/2010/main" val="0"/>
                        </a:ext>
                      </a:extLst>
                    </a:blip>
                    <a:srcRect l="17409" t="33334" r="16826" b="10556"/>
                    <a:stretch/>
                  </pic:blipFill>
                  <pic:spPr bwMode="auto">
                    <a:xfrm>
                      <a:off x="0" y="0"/>
                      <a:ext cx="4164360" cy="5021728"/>
                    </a:xfrm>
                    <a:prstGeom prst="rect">
                      <a:avLst/>
                    </a:prstGeom>
                    <a:ln>
                      <a:noFill/>
                    </a:ln>
                    <a:extLst>
                      <a:ext uri="{53640926-AAD7-44D8-BBD7-CCE9431645EC}">
                        <a14:shadowObscured xmlns:a14="http://schemas.microsoft.com/office/drawing/2010/main"/>
                      </a:ext>
                    </a:extLst>
                  </pic:spPr>
                </pic:pic>
              </a:graphicData>
            </a:graphic>
          </wp:inline>
        </w:drawing>
      </w:r>
    </w:p>
    <w:p w14:paraId="4844B302" w14:textId="07392E0E" w:rsidR="00754CF8" w:rsidRPr="00DA6102" w:rsidRDefault="00754CF8" w:rsidP="00DA6102">
      <w:pPr>
        <w:jc w:val="center"/>
        <w:rPr>
          <w:b/>
          <w:sz w:val="22"/>
          <w:szCs w:val="20"/>
        </w:rPr>
      </w:pPr>
      <w:r w:rsidRPr="00DA6102">
        <w:rPr>
          <w:rFonts w:eastAsia="Arial" w:cs="Times New Roman"/>
          <w:b/>
          <w:bCs/>
          <w:sz w:val="20"/>
          <w:szCs w:val="20"/>
        </w:rPr>
        <w:t>Fonte:</w:t>
      </w:r>
      <w:r w:rsidRPr="00DA6102">
        <w:rPr>
          <w:rFonts w:eastAsia="Arial" w:cs="Times New Roman"/>
          <w:sz w:val="20"/>
          <w:szCs w:val="20"/>
        </w:rPr>
        <w:t xml:space="preserve"> Natal (2022)</w:t>
      </w:r>
    </w:p>
    <w:p w14:paraId="0E942627" w14:textId="77777777" w:rsidR="00754CF8" w:rsidRDefault="00754CF8" w:rsidP="00557591">
      <w:pPr>
        <w:rPr>
          <w:b/>
        </w:rPr>
      </w:pPr>
    </w:p>
    <w:p w14:paraId="64885226" w14:textId="77777777" w:rsidR="00E71358" w:rsidRDefault="00E71358" w:rsidP="00E71358">
      <w:pPr>
        <w:rPr>
          <w:rFonts w:eastAsia="Times New Roman" w:cs="Times New Roman"/>
          <w:szCs w:val="24"/>
        </w:rPr>
      </w:pPr>
      <w:r>
        <w:rPr>
          <w:rFonts w:eastAsia="Times New Roman" w:cs="Times New Roman"/>
          <w:szCs w:val="24"/>
        </w:rPr>
        <w:tab/>
      </w:r>
      <w:r w:rsidR="00D57053">
        <w:rPr>
          <w:rFonts w:eastAsia="Times New Roman" w:cs="Times New Roman"/>
          <w:szCs w:val="24"/>
        </w:rPr>
        <w:t>A posteriori</w:t>
      </w:r>
      <w:r>
        <w:rPr>
          <w:rFonts w:eastAsia="Times New Roman" w:cs="Times New Roman"/>
          <w:szCs w:val="24"/>
        </w:rPr>
        <w:t>, é interessante observar que a cartografia cadastral urbana do município de</w:t>
      </w:r>
      <w:r w:rsidR="002C3D6F">
        <w:rPr>
          <w:rFonts w:eastAsia="Times New Roman" w:cs="Times New Roman"/>
          <w:szCs w:val="24"/>
        </w:rPr>
        <w:t xml:space="preserve"> Natal</w:t>
      </w:r>
      <w:r w:rsidR="002C3D6F" w:rsidRPr="00AC5733">
        <w:rPr>
          <w:szCs w:val="24"/>
        </w:rPr>
        <w:t>/</w:t>
      </w:r>
      <w:r w:rsidR="002C3D6F">
        <w:rPr>
          <w:szCs w:val="24"/>
        </w:rPr>
        <w:t>RN</w:t>
      </w:r>
      <w:r w:rsidR="002C3D6F">
        <w:rPr>
          <w:rFonts w:eastAsia="Times New Roman" w:cs="Times New Roman"/>
          <w:szCs w:val="24"/>
        </w:rPr>
        <w:t xml:space="preserve"> </w:t>
      </w:r>
      <w:r>
        <w:rPr>
          <w:rFonts w:eastAsia="Times New Roman" w:cs="Times New Roman"/>
          <w:szCs w:val="24"/>
        </w:rPr>
        <w:t>é de extrema relevância n</w:t>
      </w:r>
      <w:r w:rsidR="00DD23CF">
        <w:rPr>
          <w:rFonts w:eastAsia="Times New Roman" w:cs="Times New Roman"/>
          <w:szCs w:val="24"/>
        </w:rPr>
        <w:t xml:space="preserve">a organização das áreas urbanas, </w:t>
      </w:r>
      <w:r w:rsidR="002C3D6F">
        <w:rPr>
          <w:rFonts w:eastAsia="Times New Roman" w:cs="Times New Roman"/>
          <w:szCs w:val="24"/>
        </w:rPr>
        <w:t xml:space="preserve">em razão de </w:t>
      </w:r>
      <w:r w:rsidR="00DD23CF">
        <w:rPr>
          <w:rFonts w:eastAsia="Times New Roman" w:cs="Times New Roman"/>
          <w:szCs w:val="24"/>
        </w:rPr>
        <w:t xml:space="preserve">tornar mais </w:t>
      </w:r>
      <w:r w:rsidR="00124AA7">
        <w:rPr>
          <w:rFonts w:eastAsia="Times New Roman" w:cs="Times New Roman"/>
          <w:szCs w:val="24"/>
        </w:rPr>
        <w:t xml:space="preserve">evidente </w:t>
      </w:r>
      <w:r w:rsidR="00DD23CF">
        <w:rPr>
          <w:rFonts w:eastAsia="Times New Roman" w:cs="Times New Roman"/>
          <w:szCs w:val="24"/>
        </w:rPr>
        <w:t xml:space="preserve">as regiões de </w:t>
      </w:r>
      <w:r>
        <w:rPr>
          <w:rFonts w:eastAsia="Times New Roman" w:cs="Times New Roman"/>
          <w:szCs w:val="24"/>
        </w:rPr>
        <w:t xml:space="preserve">prioridade </w:t>
      </w:r>
      <w:r w:rsidR="00DD23CF">
        <w:rPr>
          <w:rFonts w:eastAsia="Times New Roman" w:cs="Times New Roman"/>
          <w:szCs w:val="24"/>
        </w:rPr>
        <w:t xml:space="preserve">de preservação. </w:t>
      </w:r>
      <w:r w:rsidR="00124AA7">
        <w:rPr>
          <w:rFonts w:eastAsia="Times New Roman" w:cs="Times New Roman"/>
          <w:szCs w:val="24"/>
        </w:rPr>
        <w:t>Em consonância com Hübner, Pinto,</w:t>
      </w:r>
      <w:r>
        <w:rPr>
          <w:rFonts w:eastAsia="Times New Roman" w:cs="Times New Roman"/>
          <w:szCs w:val="24"/>
        </w:rPr>
        <w:t xml:space="preserve"> Oliveira (2006):</w:t>
      </w:r>
    </w:p>
    <w:p w14:paraId="76AB635B" w14:textId="77777777" w:rsidR="00E71358" w:rsidRPr="00D05FBD" w:rsidRDefault="00E71358" w:rsidP="00E71358">
      <w:pPr>
        <w:spacing w:line="240" w:lineRule="auto"/>
        <w:ind w:left="2267"/>
        <w:rPr>
          <w:rFonts w:eastAsia="Times New Roman" w:cs="Times New Roman"/>
          <w:sz w:val="22"/>
          <w:szCs w:val="20"/>
        </w:rPr>
      </w:pPr>
      <w:r w:rsidRPr="00D05FBD">
        <w:rPr>
          <w:rFonts w:eastAsia="Times New Roman" w:cs="Times New Roman"/>
          <w:sz w:val="22"/>
          <w:szCs w:val="20"/>
        </w:rPr>
        <w:t xml:space="preserve">O principal objetivo da cartografia cadastral urbana é constituir, organizar e apresentar informações cartográficas para a gestão e utilização do espaço, de acordo com as necessidades dos cadastros urbanos. </w:t>
      </w:r>
    </w:p>
    <w:p w14:paraId="280F8F8C" w14:textId="77777777" w:rsidR="00E71358" w:rsidRPr="00D05FBD" w:rsidRDefault="00E71358" w:rsidP="00E71358">
      <w:pPr>
        <w:spacing w:line="240" w:lineRule="auto"/>
        <w:ind w:left="2267"/>
        <w:rPr>
          <w:rFonts w:eastAsia="Times New Roman" w:cs="Times New Roman"/>
          <w:sz w:val="22"/>
          <w:szCs w:val="20"/>
        </w:rPr>
      </w:pPr>
      <w:r w:rsidRPr="00D05FBD">
        <w:rPr>
          <w:rFonts w:eastAsia="Times New Roman" w:cs="Times New Roman"/>
          <w:sz w:val="22"/>
          <w:szCs w:val="20"/>
        </w:rPr>
        <w:t>[...]</w:t>
      </w:r>
    </w:p>
    <w:p w14:paraId="7802C081" w14:textId="77777777" w:rsidR="00E71358" w:rsidRPr="00D05FBD" w:rsidRDefault="00E71358" w:rsidP="00DA6102">
      <w:pPr>
        <w:spacing w:after="240" w:line="240" w:lineRule="auto"/>
        <w:ind w:left="2267"/>
        <w:rPr>
          <w:rFonts w:eastAsia="Times New Roman" w:cs="Times New Roman"/>
          <w:sz w:val="22"/>
          <w:szCs w:val="20"/>
        </w:rPr>
      </w:pPr>
      <w:r w:rsidRPr="00D05FBD">
        <w:rPr>
          <w:rFonts w:eastAsia="Times New Roman" w:cs="Times New Roman"/>
          <w:sz w:val="22"/>
          <w:szCs w:val="20"/>
        </w:rPr>
        <w:lastRenderedPageBreak/>
        <w:t>Sob estas condições o papel da cartografia cadastral urbana é fundamental na delimitação das áreas de preempção, pois disponibiliza ferramentas que auxiliam o gestor público na tomada de decisão (Sistemas de Informação Cadastral); proporciona um procedimento rápido de avaliação do valor do imóvel (Planta de Valores Genéricos); possibilita o enquadramento das áreas em finalidades específicas e programadas a partir de critérios técnicos embasados na realidade ocupacional do espaço urbano; assim como permite o acompanhamento da dinâmica do mercado imobiliário e a contenção da especulação imobiliária.</w:t>
      </w:r>
    </w:p>
    <w:p w14:paraId="4097CA10" w14:textId="77777777" w:rsidR="00E71358" w:rsidRDefault="00E71358" w:rsidP="00E71358">
      <w:pPr>
        <w:rPr>
          <w:rFonts w:eastAsia="Times New Roman" w:cs="Times New Roman"/>
          <w:szCs w:val="24"/>
        </w:rPr>
      </w:pPr>
      <w:r>
        <w:rPr>
          <w:rFonts w:eastAsia="Times New Roman" w:cs="Times New Roman"/>
          <w:szCs w:val="24"/>
        </w:rPr>
        <w:tab/>
      </w:r>
      <w:r w:rsidR="00BF52AE">
        <w:rPr>
          <w:rFonts w:eastAsia="Times New Roman" w:cs="Times New Roman"/>
          <w:szCs w:val="24"/>
        </w:rPr>
        <w:t>Portanto</w:t>
      </w:r>
      <w:r>
        <w:rPr>
          <w:rFonts w:eastAsia="Times New Roman" w:cs="Times New Roman"/>
          <w:szCs w:val="24"/>
        </w:rPr>
        <w:t xml:space="preserve">, </w:t>
      </w:r>
      <w:r w:rsidR="00BF52AE">
        <w:rPr>
          <w:rFonts w:eastAsia="Times New Roman" w:cs="Times New Roman"/>
          <w:szCs w:val="24"/>
        </w:rPr>
        <w:t xml:space="preserve">conhecer as </w:t>
      </w:r>
      <w:r>
        <w:rPr>
          <w:rFonts w:eastAsia="Times New Roman" w:cs="Times New Roman"/>
          <w:szCs w:val="24"/>
        </w:rPr>
        <w:t xml:space="preserve">áreas em que incidirão o Direito de Preempção pelo município de Natal/RN </w:t>
      </w:r>
      <w:r w:rsidR="00BF52AE">
        <w:rPr>
          <w:rFonts w:eastAsia="Times New Roman" w:cs="Times New Roman"/>
          <w:szCs w:val="24"/>
        </w:rPr>
        <w:t>é o primeiro passo para a garantia de efetividade deste instrumento de desenvolvimento urbano previsto no</w:t>
      </w:r>
      <w:r>
        <w:rPr>
          <w:rFonts w:eastAsia="Times New Roman" w:cs="Times New Roman"/>
          <w:szCs w:val="24"/>
        </w:rPr>
        <w:t xml:space="preserve"> Estatuto da Cidade</w:t>
      </w:r>
      <w:r w:rsidR="00BF52AE">
        <w:rPr>
          <w:rFonts w:eastAsia="Times New Roman" w:cs="Times New Roman"/>
          <w:szCs w:val="24"/>
        </w:rPr>
        <w:t>.</w:t>
      </w:r>
    </w:p>
    <w:p w14:paraId="117FD31C" w14:textId="552A09A7" w:rsidR="0086022A" w:rsidRDefault="007169DF" w:rsidP="00DA6102">
      <w:pPr>
        <w:pStyle w:val="Ttulo1"/>
      </w:pPr>
      <w:r>
        <w:t>3 PROCEDIMENTOS METODOLÓGICOS</w:t>
      </w:r>
    </w:p>
    <w:p w14:paraId="7D367948" w14:textId="77777777" w:rsidR="007169DF" w:rsidRDefault="0086022A" w:rsidP="007169DF">
      <w:pPr>
        <w:rPr>
          <w:color w:val="000000"/>
        </w:rPr>
      </w:pPr>
      <w:r>
        <w:rPr>
          <w:rFonts w:eastAsia="Arial"/>
          <w:b/>
        </w:rPr>
        <w:tab/>
      </w:r>
      <w:r w:rsidR="008E7EC5" w:rsidRPr="0086022A">
        <w:rPr>
          <w:color w:val="000000"/>
        </w:rPr>
        <w:t xml:space="preserve">O </w:t>
      </w:r>
      <w:r w:rsidR="00B27078" w:rsidRPr="0086022A">
        <w:rPr>
          <w:color w:val="000000"/>
        </w:rPr>
        <w:t>presente artigo é uma pesquisa</w:t>
      </w:r>
      <w:r w:rsidR="00F8750C" w:rsidRPr="0086022A">
        <w:rPr>
          <w:bCs/>
          <w:color w:val="000000"/>
        </w:rPr>
        <w:t xml:space="preserve"> do tipo</w:t>
      </w:r>
      <w:r w:rsidR="00B27078" w:rsidRPr="0086022A">
        <w:rPr>
          <w:color w:val="000000"/>
        </w:rPr>
        <w:t xml:space="preserve"> </w:t>
      </w:r>
      <w:r w:rsidR="00C74EBA" w:rsidRPr="0086022A">
        <w:rPr>
          <w:bCs/>
          <w:color w:val="000000"/>
        </w:rPr>
        <w:t>teórica,</w:t>
      </w:r>
      <w:r w:rsidR="00C26083" w:rsidRPr="0086022A">
        <w:rPr>
          <w:bCs/>
          <w:color w:val="000000"/>
        </w:rPr>
        <w:t xml:space="preserve"> caracterizada por ser uma revisão bibliográfica</w:t>
      </w:r>
      <w:r w:rsidR="00B77B9B" w:rsidRPr="0086022A">
        <w:rPr>
          <w:bCs/>
          <w:color w:val="000000"/>
        </w:rPr>
        <w:t xml:space="preserve"> e legislativa</w:t>
      </w:r>
      <w:r w:rsidR="00C26083" w:rsidRPr="0086022A">
        <w:rPr>
          <w:bCs/>
          <w:color w:val="000000"/>
        </w:rPr>
        <w:t>. P</w:t>
      </w:r>
      <w:r w:rsidR="00B27078" w:rsidRPr="0086022A">
        <w:rPr>
          <w:color w:val="000000"/>
        </w:rPr>
        <w:t xml:space="preserve">or isso, os instrumentos técnicos utilizados foram do tipo bibliográfico e documental, visto que as fontes usadas </w:t>
      </w:r>
      <w:r w:rsidR="00C26083" w:rsidRPr="0086022A">
        <w:rPr>
          <w:bCs/>
          <w:color w:val="000000"/>
        </w:rPr>
        <w:t xml:space="preserve">no trabalho </w:t>
      </w:r>
      <w:r w:rsidR="00B27078" w:rsidRPr="0086022A">
        <w:rPr>
          <w:color w:val="000000"/>
        </w:rPr>
        <w:t>são artigos científicos, leis, decretos e portarias (</w:t>
      </w:r>
      <w:proofErr w:type="spellStart"/>
      <w:r w:rsidR="00B27078" w:rsidRPr="0086022A">
        <w:rPr>
          <w:color w:val="000000"/>
        </w:rPr>
        <w:t>Prodanov</w:t>
      </w:r>
      <w:proofErr w:type="spellEnd"/>
      <w:r w:rsidR="00B27078" w:rsidRPr="0086022A">
        <w:rPr>
          <w:color w:val="000000"/>
        </w:rPr>
        <w:t xml:space="preserve"> e Freitas, 2013, p. 55). Além disso, para elaboração deste trabalho</w:t>
      </w:r>
      <w:r w:rsidR="00C26083" w:rsidRPr="0086022A">
        <w:rPr>
          <w:bCs/>
          <w:color w:val="000000"/>
        </w:rPr>
        <w:t xml:space="preserve"> foi utilizado</w:t>
      </w:r>
      <w:r w:rsidR="00B27078" w:rsidRPr="0086022A">
        <w:rPr>
          <w:color w:val="000000"/>
        </w:rPr>
        <w:t xml:space="preserve"> o site de pesquisa </w:t>
      </w:r>
      <w:r w:rsidR="00B27078" w:rsidRPr="0086022A">
        <w:rPr>
          <w:i/>
          <w:color w:val="000000"/>
        </w:rPr>
        <w:t>google</w:t>
      </w:r>
      <w:r w:rsidR="00B27078" w:rsidRPr="0086022A">
        <w:rPr>
          <w:color w:val="000000"/>
        </w:rPr>
        <w:t xml:space="preserve"> acadêmico, por me</w:t>
      </w:r>
      <w:r w:rsidR="00C26083" w:rsidRPr="0086022A">
        <w:rPr>
          <w:bCs/>
          <w:color w:val="000000"/>
        </w:rPr>
        <w:t>io da busca de arquivos com as p</w:t>
      </w:r>
      <w:r w:rsidR="00B27078" w:rsidRPr="0086022A">
        <w:rPr>
          <w:color w:val="000000"/>
        </w:rPr>
        <w:t>alavras-chaves: "</w:t>
      </w:r>
      <w:r w:rsidR="00C26083" w:rsidRPr="0086022A">
        <w:rPr>
          <w:bCs/>
          <w:color w:val="000000"/>
        </w:rPr>
        <w:t>Direito de Preempção</w:t>
      </w:r>
      <w:r w:rsidR="00F85AE7" w:rsidRPr="0086022A">
        <w:rPr>
          <w:bCs/>
          <w:color w:val="000000"/>
        </w:rPr>
        <w:t>",</w:t>
      </w:r>
      <w:r w:rsidR="00B27078" w:rsidRPr="0086022A">
        <w:rPr>
          <w:color w:val="000000"/>
        </w:rPr>
        <w:t xml:space="preserve"> "</w:t>
      </w:r>
      <w:r w:rsidR="00C26083" w:rsidRPr="0086022A">
        <w:rPr>
          <w:bCs/>
          <w:color w:val="000000"/>
        </w:rPr>
        <w:t>plano diretor</w:t>
      </w:r>
      <w:r w:rsidR="00B27078" w:rsidRPr="0086022A">
        <w:rPr>
          <w:color w:val="000000"/>
        </w:rPr>
        <w:t>" e "</w:t>
      </w:r>
      <w:r w:rsidR="00C26083" w:rsidRPr="0086022A">
        <w:rPr>
          <w:bCs/>
          <w:color w:val="000000"/>
        </w:rPr>
        <w:t>Rio Grande do Norte</w:t>
      </w:r>
      <w:r w:rsidR="00B27078" w:rsidRPr="0086022A">
        <w:rPr>
          <w:color w:val="000000"/>
        </w:rPr>
        <w:t xml:space="preserve">". </w:t>
      </w:r>
      <w:r w:rsidR="005A1C70" w:rsidRPr="0086022A">
        <w:rPr>
          <w:bCs/>
          <w:color w:val="000000"/>
        </w:rPr>
        <w:t xml:space="preserve">Igualmente, </w:t>
      </w:r>
      <w:r w:rsidR="00A81871" w:rsidRPr="0086022A">
        <w:rPr>
          <w:bCs/>
          <w:color w:val="000000"/>
        </w:rPr>
        <w:t>priorizou</w:t>
      </w:r>
      <w:r w:rsidR="005A1C70" w:rsidRPr="0086022A">
        <w:rPr>
          <w:bCs/>
          <w:color w:val="000000"/>
        </w:rPr>
        <w:t>-se</w:t>
      </w:r>
      <w:r w:rsidR="00B27078" w:rsidRPr="0086022A">
        <w:rPr>
          <w:color w:val="000000"/>
        </w:rPr>
        <w:t xml:space="preserve"> trabalhos acadêmicos produzidos </w:t>
      </w:r>
      <w:r w:rsidR="00F85AE7" w:rsidRPr="0086022A">
        <w:rPr>
          <w:bCs/>
          <w:color w:val="000000"/>
        </w:rPr>
        <w:t xml:space="preserve">na Universidade Federal do </w:t>
      </w:r>
      <w:r w:rsidR="0071141E" w:rsidRPr="0086022A">
        <w:rPr>
          <w:color w:val="000000"/>
        </w:rPr>
        <w:t xml:space="preserve">Rio Grande do Norte, por se tratar do estado </w:t>
      </w:r>
      <w:r w:rsidR="00DB5E2A" w:rsidRPr="0086022A">
        <w:rPr>
          <w:bCs/>
          <w:color w:val="000000"/>
        </w:rPr>
        <w:t>n</w:t>
      </w:r>
      <w:r w:rsidR="0071141E" w:rsidRPr="0086022A">
        <w:rPr>
          <w:color w:val="000000"/>
        </w:rPr>
        <w:t>o qual foi desenvolvida a pesquisa</w:t>
      </w:r>
      <w:r w:rsidR="00B27078" w:rsidRPr="0086022A">
        <w:rPr>
          <w:color w:val="000000"/>
        </w:rPr>
        <w:t>.</w:t>
      </w:r>
    </w:p>
    <w:p w14:paraId="2DD7B7DE" w14:textId="77777777" w:rsidR="00B27078" w:rsidRDefault="009C023A" w:rsidP="007169DF">
      <w:pPr>
        <w:ind w:firstLine="851"/>
        <w:rPr>
          <w:color w:val="000000"/>
        </w:rPr>
      </w:pPr>
      <w:r>
        <w:rPr>
          <w:color w:val="000000"/>
        </w:rPr>
        <w:t>Dess</w:t>
      </w:r>
      <w:r w:rsidR="0071141E">
        <w:rPr>
          <w:color w:val="000000"/>
        </w:rPr>
        <w:t>a forma, a</w:t>
      </w:r>
      <w:r w:rsidR="00B27078" w:rsidRPr="00B27078">
        <w:rPr>
          <w:color w:val="000000"/>
        </w:rPr>
        <w:t xml:space="preserve"> abordagem aqui utiliz</w:t>
      </w:r>
      <w:r w:rsidR="00CA492D">
        <w:rPr>
          <w:color w:val="000000"/>
        </w:rPr>
        <w:t>ada será de cunho qualitativo. Assim, a</w:t>
      </w:r>
      <w:r w:rsidR="00BD5451">
        <w:rPr>
          <w:color w:val="000000"/>
        </w:rPr>
        <w:t xml:space="preserve">bordar é a maneira </w:t>
      </w:r>
      <w:r w:rsidR="00B27078" w:rsidRPr="00B27078">
        <w:rPr>
          <w:color w:val="000000"/>
        </w:rPr>
        <w:t xml:space="preserve">como o pesquisador vai analisar os dados coletados ao longo da pesquisa. Conforme </w:t>
      </w:r>
      <w:proofErr w:type="spellStart"/>
      <w:r w:rsidR="00B27078" w:rsidRPr="00B27078">
        <w:rPr>
          <w:color w:val="000000"/>
        </w:rPr>
        <w:t>Gerhardt</w:t>
      </w:r>
      <w:proofErr w:type="spellEnd"/>
      <w:r w:rsidR="00B27078" w:rsidRPr="00B27078">
        <w:rPr>
          <w:color w:val="000000"/>
        </w:rPr>
        <w:t xml:space="preserve"> e Silveira (2009), uma pesquisa qualitativa centra-se no pesquisador, pois esse, ao analisar as fontes, irá discorrer e analisá-las. Em adição, o método é o Hipotético-dedutivo</w:t>
      </w:r>
      <w:r w:rsidR="00CA492D">
        <w:rPr>
          <w:color w:val="000000"/>
        </w:rPr>
        <w:t>, que</w:t>
      </w:r>
      <w:r w:rsidR="00B27078" w:rsidRPr="00B27078">
        <w:rPr>
          <w:color w:val="000000"/>
        </w:rPr>
        <w:t xml:space="preserve"> se baseia, resumidamente, em criar hipóteses e averiguar se respondem ao problema.</w:t>
      </w:r>
      <w:r w:rsidR="00756A58">
        <w:rPr>
          <w:color w:val="000000"/>
        </w:rPr>
        <w:t xml:space="preserve"> </w:t>
      </w:r>
      <w:r w:rsidR="00CA492D">
        <w:rPr>
          <w:color w:val="000000"/>
        </w:rPr>
        <w:t>Por fim</w:t>
      </w:r>
      <w:r w:rsidR="00B27078" w:rsidRPr="00B27078">
        <w:rPr>
          <w:color w:val="000000"/>
        </w:rPr>
        <w:t>, a pesquisa se deu por meio de 4 etapas: Delimitação do problema, criação de hipót</w:t>
      </w:r>
      <w:r w:rsidR="00756A58">
        <w:rPr>
          <w:color w:val="000000"/>
        </w:rPr>
        <w:t xml:space="preserve">eses e refutação ou confirmação </w:t>
      </w:r>
      <w:r w:rsidR="00B27078" w:rsidRPr="00B27078">
        <w:rPr>
          <w:color w:val="000000"/>
        </w:rPr>
        <w:t>das hipóteses.</w:t>
      </w:r>
    </w:p>
    <w:p w14:paraId="762EEE02" w14:textId="77777777" w:rsidR="00E2349F" w:rsidRDefault="00501BF8" w:rsidP="00DA6102">
      <w:pPr>
        <w:pStyle w:val="Ttulo1"/>
      </w:pPr>
      <w:r>
        <w:lastRenderedPageBreak/>
        <w:t>4 RESULTADOS (SEÇÃO PRIMÁRIA: MAIÚSCULO COM NEGRITO)</w:t>
      </w:r>
    </w:p>
    <w:p w14:paraId="69D661E6" w14:textId="77777777" w:rsidR="00292AB2" w:rsidRDefault="00292AB2" w:rsidP="00F6430B">
      <w:pPr>
        <w:ind w:firstLine="851"/>
        <w:rPr>
          <w:rFonts w:eastAsia="Times New Roman" w:cs="Times New Roman"/>
          <w:szCs w:val="24"/>
        </w:rPr>
      </w:pPr>
      <w:r>
        <w:rPr>
          <w:rFonts w:eastAsia="Times New Roman" w:cs="Times New Roman"/>
          <w:szCs w:val="24"/>
        </w:rPr>
        <w:t xml:space="preserve">Como se sabe, a pesquisa se deu, principalmente, no site </w:t>
      </w:r>
      <w:r w:rsidRPr="00B74CA9">
        <w:rPr>
          <w:rFonts w:eastAsia="Times New Roman" w:cs="Times New Roman"/>
          <w:i/>
          <w:szCs w:val="24"/>
        </w:rPr>
        <w:t>google</w:t>
      </w:r>
      <w:r>
        <w:rPr>
          <w:rFonts w:eastAsia="Times New Roman" w:cs="Times New Roman"/>
          <w:szCs w:val="24"/>
        </w:rPr>
        <w:t xml:space="preserve"> e nos sítios eletrônicos de órgãos públicos. Assim, ao buscar a palavra “preempção” na sessão “Diário Oficial” do município de Natal</w:t>
      </w:r>
      <w:r w:rsidRPr="00DA5A62">
        <w:rPr>
          <w:rFonts w:eastAsia="Times New Roman" w:cs="Times New Roman"/>
          <w:szCs w:val="20"/>
        </w:rPr>
        <w:t>/</w:t>
      </w:r>
      <w:r>
        <w:rPr>
          <w:rFonts w:eastAsia="Times New Roman" w:cs="Times New Roman"/>
          <w:szCs w:val="20"/>
        </w:rPr>
        <w:t>R</w:t>
      </w:r>
      <w:r>
        <w:rPr>
          <w:rFonts w:eastAsia="Times New Roman" w:cs="Times New Roman"/>
          <w:szCs w:val="24"/>
        </w:rPr>
        <w:t>N, retorna</w:t>
      </w:r>
      <w:r w:rsidR="00F6430B">
        <w:rPr>
          <w:rFonts w:eastAsia="Times New Roman" w:cs="Times New Roman"/>
          <w:szCs w:val="24"/>
        </w:rPr>
        <w:t>ram-se os seguintes resultados:</w:t>
      </w:r>
    </w:p>
    <w:p w14:paraId="6076ABB1" w14:textId="77777777" w:rsidR="00F6430B" w:rsidRPr="00F6430B" w:rsidRDefault="00F6430B" w:rsidP="00F6430B">
      <w:pPr>
        <w:ind w:firstLine="851"/>
        <w:rPr>
          <w:rFonts w:eastAsia="Times New Roman" w:cs="Times New Roman"/>
          <w:szCs w:val="24"/>
        </w:rPr>
      </w:pPr>
    </w:p>
    <w:p w14:paraId="43A58343" w14:textId="77777777" w:rsidR="00292AB2" w:rsidRPr="00D05FBD" w:rsidRDefault="00292AB2" w:rsidP="00292AB2">
      <w:pPr>
        <w:keepNext/>
        <w:spacing w:line="240" w:lineRule="auto"/>
        <w:jc w:val="center"/>
        <w:rPr>
          <w:rFonts w:eastAsia="Arial" w:cs="Times New Roman"/>
          <w:sz w:val="22"/>
        </w:rPr>
      </w:pPr>
      <w:r>
        <w:rPr>
          <w:rFonts w:eastAsia="Arial" w:cs="Times New Roman"/>
          <w:b/>
          <w:bCs/>
          <w:sz w:val="22"/>
        </w:rPr>
        <w:t>Figura 3</w:t>
      </w:r>
      <w:r w:rsidRPr="00D05FBD">
        <w:rPr>
          <w:rFonts w:eastAsia="Arial" w:cs="Times New Roman"/>
          <w:b/>
          <w:bCs/>
          <w:sz w:val="22"/>
        </w:rPr>
        <w:t xml:space="preserve"> </w:t>
      </w:r>
      <w:r w:rsidRPr="00D05FBD">
        <w:rPr>
          <w:rFonts w:eastAsia="Arial" w:cs="Times New Roman"/>
          <w:sz w:val="22"/>
        </w:rPr>
        <w:t xml:space="preserve">– </w:t>
      </w:r>
      <w:r>
        <w:rPr>
          <w:rFonts w:eastAsia="Arial" w:cs="Times New Roman"/>
          <w:sz w:val="22"/>
        </w:rPr>
        <w:t>Pesquisa em sítio eletrônico do município de Natal, na sessão “Diário Oficial Municipal”, pela palavra “preempção”</w:t>
      </w:r>
    </w:p>
    <w:p w14:paraId="3FA972A3" w14:textId="77777777" w:rsidR="00292AB2" w:rsidRDefault="00292AB2" w:rsidP="00292AB2">
      <w:pPr>
        <w:ind w:firstLine="851"/>
        <w:jc w:val="center"/>
        <w:rPr>
          <w:rFonts w:eastAsia="Times New Roman" w:cs="Times New Roman"/>
          <w:szCs w:val="24"/>
        </w:rPr>
      </w:pPr>
      <w:r>
        <w:rPr>
          <w:rFonts w:eastAsia="Times New Roman" w:cs="Times New Roman"/>
          <w:noProof/>
          <w:szCs w:val="24"/>
        </w:rPr>
        <w:drawing>
          <wp:inline distT="0" distB="0" distL="0" distR="0" wp14:anchorId="172BE18A" wp14:editId="097836F7">
            <wp:extent cx="1811547" cy="2304396"/>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ário oficial - Buscar publicações_pages-to-jpg-0001.jpg"/>
                    <pic:cNvPicPr/>
                  </pic:nvPicPr>
                  <pic:blipFill rotWithShape="1">
                    <a:blip r:embed="rId10" cstate="print">
                      <a:extLst>
                        <a:ext uri="{28A0092B-C50C-407E-A947-70E740481C1C}">
                          <a14:useLocalDpi xmlns:a14="http://schemas.microsoft.com/office/drawing/2010/main" val="0"/>
                        </a:ext>
                      </a:extLst>
                    </a:blip>
                    <a:srcRect l="4298" t="49607" r="65079" b="22852"/>
                    <a:stretch/>
                  </pic:blipFill>
                  <pic:spPr bwMode="auto">
                    <a:xfrm>
                      <a:off x="0" y="0"/>
                      <a:ext cx="1827233" cy="2324349"/>
                    </a:xfrm>
                    <a:prstGeom prst="rect">
                      <a:avLst/>
                    </a:prstGeom>
                    <a:ln>
                      <a:noFill/>
                    </a:ln>
                    <a:extLst>
                      <a:ext uri="{53640926-AAD7-44D8-BBD7-CCE9431645EC}">
                        <a14:shadowObscured xmlns:a14="http://schemas.microsoft.com/office/drawing/2010/main"/>
                      </a:ext>
                    </a:extLst>
                  </pic:spPr>
                </pic:pic>
              </a:graphicData>
            </a:graphic>
          </wp:inline>
        </w:drawing>
      </w:r>
    </w:p>
    <w:p w14:paraId="629FB420" w14:textId="77777777" w:rsidR="00292AB2" w:rsidRPr="00DA6102" w:rsidRDefault="00292AB2" w:rsidP="00DA6102">
      <w:pPr>
        <w:spacing w:line="240" w:lineRule="auto"/>
        <w:jc w:val="center"/>
        <w:rPr>
          <w:rFonts w:eastAsia="Arial" w:cs="Times New Roman"/>
          <w:sz w:val="20"/>
          <w:szCs w:val="20"/>
        </w:rPr>
      </w:pPr>
      <w:r w:rsidRPr="00DA6102">
        <w:rPr>
          <w:rFonts w:eastAsia="Arial" w:cs="Times New Roman"/>
          <w:b/>
          <w:bCs/>
          <w:sz w:val="20"/>
          <w:szCs w:val="20"/>
        </w:rPr>
        <w:t>Fonte:</w:t>
      </w:r>
      <w:r w:rsidRPr="00DA6102">
        <w:rPr>
          <w:rFonts w:eastAsia="Arial" w:cs="Times New Roman"/>
          <w:sz w:val="20"/>
          <w:szCs w:val="20"/>
        </w:rPr>
        <w:t xml:space="preserve"> Autor (2023)</w:t>
      </w:r>
    </w:p>
    <w:p w14:paraId="23CE1275" w14:textId="77777777" w:rsidR="00292AB2" w:rsidRPr="00DA6102" w:rsidRDefault="00292AB2" w:rsidP="00292AB2">
      <w:pPr>
        <w:ind w:firstLine="851"/>
        <w:rPr>
          <w:rFonts w:eastAsia="Times New Roman" w:cs="Times New Roman"/>
          <w:sz w:val="18"/>
          <w:szCs w:val="18"/>
        </w:rPr>
      </w:pPr>
    </w:p>
    <w:p w14:paraId="33A6DC62" w14:textId="77777777" w:rsidR="00292AB2" w:rsidRDefault="00F558E3" w:rsidP="00292AB2">
      <w:pPr>
        <w:ind w:firstLine="851"/>
        <w:rPr>
          <w:rFonts w:eastAsia="Times New Roman" w:cs="Times New Roman"/>
          <w:szCs w:val="24"/>
        </w:rPr>
      </w:pPr>
      <w:r>
        <w:rPr>
          <w:rFonts w:eastAsia="Times New Roman" w:cs="Times New Roman"/>
          <w:szCs w:val="24"/>
        </w:rPr>
        <w:t>Assim, t</w:t>
      </w:r>
      <w:r w:rsidR="00F6430B">
        <w:rPr>
          <w:rFonts w:eastAsia="Times New Roman" w:cs="Times New Roman"/>
          <w:szCs w:val="24"/>
        </w:rPr>
        <w:t>od</w:t>
      </w:r>
      <w:r w:rsidR="00292AB2" w:rsidRPr="00F6430B">
        <w:rPr>
          <w:rFonts w:eastAsia="Times New Roman" w:cs="Times New Roman"/>
          <w:szCs w:val="24"/>
        </w:rPr>
        <w:t xml:space="preserve">os </w:t>
      </w:r>
      <w:r w:rsidR="00F6430B">
        <w:rPr>
          <w:rFonts w:eastAsia="Times New Roman" w:cs="Times New Roman"/>
          <w:szCs w:val="24"/>
        </w:rPr>
        <w:t xml:space="preserve">os </w:t>
      </w:r>
      <w:r w:rsidR="00292AB2" w:rsidRPr="00F6430B">
        <w:rPr>
          <w:rFonts w:eastAsia="Times New Roman" w:cs="Times New Roman"/>
          <w:szCs w:val="24"/>
        </w:rPr>
        <w:t>oito resultados encontrados</w:t>
      </w:r>
      <w:r w:rsidR="00F6430B">
        <w:rPr>
          <w:rFonts w:eastAsia="Times New Roman" w:cs="Times New Roman"/>
          <w:szCs w:val="24"/>
        </w:rPr>
        <w:t xml:space="preserve"> se</w:t>
      </w:r>
      <w:r w:rsidR="00292AB2" w:rsidRPr="00F6430B">
        <w:rPr>
          <w:rFonts w:eastAsia="Times New Roman" w:cs="Times New Roman"/>
          <w:szCs w:val="24"/>
        </w:rPr>
        <w:t xml:space="preserve"> referiam a</w:t>
      </w:r>
      <w:r w:rsidR="00CE19B5">
        <w:rPr>
          <w:rFonts w:eastAsia="Times New Roman" w:cs="Times New Roman"/>
          <w:szCs w:val="24"/>
        </w:rPr>
        <w:t>s</w:t>
      </w:r>
      <w:r w:rsidR="00292AB2" w:rsidRPr="00F6430B">
        <w:rPr>
          <w:rFonts w:eastAsia="Times New Roman" w:cs="Times New Roman"/>
          <w:szCs w:val="24"/>
        </w:rPr>
        <w:t xml:space="preserve"> legislações municipais que previam o direito de preempção.</w:t>
      </w:r>
      <w:r w:rsidR="006B2D9D">
        <w:rPr>
          <w:rFonts w:eastAsia="Times New Roman" w:cs="Times New Roman"/>
          <w:szCs w:val="24"/>
        </w:rPr>
        <w:t xml:space="preserve"> Além disso</w:t>
      </w:r>
      <w:r>
        <w:rPr>
          <w:rFonts w:eastAsia="Times New Roman" w:cs="Times New Roman"/>
          <w:szCs w:val="24"/>
        </w:rPr>
        <w:t>, nenhum citava</w:t>
      </w:r>
      <w:r w:rsidR="00D924C1">
        <w:rPr>
          <w:rFonts w:eastAsia="Times New Roman" w:cs="Times New Roman"/>
          <w:szCs w:val="24"/>
        </w:rPr>
        <w:t xml:space="preserve"> </w:t>
      </w:r>
      <w:r>
        <w:rPr>
          <w:rFonts w:eastAsia="Times New Roman" w:cs="Times New Roman"/>
          <w:szCs w:val="24"/>
        </w:rPr>
        <w:t>caso</w:t>
      </w:r>
      <w:r w:rsidR="00D924C1">
        <w:rPr>
          <w:rFonts w:eastAsia="Times New Roman" w:cs="Times New Roman"/>
          <w:szCs w:val="24"/>
        </w:rPr>
        <w:t>s</w:t>
      </w:r>
      <w:r>
        <w:rPr>
          <w:rFonts w:eastAsia="Times New Roman" w:cs="Times New Roman"/>
          <w:szCs w:val="24"/>
        </w:rPr>
        <w:t xml:space="preserve"> concreto</w:t>
      </w:r>
      <w:r w:rsidR="00D924C1">
        <w:rPr>
          <w:rFonts w:eastAsia="Times New Roman" w:cs="Times New Roman"/>
          <w:szCs w:val="24"/>
        </w:rPr>
        <w:t>s</w:t>
      </w:r>
      <w:r>
        <w:rPr>
          <w:rFonts w:eastAsia="Times New Roman" w:cs="Times New Roman"/>
          <w:szCs w:val="24"/>
        </w:rPr>
        <w:t xml:space="preserve"> de aplicaç</w:t>
      </w:r>
      <w:r w:rsidR="00D924C1">
        <w:rPr>
          <w:rFonts w:eastAsia="Times New Roman" w:cs="Times New Roman"/>
          <w:szCs w:val="24"/>
        </w:rPr>
        <w:t>ão do instituto no município.</w:t>
      </w:r>
    </w:p>
    <w:p w14:paraId="23617930" w14:textId="77777777" w:rsidR="00292AB2" w:rsidRDefault="009D1B72" w:rsidP="00292AB2">
      <w:pPr>
        <w:ind w:firstLine="851"/>
        <w:rPr>
          <w:rFonts w:eastAsia="Times New Roman" w:cs="Times New Roman"/>
          <w:szCs w:val="24"/>
        </w:rPr>
      </w:pPr>
      <w:r>
        <w:rPr>
          <w:rFonts w:eastAsia="Times New Roman" w:cs="Times New Roman"/>
          <w:szCs w:val="24"/>
        </w:rPr>
        <w:t>Quando foram</w:t>
      </w:r>
      <w:r w:rsidR="00292AB2">
        <w:rPr>
          <w:rFonts w:eastAsia="Times New Roman" w:cs="Times New Roman"/>
          <w:szCs w:val="24"/>
        </w:rPr>
        <w:t xml:space="preserve"> </w:t>
      </w:r>
      <w:r>
        <w:rPr>
          <w:rFonts w:eastAsia="Times New Roman" w:cs="Times New Roman"/>
          <w:szCs w:val="24"/>
        </w:rPr>
        <w:t>buscadas as palavras “preempção” e “direito de preempção”</w:t>
      </w:r>
      <w:r w:rsidR="00553104">
        <w:rPr>
          <w:rFonts w:eastAsia="Times New Roman" w:cs="Times New Roman"/>
          <w:szCs w:val="24"/>
        </w:rPr>
        <w:t xml:space="preserve">, </w:t>
      </w:r>
      <w:r w:rsidR="00AD5204">
        <w:rPr>
          <w:rFonts w:eastAsia="Times New Roman" w:cs="Times New Roman"/>
          <w:szCs w:val="24"/>
        </w:rPr>
        <w:t xml:space="preserve">no sítio eletrônico </w:t>
      </w:r>
      <w:r w:rsidR="00440D9C">
        <w:rPr>
          <w:rFonts w:eastAsia="Times New Roman" w:cs="Times New Roman"/>
          <w:szCs w:val="24"/>
        </w:rPr>
        <w:t xml:space="preserve">do Estado do </w:t>
      </w:r>
      <w:r w:rsidR="00AD5204">
        <w:rPr>
          <w:rFonts w:eastAsia="Times New Roman" w:cs="Times New Roman"/>
          <w:szCs w:val="24"/>
        </w:rPr>
        <w:t>Rio Grande do Norte</w:t>
      </w:r>
      <w:r>
        <w:rPr>
          <w:rFonts w:eastAsia="Times New Roman" w:cs="Times New Roman"/>
          <w:szCs w:val="24"/>
        </w:rPr>
        <w:t xml:space="preserve">, </w:t>
      </w:r>
      <w:r w:rsidR="00440D9C">
        <w:rPr>
          <w:rFonts w:eastAsia="Times New Roman" w:cs="Times New Roman"/>
          <w:szCs w:val="24"/>
        </w:rPr>
        <w:t>localizou-se apenas 1 resultado</w:t>
      </w:r>
      <w:r w:rsidR="00553104">
        <w:rPr>
          <w:rFonts w:eastAsia="Times New Roman" w:cs="Times New Roman"/>
          <w:szCs w:val="24"/>
        </w:rPr>
        <w:t xml:space="preserve">, o qual </w:t>
      </w:r>
      <w:r w:rsidR="00440D9C">
        <w:rPr>
          <w:rFonts w:eastAsia="Times New Roman" w:cs="Times New Roman"/>
          <w:szCs w:val="24"/>
        </w:rPr>
        <w:t>não condizia</w:t>
      </w:r>
      <w:r>
        <w:rPr>
          <w:rFonts w:eastAsia="Times New Roman" w:cs="Times New Roman"/>
          <w:szCs w:val="24"/>
        </w:rPr>
        <w:t xml:space="preserve"> com o instituto da política urbana aqui estudado. </w:t>
      </w:r>
      <w:r w:rsidR="00AD5204">
        <w:rPr>
          <w:rFonts w:eastAsia="Times New Roman" w:cs="Times New Roman"/>
          <w:szCs w:val="24"/>
        </w:rPr>
        <w:t xml:space="preserve">Contudo, a pesquisa pelo termo </w:t>
      </w:r>
      <w:r w:rsidR="00292AB2">
        <w:rPr>
          <w:rFonts w:eastAsia="Times New Roman" w:cs="Times New Roman"/>
          <w:szCs w:val="24"/>
        </w:rPr>
        <w:t>“desapropriação”</w:t>
      </w:r>
      <w:r w:rsidR="00440D9C">
        <w:rPr>
          <w:rFonts w:eastAsia="Times New Roman" w:cs="Times New Roman"/>
          <w:szCs w:val="24"/>
        </w:rPr>
        <w:t xml:space="preserve"> localizou</w:t>
      </w:r>
      <w:r w:rsidR="00292AB2">
        <w:rPr>
          <w:rFonts w:eastAsia="Times New Roman" w:cs="Times New Roman"/>
          <w:szCs w:val="24"/>
        </w:rPr>
        <w:t xml:space="preserve"> 513 resultados, sobretudo de Decretos Normativos que desapropriavam imóveis urbanos na Grande Natal. Vide abaixo:</w:t>
      </w:r>
    </w:p>
    <w:p w14:paraId="6D72FB41" w14:textId="77777777" w:rsidR="00292AB2" w:rsidRDefault="00292AB2" w:rsidP="00292AB2">
      <w:pPr>
        <w:rPr>
          <w:rFonts w:eastAsia="Times New Roman" w:cs="Times New Roman"/>
          <w:szCs w:val="24"/>
        </w:rPr>
      </w:pPr>
    </w:p>
    <w:p w14:paraId="6F1DDE21" w14:textId="77777777" w:rsidR="00292AB2" w:rsidRPr="00542402" w:rsidRDefault="00292AB2" w:rsidP="00292AB2">
      <w:pPr>
        <w:keepNext/>
        <w:spacing w:line="240" w:lineRule="auto"/>
        <w:jc w:val="center"/>
        <w:rPr>
          <w:rFonts w:eastAsia="Arial" w:cs="Times New Roman"/>
          <w:sz w:val="22"/>
        </w:rPr>
      </w:pPr>
      <w:r>
        <w:rPr>
          <w:rFonts w:eastAsia="Arial" w:cs="Times New Roman"/>
          <w:b/>
          <w:bCs/>
          <w:sz w:val="22"/>
        </w:rPr>
        <w:lastRenderedPageBreak/>
        <w:t>Figura 4</w:t>
      </w:r>
      <w:r w:rsidRPr="00D05FBD">
        <w:rPr>
          <w:rFonts w:eastAsia="Arial" w:cs="Times New Roman"/>
          <w:b/>
          <w:bCs/>
          <w:sz w:val="22"/>
        </w:rPr>
        <w:t xml:space="preserve"> </w:t>
      </w:r>
      <w:r w:rsidRPr="00D05FBD">
        <w:rPr>
          <w:rFonts w:eastAsia="Arial" w:cs="Times New Roman"/>
          <w:sz w:val="22"/>
        </w:rPr>
        <w:t xml:space="preserve">– </w:t>
      </w:r>
      <w:r>
        <w:rPr>
          <w:rFonts w:eastAsia="Arial" w:cs="Times New Roman"/>
          <w:sz w:val="22"/>
        </w:rPr>
        <w:t>Pesquisa em sítio eletrônico da Controladoria Geral do Estado do Rio Grande do Norte pela palavra “preempção”</w:t>
      </w:r>
    </w:p>
    <w:p w14:paraId="67DF7905" w14:textId="77777777" w:rsidR="00292AB2" w:rsidRDefault="00292AB2" w:rsidP="00292AB2">
      <w:pPr>
        <w:jc w:val="center"/>
        <w:rPr>
          <w:rFonts w:eastAsia="Times New Roman" w:cs="Times New Roman"/>
          <w:szCs w:val="24"/>
        </w:rPr>
      </w:pPr>
      <w:r>
        <w:rPr>
          <w:noProof/>
        </w:rPr>
        <mc:AlternateContent>
          <mc:Choice Requires="wps">
            <w:drawing>
              <wp:anchor distT="0" distB="0" distL="114300" distR="114300" simplePos="0" relativeHeight="251660288" behindDoc="0" locked="0" layoutInCell="1" allowOverlap="1" wp14:anchorId="63E14E50" wp14:editId="55862FD3">
                <wp:simplePos x="0" y="0"/>
                <wp:positionH relativeFrom="column">
                  <wp:posOffset>2218690</wp:posOffset>
                </wp:positionH>
                <wp:positionV relativeFrom="paragraph">
                  <wp:posOffset>1247140</wp:posOffset>
                </wp:positionV>
                <wp:extent cx="540689" cy="198341"/>
                <wp:effectExtent l="0" t="0" r="12065" b="11430"/>
                <wp:wrapNone/>
                <wp:docPr id="5" name="Elipse 5"/>
                <wp:cNvGraphicFramePr/>
                <a:graphic xmlns:a="http://schemas.openxmlformats.org/drawingml/2006/main">
                  <a:graphicData uri="http://schemas.microsoft.com/office/word/2010/wordprocessingShape">
                    <wps:wsp>
                      <wps:cNvSpPr/>
                      <wps:spPr>
                        <a:xfrm>
                          <a:off x="0" y="0"/>
                          <a:ext cx="540689" cy="1983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4288F" id="Elipse 5" o:spid="_x0000_s1026" style="position:absolute;margin-left:174.7pt;margin-top:98.2pt;width:42.5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" filled="f" strokecolor="red" strokeweight="1pt">
                <v:stroke joinstyle="miter"/>
              </v:oval>
            </w:pict>
          </mc:Fallback>
        </mc:AlternateContent>
      </w:r>
      <w:r>
        <w:rPr>
          <w:noProof/>
        </w:rPr>
        <w:drawing>
          <wp:inline distT="0" distB="0" distL="0" distR="0" wp14:anchorId="17E5868D" wp14:editId="5B677AFB">
            <wp:extent cx="4011283" cy="2799541"/>
            <wp:effectExtent l="0" t="0" r="889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924" t="9825" r="29703" b="7289"/>
                    <a:stretch/>
                  </pic:blipFill>
                  <pic:spPr bwMode="auto">
                    <a:xfrm>
                      <a:off x="0" y="0"/>
                      <a:ext cx="4014783" cy="2801984"/>
                    </a:xfrm>
                    <a:prstGeom prst="rect">
                      <a:avLst/>
                    </a:prstGeom>
                    <a:ln>
                      <a:noFill/>
                    </a:ln>
                    <a:extLst>
                      <a:ext uri="{53640926-AAD7-44D8-BBD7-CCE9431645EC}">
                        <a14:shadowObscured xmlns:a14="http://schemas.microsoft.com/office/drawing/2010/main"/>
                      </a:ext>
                    </a:extLst>
                  </pic:spPr>
                </pic:pic>
              </a:graphicData>
            </a:graphic>
          </wp:inline>
        </w:drawing>
      </w:r>
    </w:p>
    <w:p w14:paraId="0332975A" w14:textId="77777777" w:rsidR="00292AB2" w:rsidRDefault="00292AB2" w:rsidP="00292AB2">
      <w:pPr>
        <w:spacing w:line="240" w:lineRule="auto"/>
        <w:jc w:val="left"/>
        <w:rPr>
          <w:rFonts w:eastAsia="Arial" w:cs="Times New Roman"/>
          <w:sz w:val="22"/>
        </w:rPr>
      </w:pPr>
      <w:r w:rsidRPr="00DA6102">
        <w:rPr>
          <w:rFonts w:eastAsia="Arial" w:cs="Times New Roman"/>
          <w:b/>
          <w:bCs/>
          <w:sz w:val="20"/>
          <w:szCs w:val="20"/>
        </w:rPr>
        <w:t>Fonte:</w:t>
      </w:r>
      <w:r w:rsidRPr="00DA6102">
        <w:rPr>
          <w:rFonts w:eastAsia="Arial" w:cs="Times New Roman"/>
          <w:sz w:val="20"/>
          <w:szCs w:val="20"/>
        </w:rPr>
        <w:t xml:space="preserve"> Autor (2023)</w:t>
      </w:r>
    </w:p>
    <w:p w14:paraId="46E505B4" w14:textId="77777777" w:rsidR="00292AB2" w:rsidRDefault="00292AB2" w:rsidP="00292AB2">
      <w:pPr>
        <w:keepNext/>
        <w:spacing w:line="240" w:lineRule="auto"/>
        <w:jc w:val="center"/>
        <w:rPr>
          <w:rFonts w:eastAsia="Arial" w:cs="Times New Roman"/>
          <w:b/>
          <w:bCs/>
          <w:sz w:val="22"/>
        </w:rPr>
      </w:pPr>
    </w:p>
    <w:p w14:paraId="5B189219" w14:textId="77777777" w:rsidR="00292AB2" w:rsidRDefault="00292AB2" w:rsidP="00292AB2">
      <w:pPr>
        <w:keepNext/>
        <w:spacing w:line="240" w:lineRule="auto"/>
        <w:jc w:val="center"/>
        <w:rPr>
          <w:rFonts w:eastAsia="Arial" w:cs="Times New Roman"/>
          <w:b/>
          <w:bCs/>
          <w:sz w:val="22"/>
        </w:rPr>
      </w:pPr>
    </w:p>
    <w:p w14:paraId="58A9B367" w14:textId="77777777" w:rsidR="00292AB2" w:rsidRPr="00D05FBD" w:rsidRDefault="00292AB2" w:rsidP="00292AB2">
      <w:pPr>
        <w:keepNext/>
        <w:spacing w:line="240" w:lineRule="auto"/>
        <w:jc w:val="center"/>
        <w:rPr>
          <w:rFonts w:eastAsia="Arial" w:cs="Times New Roman"/>
          <w:sz w:val="22"/>
        </w:rPr>
      </w:pPr>
      <w:r>
        <w:rPr>
          <w:rFonts w:eastAsia="Arial" w:cs="Times New Roman"/>
          <w:b/>
          <w:bCs/>
          <w:sz w:val="22"/>
        </w:rPr>
        <w:t>Figura 5</w:t>
      </w:r>
      <w:r w:rsidRPr="00D05FBD">
        <w:rPr>
          <w:rFonts w:eastAsia="Arial" w:cs="Times New Roman"/>
          <w:b/>
          <w:bCs/>
          <w:sz w:val="22"/>
        </w:rPr>
        <w:t xml:space="preserve"> </w:t>
      </w:r>
      <w:r w:rsidRPr="00D05FBD">
        <w:rPr>
          <w:rFonts w:eastAsia="Arial" w:cs="Times New Roman"/>
          <w:sz w:val="22"/>
        </w:rPr>
        <w:t xml:space="preserve">– </w:t>
      </w:r>
      <w:r>
        <w:rPr>
          <w:rFonts w:eastAsia="Arial" w:cs="Times New Roman"/>
          <w:sz w:val="22"/>
        </w:rPr>
        <w:t>Pesquisa em sítio eletrônico da Controladoria Geral do Estado do Rio Grande do Norte pela palavra “desapropriação”</w:t>
      </w:r>
    </w:p>
    <w:p w14:paraId="01546CF5" w14:textId="77777777" w:rsidR="00292AB2" w:rsidRDefault="00292AB2" w:rsidP="00292AB2">
      <w:pPr>
        <w:jc w:val="center"/>
        <w:rPr>
          <w:rFonts w:eastAsia="Times New Roman" w:cs="Times New Roman"/>
          <w:szCs w:val="24"/>
        </w:rPr>
      </w:pPr>
      <w:r>
        <w:rPr>
          <w:noProof/>
        </w:rPr>
        <mc:AlternateContent>
          <mc:Choice Requires="wps">
            <w:drawing>
              <wp:anchor distT="114300" distB="114300" distL="114300" distR="114300" simplePos="0" relativeHeight="251659264" behindDoc="0" locked="0" layoutInCell="1" hidden="0" allowOverlap="1" wp14:anchorId="2BE5CC05" wp14:editId="29D0B7AE">
                <wp:simplePos x="0" y="0"/>
                <wp:positionH relativeFrom="column">
                  <wp:posOffset>2300042</wp:posOffset>
                </wp:positionH>
                <wp:positionV relativeFrom="paragraph">
                  <wp:posOffset>1515745</wp:posOffset>
                </wp:positionV>
                <wp:extent cx="443865" cy="276225"/>
                <wp:effectExtent l="0" t="0" r="13335" b="28575"/>
                <wp:wrapNone/>
                <wp:docPr id="1" name="Elipse 1"/>
                <wp:cNvGraphicFramePr/>
                <a:graphic xmlns:a="http://schemas.openxmlformats.org/drawingml/2006/main">
                  <a:graphicData uri="http://schemas.microsoft.com/office/word/2010/wordprocessingShape">
                    <wps:wsp>
                      <wps:cNvSpPr/>
                      <wps:spPr>
                        <a:xfrm>
                          <a:off x="0" y="0"/>
                          <a:ext cx="443865" cy="276225"/>
                        </a:xfrm>
                        <a:prstGeom prst="ellipse">
                          <a:avLst/>
                        </a:prstGeom>
                        <a:noFill/>
                        <a:ln w="12700" cap="flat" cmpd="sng">
                          <a:solidFill>
                            <a:srgbClr val="FF0000"/>
                          </a:solidFill>
                          <a:prstDash val="solid"/>
                          <a:round/>
                          <a:headEnd type="none" w="sm" len="sm"/>
                          <a:tailEnd type="none" w="sm" len="sm"/>
                        </a:ln>
                      </wps:spPr>
                      <wps:txbx>
                        <w:txbxContent>
                          <w:p w14:paraId="1C67D3D4" w14:textId="77777777" w:rsidR="00292AB2" w:rsidRDefault="00292AB2" w:rsidP="00292AB2">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BE5CC05" id="Elipse 1" o:spid="_x0000_s1026" style="position:absolute;left:0;text-align:left;margin-left:181.1pt;margin-top:119.35pt;width:34.95pt;height:21.7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" filled="f" strokecolor="red" strokeweight="1pt">
                <v:stroke startarrowwidth="narrow" startarrowlength="short" endarrowwidth="narrow" endarrowlength="short"/>
                <v:textbox inset="2.53958mm,2.53958mm,2.53958mm,2.53958mm">
                  <w:txbxContent>
                    <w:p w14:paraId="1C67D3D4" w14:textId="77777777" w:rsidR="00292AB2" w:rsidRDefault="00292AB2" w:rsidP="00292AB2">
                      <w:pPr>
                        <w:spacing w:line="240" w:lineRule="auto"/>
                        <w:textDirection w:val="btLr"/>
                      </w:pPr>
                    </w:p>
                  </w:txbxContent>
                </v:textbox>
              </v:oval>
            </w:pict>
          </mc:Fallback>
        </mc:AlternateContent>
      </w:r>
      <w:r>
        <w:rPr>
          <w:rFonts w:eastAsia="Times New Roman" w:cs="Times New Roman"/>
          <w:noProof/>
          <w:szCs w:val="24"/>
        </w:rPr>
        <w:drawing>
          <wp:inline distT="114300" distB="114300" distL="114300" distR="114300" wp14:anchorId="47235C36" wp14:editId="329560D4">
            <wp:extent cx="4589253" cy="3083584"/>
            <wp:effectExtent l="0" t="0" r="1905" b="254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2"/>
                    <a:srcRect l="7870" t="15177" r="29646" b="10233"/>
                    <a:stretch/>
                  </pic:blipFill>
                  <pic:spPr bwMode="auto">
                    <a:xfrm>
                      <a:off x="0" y="0"/>
                      <a:ext cx="4592144" cy="3085526"/>
                    </a:xfrm>
                    <a:prstGeom prst="rect">
                      <a:avLst/>
                    </a:prstGeom>
                    <a:ln>
                      <a:noFill/>
                    </a:ln>
                    <a:extLst>
                      <a:ext uri="{53640926-AAD7-44D8-BBD7-CCE9431645EC}">
                        <a14:shadowObscured xmlns:a14="http://schemas.microsoft.com/office/drawing/2010/main"/>
                      </a:ext>
                    </a:extLst>
                  </pic:spPr>
                </pic:pic>
              </a:graphicData>
            </a:graphic>
          </wp:inline>
        </w:drawing>
      </w:r>
    </w:p>
    <w:p w14:paraId="1EE4B41E" w14:textId="77777777" w:rsidR="00292AB2" w:rsidRPr="00DA6102" w:rsidRDefault="00292AB2" w:rsidP="00292AB2">
      <w:pPr>
        <w:spacing w:line="240" w:lineRule="auto"/>
        <w:jc w:val="left"/>
        <w:rPr>
          <w:rFonts w:eastAsia="Arial" w:cs="Times New Roman"/>
          <w:sz w:val="20"/>
          <w:szCs w:val="20"/>
        </w:rPr>
      </w:pPr>
      <w:r w:rsidRPr="00DA6102">
        <w:rPr>
          <w:rFonts w:eastAsia="Arial" w:cs="Times New Roman"/>
          <w:b/>
          <w:bCs/>
          <w:sz w:val="20"/>
          <w:szCs w:val="20"/>
        </w:rPr>
        <w:t>Fonte:</w:t>
      </w:r>
      <w:r w:rsidRPr="00DA6102">
        <w:rPr>
          <w:rFonts w:eastAsia="Arial" w:cs="Times New Roman"/>
          <w:sz w:val="20"/>
          <w:szCs w:val="20"/>
        </w:rPr>
        <w:t xml:space="preserve"> Autor (2023)</w:t>
      </w:r>
    </w:p>
    <w:p w14:paraId="46DEB6D2" w14:textId="77777777" w:rsidR="00292AB2" w:rsidRDefault="00E2349F" w:rsidP="00E2349F">
      <w:pPr>
        <w:rPr>
          <w:rFonts w:eastAsia="Times New Roman" w:cs="Times New Roman"/>
          <w:szCs w:val="24"/>
        </w:rPr>
      </w:pPr>
      <w:r>
        <w:rPr>
          <w:rFonts w:eastAsia="Times New Roman" w:cs="Times New Roman"/>
          <w:szCs w:val="24"/>
        </w:rPr>
        <w:tab/>
      </w:r>
    </w:p>
    <w:p w14:paraId="6918660C" w14:textId="77777777" w:rsidR="00E2349F" w:rsidRDefault="00292AB2" w:rsidP="00E2349F">
      <w:pPr>
        <w:rPr>
          <w:rFonts w:eastAsia="Times New Roman" w:cs="Times New Roman"/>
          <w:szCs w:val="24"/>
        </w:rPr>
      </w:pPr>
      <w:r>
        <w:rPr>
          <w:rFonts w:eastAsia="Times New Roman" w:cs="Times New Roman"/>
          <w:szCs w:val="24"/>
        </w:rPr>
        <w:tab/>
        <w:t>Portanto, n</w:t>
      </w:r>
      <w:r w:rsidR="00E2349F">
        <w:rPr>
          <w:rFonts w:eastAsia="Times New Roman" w:cs="Times New Roman"/>
          <w:szCs w:val="24"/>
        </w:rPr>
        <w:t xml:space="preserve">ão foi encontrado nenhum caso concreto </w:t>
      </w:r>
      <w:r w:rsidR="00E53F57">
        <w:rPr>
          <w:rFonts w:eastAsia="Times New Roman" w:cs="Times New Roman"/>
          <w:szCs w:val="24"/>
        </w:rPr>
        <w:t xml:space="preserve">de </w:t>
      </w:r>
      <w:r w:rsidR="00E2349F">
        <w:rPr>
          <w:rFonts w:eastAsia="Times New Roman" w:cs="Times New Roman"/>
          <w:szCs w:val="24"/>
        </w:rPr>
        <w:t xml:space="preserve">aplicação do direito de preempção no </w:t>
      </w:r>
      <w:r w:rsidR="00E65114">
        <w:rPr>
          <w:rFonts w:eastAsia="Times New Roman" w:cs="Times New Roman"/>
          <w:szCs w:val="24"/>
        </w:rPr>
        <w:t>município de Natal/RN.</w:t>
      </w:r>
      <w:r w:rsidR="00553104">
        <w:rPr>
          <w:rFonts w:eastAsia="Times New Roman" w:cs="Times New Roman"/>
          <w:szCs w:val="24"/>
        </w:rPr>
        <w:t xml:space="preserve"> Entretanto</w:t>
      </w:r>
      <w:r w:rsidR="00E65114">
        <w:rPr>
          <w:rFonts w:eastAsia="Times New Roman" w:cs="Times New Roman"/>
          <w:szCs w:val="24"/>
        </w:rPr>
        <w:t xml:space="preserve">, </w:t>
      </w:r>
      <w:r w:rsidR="00E2349F">
        <w:rPr>
          <w:rFonts w:eastAsia="Times New Roman" w:cs="Times New Roman"/>
          <w:szCs w:val="24"/>
        </w:rPr>
        <w:t>o</w:t>
      </w:r>
      <w:r w:rsidR="00E65114">
        <w:rPr>
          <w:rFonts w:eastAsia="Times New Roman" w:cs="Times New Roman"/>
          <w:szCs w:val="24"/>
        </w:rPr>
        <w:t xml:space="preserve">bservou-se uma preferência pelo instituto da </w:t>
      </w:r>
      <w:r w:rsidR="00E2349F">
        <w:rPr>
          <w:rFonts w:eastAsia="Times New Roman" w:cs="Times New Roman"/>
          <w:szCs w:val="24"/>
        </w:rPr>
        <w:t xml:space="preserve">desapropriação nos casos em que o município tem interesse sobre o terreno/imóvel do particular. </w:t>
      </w:r>
      <w:r w:rsidR="00E65114">
        <w:rPr>
          <w:rFonts w:eastAsia="Times New Roman" w:cs="Times New Roman"/>
          <w:szCs w:val="24"/>
        </w:rPr>
        <w:t>Vide os exemplos</w:t>
      </w:r>
      <w:r w:rsidR="00E2349F">
        <w:rPr>
          <w:rFonts w:eastAsia="Times New Roman" w:cs="Times New Roman"/>
          <w:szCs w:val="24"/>
        </w:rPr>
        <w:t xml:space="preserve"> abaixo:</w:t>
      </w:r>
    </w:p>
    <w:p w14:paraId="680FD517" w14:textId="77777777" w:rsidR="00E2349F" w:rsidRDefault="00E2349F" w:rsidP="00E2349F">
      <w:pPr>
        <w:rPr>
          <w:rFonts w:eastAsia="Times New Roman" w:cs="Times New Roman"/>
          <w:szCs w:val="24"/>
        </w:rPr>
      </w:pPr>
    </w:p>
    <w:p w14:paraId="426EC16D" w14:textId="77777777" w:rsidR="00E2349F" w:rsidRPr="00D05FBD" w:rsidRDefault="00E2349F" w:rsidP="00E2349F">
      <w:pPr>
        <w:spacing w:line="240" w:lineRule="auto"/>
        <w:ind w:left="2267"/>
        <w:rPr>
          <w:rFonts w:eastAsia="Times New Roman" w:cs="Times New Roman"/>
          <w:b/>
          <w:sz w:val="22"/>
          <w:szCs w:val="20"/>
        </w:rPr>
      </w:pPr>
      <w:r w:rsidRPr="00D05FBD">
        <w:rPr>
          <w:rFonts w:eastAsia="Times New Roman" w:cs="Times New Roman"/>
          <w:b/>
          <w:sz w:val="22"/>
          <w:szCs w:val="20"/>
        </w:rPr>
        <w:t>DECRETO Nº 12.477 DE 04 DE ABRIL DE 2022</w:t>
      </w:r>
    </w:p>
    <w:p w14:paraId="2DFF45EB" w14:textId="77777777" w:rsidR="00E2349F" w:rsidRPr="00D05FBD" w:rsidRDefault="00E2349F" w:rsidP="00E2349F">
      <w:pPr>
        <w:spacing w:line="240" w:lineRule="auto"/>
        <w:ind w:left="2267"/>
        <w:rPr>
          <w:rFonts w:eastAsia="Times New Roman" w:cs="Times New Roman"/>
          <w:sz w:val="22"/>
          <w:szCs w:val="20"/>
        </w:rPr>
      </w:pPr>
      <w:r w:rsidRPr="00D05FBD">
        <w:rPr>
          <w:rFonts w:eastAsia="Times New Roman" w:cs="Times New Roman"/>
          <w:sz w:val="22"/>
          <w:szCs w:val="20"/>
        </w:rPr>
        <w:t>Altera o Decreto nº 10.806 de, 31 de agosto de 2015, que Declara a necessidade e o interesse social para fins de desapropriação de imóvel que especifica, e dá outras providências.</w:t>
      </w:r>
    </w:p>
    <w:p w14:paraId="352A219D" w14:textId="77777777" w:rsidR="00E2349F" w:rsidRPr="00D05FBD" w:rsidRDefault="00E2349F" w:rsidP="00E2349F">
      <w:pPr>
        <w:spacing w:line="240" w:lineRule="auto"/>
        <w:ind w:left="2267"/>
        <w:rPr>
          <w:rFonts w:eastAsia="Times New Roman" w:cs="Times New Roman"/>
          <w:sz w:val="22"/>
          <w:szCs w:val="20"/>
        </w:rPr>
      </w:pPr>
    </w:p>
    <w:p w14:paraId="2C584453" w14:textId="77777777" w:rsidR="00E2349F" w:rsidRPr="00D05FBD" w:rsidRDefault="00E2349F" w:rsidP="00E2349F">
      <w:pPr>
        <w:spacing w:line="240" w:lineRule="auto"/>
        <w:ind w:left="2267"/>
        <w:rPr>
          <w:rFonts w:eastAsia="Times New Roman" w:cs="Times New Roman"/>
          <w:sz w:val="22"/>
          <w:szCs w:val="20"/>
        </w:rPr>
      </w:pPr>
      <w:r w:rsidRPr="00D05FBD">
        <w:rPr>
          <w:rFonts w:eastAsia="Times New Roman" w:cs="Times New Roman"/>
          <w:sz w:val="22"/>
          <w:szCs w:val="20"/>
        </w:rPr>
        <w:t>O PREFEITO DO MUNICÍPIO DO NATAL, no uso das atribuições legais que lhe são conferidas pela Lei nº 4.132. de 10 de setembro de 1962, combinado com o Art. 55, inciso VII da Lei Orgânica do Município de Natal, DECRETA:</w:t>
      </w:r>
    </w:p>
    <w:p w14:paraId="5141F825" w14:textId="77777777" w:rsidR="00E2349F" w:rsidRPr="00D05FBD" w:rsidRDefault="00E2349F" w:rsidP="00E2349F">
      <w:pPr>
        <w:spacing w:line="240" w:lineRule="auto"/>
        <w:ind w:left="2267"/>
        <w:rPr>
          <w:rFonts w:eastAsia="Times New Roman" w:cs="Times New Roman"/>
          <w:sz w:val="22"/>
          <w:szCs w:val="20"/>
        </w:rPr>
      </w:pPr>
    </w:p>
    <w:p w14:paraId="6AD99508" w14:textId="77777777" w:rsidR="00E2349F" w:rsidRPr="00D05FBD" w:rsidRDefault="00E2349F" w:rsidP="00E2349F">
      <w:pPr>
        <w:spacing w:line="240" w:lineRule="auto"/>
        <w:ind w:left="2267"/>
        <w:rPr>
          <w:rFonts w:eastAsia="Times New Roman" w:cs="Times New Roman"/>
          <w:sz w:val="22"/>
          <w:szCs w:val="20"/>
        </w:rPr>
      </w:pPr>
      <w:r w:rsidRPr="00D05FBD">
        <w:rPr>
          <w:rFonts w:eastAsia="Times New Roman" w:cs="Times New Roman"/>
          <w:sz w:val="22"/>
          <w:szCs w:val="20"/>
        </w:rPr>
        <w:t>Art. 1º O Artigo 1º do Decreto nº 10.806, de 31 de agosto de 2015, passa a vigorar com a seguinte redação:</w:t>
      </w:r>
    </w:p>
    <w:p w14:paraId="38373BD5" w14:textId="77777777" w:rsidR="00E2349F" w:rsidRPr="00D05FBD" w:rsidRDefault="00E2349F" w:rsidP="00E2349F">
      <w:pPr>
        <w:spacing w:line="240" w:lineRule="auto"/>
        <w:ind w:left="2267"/>
        <w:rPr>
          <w:rFonts w:eastAsia="Times New Roman" w:cs="Times New Roman"/>
          <w:sz w:val="22"/>
          <w:szCs w:val="20"/>
        </w:rPr>
      </w:pPr>
    </w:p>
    <w:p w14:paraId="39FF31D2" w14:textId="77777777" w:rsidR="00E2349F" w:rsidRPr="004C4A8C" w:rsidRDefault="00E2349F" w:rsidP="004C4A8C">
      <w:pPr>
        <w:spacing w:line="240" w:lineRule="auto"/>
        <w:ind w:left="2267"/>
        <w:rPr>
          <w:rFonts w:eastAsia="Times New Roman" w:cs="Times New Roman"/>
          <w:sz w:val="22"/>
          <w:szCs w:val="20"/>
        </w:rPr>
      </w:pPr>
      <w:r w:rsidRPr="00D05FBD">
        <w:rPr>
          <w:rFonts w:eastAsia="Times New Roman" w:cs="Times New Roman"/>
          <w:sz w:val="22"/>
          <w:szCs w:val="20"/>
        </w:rPr>
        <w:t>"Art. 1º É declarado de necessidade e interesse social para fins de desapropriação, o imóvel situado na Rua João XXIII, s/n, bairro Mãe Luiza, Natal-RN, ocupando Área Foreira Municipal aforado, sob Carta de Aforamento nº 14.743, com as seguintes área, limites e dimensões: S = 440,00 m² Norte: Rua João XXIII com 11,00 m; Sul: Área Foreira não Aforado com 11,00 m; Leste: Terreno Foreiro Municipal com 40,00 m; Oeste: Área Foreira não Aforado com 40,00 m; Amarração: Distando 161,20 m da Avenida Senador Dinarte Mariz. (NR)"</w:t>
      </w:r>
      <w:r w:rsidR="004C4A8C">
        <w:rPr>
          <w:rFonts w:eastAsia="Times New Roman" w:cs="Times New Roman"/>
          <w:sz w:val="22"/>
          <w:szCs w:val="20"/>
        </w:rPr>
        <w:t xml:space="preserve"> </w:t>
      </w:r>
      <w:r w:rsidRPr="00D05FBD">
        <w:rPr>
          <w:rFonts w:eastAsia="Times New Roman" w:cs="Times New Roman"/>
          <w:sz w:val="22"/>
          <w:szCs w:val="20"/>
        </w:rPr>
        <w:t>[...]</w:t>
      </w:r>
      <w:r w:rsidR="004C4A8C">
        <w:rPr>
          <w:rFonts w:eastAsia="Times New Roman" w:cs="Times New Roman"/>
          <w:sz w:val="22"/>
          <w:szCs w:val="20"/>
        </w:rPr>
        <w:t>.</w:t>
      </w:r>
    </w:p>
    <w:p w14:paraId="0E271E28" w14:textId="77777777" w:rsidR="00E2349F" w:rsidRPr="004C4A8C" w:rsidRDefault="00E2349F" w:rsidP="004C4A8C">
      <w:pPr>
        <w:ind w:left="2267"/>
        <w:rPr>
          <w:rFonts w:eastAsia="Times New Roman" w:cs="Times New Roman"/>
          <w:szCs w:val="20"/>
        </w:rPr>
      </w:pPr>
    </w:p>
    <w:p w14:paraId="0DBCA858" w14:textId="77777777" w:rsidR="00E2349F" w:rsidRPr="00D05FBD" w:rsidRDefault="00E2349F" w:rsidP="00E2349F">
      <w:pPr>
        <w:spacing w:line="240" w:lineRule="auto"/>
        <w:ind w:left="2267"/>
        <w:rPr>
          <w:rFonts w:eastAsia="Times New Roman" w:cs="Times New Roman"/>
          <w:b/>
          <w:sz w:val="22"/>
          <w:szCs w:val="20"/>
        </w:rPr>
      </w:pPr>
      <w:r w:rsidRPr="00D05FBD">
        <w:rPr>
          <w:rFonts w:eastAsia="Times New Roman" w:cs="Times New Roman"/>
          <w:b/>
          <w:sz w:val="22"/>
          <w:szCs w:val="20"/>
        </w:rPr>
        <w:t>DECRETO N.º 12.719 DE 10 DE JANEIRO DE 2023</w:t>
      </w:r>
    </w:p>
    <w:p w14:paraId="1992FA35" w14:textId="77777777" w:rsidR="00E2349F" w:rsidRPr="00D05FBD" w:rsidRDefault="00E2349F" w:rsidP="00E2349F">
      <w:pPr>
        <w:spacing w:line="240" w:lineRule="auto"/>
        <w:ind w:left="2267"/>
        <w:rPr>
          <w:rFonts w:eastAsia="Times New Roman" w:cs="Times New Roman"/>
          <w:sz w:val="22"/>
          <w:szCs w:val="20"/>
        </w:rPr>
      </w:pPr>
      <w:r w:rsidRPr="00D05FBD">
        <w:rPr>
          <w:rFonts w:eastAsia="Times New Roman" w:cs="Times New Roman"/>
          <w:sz w:val="22"/>
          <w:szCs w:val="20"/>
        </w:rPr>
        <w:t xml:space="preserve">Declara de necessidade e interesse social para fins de desapropriação os imóveis localizados Rua João Olímpio, Zona Leste de Natal, que serão destinados para a realização de obras para alargamento da Rua João Olímpio, Zona Leste de Natal e construção de uma Praça nas imediações, e dá outras providências. </w:t>
      </w:r>
    </w:p>
    <w:p w14:paraId="36958C9C" w14:textId="77777777" w:rsidR="00E2349F" w:rsidRPr="00D05FBD" w:rsidRDefault="00E2349F" w:rsidP="00E2349F">
      <w:pPr>
        <w:spacing w:line="240" w:lineRule="auto"/>
        <w:ind w:left="2267"/>
        <w:rPr>
          <w:rFonts w:eastAsia="Times New Roman" w:cs="Times New Roman"/>
          <w:sz w:val="22"/>
          <w:szCs w:val="20"/>
        </w:rPr>
      </w:pPr>
    </w:p>
    <w:p w14:paraId="22400FD8" w14:textId="77777777" w:rsidR="00E2349F" w:rsidRPr="00D05FBD" w:rsidRDefault="00E2349F" w:rsidP="00E2349F">
      <w:pPr>
        <w:spacing w:line="240" w:lineRule="auto"/>
        <w:ind w:left="2267"/>
        <w:rPr>
          <w:rFonts w:eastAsia="Times New Roman" w:cs="Times New Roman"/>
          <w:sz w:val="22"/>
          <w:szCs w:val="20"/>
        </w:rPr>
      </w:pPr>
      <w:r w:rsidRPr="00D05FBD">
        <w:rPr>
          <w:rFonts w:eastAsia="Times New Roman" w:cs="Times New Roman"/>
          <w:sz w:val="22"/>
          <w:szCs w:val="20"/>
        </w:rPr>
        <w:t xml:space="preserve">O PREFEITO MUNICIPAL DO NATAL, no uso de suas atribuições legais e na forma que dispõe o Art. 55, incisos IV e VII da Lei Orgânica do Município do Natal, combinado com o Art. 5°, alínea “i” do Decreto Lei </w:t>
      </w:r>
      <w:proofErr w:type="spellStart"/>
      <w:r w:rsidRPr="00D05FBD">
        <w:rPr>
          <w:rFonts w:eastAsia="Times New Roman" w:cs="Times New Roman"/>
          <w:sz w:val="22"/>
          <w:szCs w:val="20"/>
        </w:rPr>
        <w:t>n.°</w:t>
      </w:r>
      <w:proofErr w:type="spellEnd"/>
      <w:r w:rsidRPr="00D05FBD">
        <w:rPr>
          <w:rFonts w:eastAsia="Times New Roman" w:cs="Times New Roman"/>
          <w:sz w:val="22"/>
          <w:szCs w:val="20"/>
        </w:rPr>
        <w:t xml:space="preserve"> 3.365, de 21 de junho de 1941, DECRETA:</w:t>
      </w:r>
    </w:p>
    <w:p w14:paraId="0EAC9CC6" w14:textId="77777777" w:rsidR="00E2349F" w:rsidRPr="00D05FBD" w:rsidRDefault="00E2349F" w:rsidP="00E2349F">
      <w:pPr>
        <w:spacing w:line="240" w:lineRule="auto"/>
        <w:ind w:left="2267"/>
        <w:rPr>
          <w:rFonts w:eastAsia="Times New Roman" w:cs="Times New Roman"/>
          <w:sz w:val="22"/>
          <w:szCs w:val="20"/>
        </w:rPr>
      </w:pPr>
    </w:p>
    <w:p w14:paraId="0F072077" w14:textId="77777777" w:rsidR="00E2349F" w:rsidRPr="00D05FBD" w:rsidRDefault="00E2349F" w:rsidP="00E2349F">
      <w:pPr>
        <w:spacing w:line="240" w:lineRule="auto"/>
        <w:ind w:left="2267"/>
        <w:rPr>
          <w:rFonts w:eastAsia="Times New Roman" w:cs="Times New Roman"/>
          <w:sz w:val="22"/>
          <w:szCs w:val="20"/>
        </w:rPr>
      </w:pPr>
      <w:r w:rsidRPr="00D05FBD">
        <w:rPr>
          <w:rFonts w:eastAsia="Times New Roman" w:cs="Times New Roman"/>
          <w:sz w:val="22"/>
          <w:szCs w:val="20"/>
        </w:rPr>
        <w:t>Art. 1º – Fica declarado de necessidade e interesse social para fins de desapropriação, os imóveis e benfeitorias de domínio ou posse de pessoas diversas, localizadas no Bairro Areia Preta - Zona Leste de Natal, composta por 02 propriedades com as seguintes descrições individualizadas:</w:t>
      </w:r>
    </w:p>
    <w:p w14:paraId="1F75221D" w14:textId="77777777" w:rsidR="00E2349F" w:rsidRPr="00D05FBD" w:rsidRDefault="00E2349F" w:rsidP="00E2349F">
      <w:pPr>
        <w:spacing w:line="240" w:lineRule="auto"/>
        <w:ind w:left="2267"/>
        <w:rPr>
          <w:rFonts w:eastAsia="Times New Roman" w:cs="Times New Roman"/>
          <w:sz w:val="22"/>
          <w:szCs w:val="20"/>
        </w:rPr>
      </w:pPr>
    </w:p>
    <w:p w14:paraId="6BAA84CE" w14:textId="77777777" w:rsidR="00E2349F" w:rsidRPr="00D05FBD" w:rsidRDefault="00E2349F" w:rsidP="00E2349F">
      <w:pPr>
        <w:spacing w:line="240" w:lineRule="auto"/>
        <w:ind w:left="2267"/>
        <w:rPr>
          <w:rFonts w:eastAsia="Times New Roman" w:cs="Times New Roman"/>
          <w:sz w:val="22"/>
          <w:szCs w:val="20"/>
        </w:rPr>
      </w:pPr>
      <w:r w:rsidRPr="00D05FBD">
        <w:rPr>
          <w:rFonts w:eastAsia="Times New Roman" w:cs="Times New Roman"/>
          <w:sz w:val="22"/>
          <w:szCs w:val="20"/>
        </w:rPr>
        <w:t>I – IMÓVEL ID 01: Imóvel com 37,30 m² de área de terreno, situado na Rua João Olímpio, s/n – Areia Preta, que ocupa parte da Carta de Aforamento nº 10.115, com os seguintes limites e dimensões: S = 37,30 m² Norte: Canteiro Existente com 8,20 m; Sul: Rua João Olímpio com 8,20 m; Leste: Imóvel nº 512-A com 4,55 m; Oeste: Rua Enfermeiro João Correia da Silva com 4,55 m; Amarração: Imóvel situado na Rua João Olímpio esquina com a Rua Enfermeiro João Correia da Silva.</w:t>
      </w:r>
    </w:p>
    <w:p w14:paraId="07B5BD9D" w14:textId="77777777" w:rsidR="00E2349F" w:rsidRPr="00D05FBD" w:rsidRDefault="00E2349F" w:rsidP="00E2349F">
      <w:pPr>
        <w:spacing w:line="240" w:lineRule="auto"/>
        <w:ind w:left="2267"/>
        <w:rPr>
          <w:rFonts w:eastAsia="Times New Roman" w:cs="Times New Roman"/>
          <w:sz w:val="22"/>
          <w:szCs w:val="20"/>
        </w:rPr>
      </w:pPr>
      <w:r w:rsidRPr="00D05FBD">
        <w:rPr>
          <w:rFonts w:eastAsia="Times New Roman" w:cs="Times New Roman"/>
          <w:sz w:val="22"/>
          <w:szCs w:val="20"/>
        </w:rPr>
        <w:t xml:space="preserve">II – IMÓVEL ID 02: Imóvel com 30,15 m² de área de terreno, situado na Rua João Olímpio, 512-A – Areia Preta, que ocupa parte da Carta de </w:t>
      </w:r>
      <w:r w:rsidRPr="00D05FBD">
        <w:rPr>
          <w:rFonts w:eastAsia="Times New Roman" w:cs="Times New Roman"/>
          <w:sz w:val="22"/>
          <w:szCs w:val="20"/>
        </w:rPr>
        <w:lastRenderedPageBreak/>
        <w:t xml:space="preserve">Aforamento nº 10.115, com os seguintes limites e dimensões: S = 30,15 m² Norte: Canteiro Existente com 6,80 m; Sul: Rua João Olímpio com 6,60 m; Leste: Imóvel s/n com 4,45 m; Oeste: Imóvel s/n com 4,55 m; Amarração: Imóvel situado na Rua João Olímpio distando 8,20 m da Rua Enfermeiro João Correia da Silva. </w:t>
      </w:r>
    </w:p>
    <w:p w14:paraId="6237DD5D" w14:textId="77777777" w:rsidR="00E2349F" w:rsidRPr="00D05FBD" w:rsidRDefault="00E2349F" w:rsidP="00DA6102">
      <w:pPr>
        <w:spacing w:after="240" w:line="240" w:lineRule="auto"/>
        <w:ind w:left="2267"/>
        <w:rPr>
          <w:rFonts w:eastAsia="Times New Roman" w:cs="Times New Roman"/>
          <w:sz w:val="22"/>
          <w:szCs w:val="20"/>
        </w:rPr>
      </w:pPr>
      <w:r w:rsidRPr="00D05FBD">
        <w:rPr>
          <w:rFonts w:eastAsia="Times New Roman" w:cs="Times New Roman"/>
          <w:sz w:val="22"/>
          <w:szCs w:val="20"/>
        </w:rPr>
        <w:t>[...]</w:t>
      </w:r>
    </w:p>
    <w:p w14:paraId="31DCFAB2" w14:textId="77777777" w:rsidR="00E2349F" w:rsidRDefault="00292AB2" w:rsidP="00DA6102">
      <w:pPr>
        <w:rPr>
          <w:b/>
        </w:rPr>
      </w:pPr>
      <w:r>
        <w:tab/>
      </w:r>
      <w:r w:rsidRPr="00292AB2">
        <w:t xml:space="preserve">Assim, do exposto, apreende-se </w:t>
      </w:r>
      <w:r w:rsidR="000B759A">
        <w:t xml:space="preserve">que </w:t>
      </w:r>
      <w:r w:rsidRPr="00292AB2">
        <w:t>a “desapropriação” aparenta ser um instrumento da política de desenvolvimento urbano mais eficaz para o município de Natal/RN</w:t>
      </w:r>
      <w:r w:rsidR="000B759A">
        <w:t xml:space="preserve"> do que a “preempção”. Diante da ausência de aplicação deste, observa-se um baixo impacto </w:t>
      </w:r>
      <w:r w:rsidRPr="00292AB2">
        <w:t>do instituto na função social da propriedade.</w:t>
      </w:r>
    </w:p>
    <w:p w14:paraId="26D9C564" w14:textId="77777777" w:rsidR="00C97E93" w:rsidRDefault="00501BF8" w:rsidP="00DA6102">
      <w:pPr>
        <w:pStyle w:val="Ttulo1"/>
      </w:pPr>
      <w:r>
        <w:rPr>
          <w:rFonts w:cs="Times New Roman"/>
          <w:spacing w:val="-2"/>
          <w:szCs w:val="24"/>
        </w:rPr>
        <w:t xml:space="preserve">5 </w:t>
      </w:r>
      <w:r>
        <w:t>CONSIDERAÇÕES FINAIS</w:t>
      </w:r>
    </w:p>
    <w:p w14:paraId="568C235F" w14:textId="77777777" w:rsidR="00557591" w:rsidRDefault="00557591" w:rsidP="00557591">
      <w:pPr>
        <w:rPr>
          <w:rFonts w:eastAsia="Times New Roman" w:cs="Times New Roman"/>
          <w:szCs w:val="24"/>
        </w:rPr>
      </w:pPr>
      <w:r>
        <w:rPr>
          <w:rFonts w:eastAsia="Times New Roman" w:cs="Times New Roman"/>
          <w:szCs w:val="24"/>
        </w:rPr>
        <w:tab/>
      </w:r>
      <w:r w:rsidR="000B759A">
        <w:rPr>
          <w:rFonts w:eastAsia="Times New Roman" w:cs="Times New Roman"/>
          <w:szCs w:val="24"/>
        </w:rPr>
        <w:t xml:space="preserve">O </w:t>
      </w:r>
      <w:r>
        <w:rPr>
          <w:rFonts w:eastAsia="Times New Roman" w:cs="Times New Roman"/>
          <w:szCs w:val="24"/>
        </w:rPr>
        <w:t xml:space="preserve">Estatuto da Cidade reza que, para que o município </w:t>
      </w:r>
      <w:r w:rsidR="00BC2839">
        <w:rPr>
          <w:rFonts w:eastAsia="Times New Roman" w:cs="Times New Roman"/>
          <w:szCs w:val="24"/>
        </w:rPr>
        <w:t>usufrua o</w:t>
      </w:r>
      <w:r>
        <w:rPr>
          <w:rFonts w:eastAsia="Times New Roman" w:cs="Times New Roman"/>
          <w:szCs w:val="24"/>
        </w:rPr>
        <w:t xml:space="preserve"> Direito de Preempção, deverá criar lei municipal, baseada no Plano Diretor, que estabeleça as áreas que incidirão a preempção. Entretanto, </w:t>
      </w:r>
      <w:r w:rsidR="007D419D">
        <w:rPr>
          <w:rFonts w:eastAsia="Times New Roman" w:cs="Times New Roman"/>
          <w:szCs w:val="24"/>
        </w:rPr>
        <w:t xml:space="preserve">observou-se </w:t>
      </w:r>
      <w:r>
        <w:rPr>
          <w:rFonts w:eastAsia="Times New Roman" w:cs="Times New Roman"/>
          <w:szCs w:val="24"/>
        </w:rPr>
        <w:t xml:space="preserve">que o município de Natal </w:t>
      </w:r>
      <w:r w:rsidR="0071141E">
        <w:rPr>
          <w:rFonts w:eastAsia="Times New Roman" w:cs="Times New Roman"/>
          <w:szCs w:val="24"/>
        </w:rPr>
        <w:t>não</w:t>
      </w:r>
      <w:r>
        <w:rPr>
          <w:rFonts w:eastAsia="Times New Roman" w:cs="Times New Roman"/>
          <w:szCs w:val="24"/>
        </w:rPr>
        <w:t xml:space="preserve"> cr</w:t>
      </w:r>
      <w:r w:rsidR="000B759A">
        <w:rPr>
          <w:rFonts w:eastAsia="Times New Roman" w:cs="Times New Roman"/>
          <w:szCs w:val="24"/>
        </w:rPr>
        <w:t>iou uma lei específica sobre o tema, delimitando as áreas de in</w:t>
      </w:r>
      <w:r w:rsidR="00BE3CDE">
        <w:rPr>
          <w:rFonts w:eastAsia="Times New Roman" w:cs="Times New Roman"/>
          <w:szCs w:val="24"/>
        </w:rPr>
        <w:t>cidência deste</w:t>
      </w:r>
      <w:r w:rsidR="000B759A">
        <w:rPr>
          <w:rFonts w:eastAsia="Times New Roman" w:cs="Times New Roman"/>
          <w:szCs w:val="24"/>
        </w:rPr>
        <w:t xml:space="preserve"> direito em leis complementares esparsas. </w:t>
      </w:r>
    </w:p>
    <w:p w14:paraId="5935E075" w14:textId="77777777" w:rsidR="0049782E" w:rsidRDefault="009124B7" w:rsidP="00557591">
      <w:pPr>
        <w:rPr>
          <w:rFonts w:eastAsia="Times New Roman" w:cs="Times New Roman"/>
          <w:szCs w:val="24"/>
        </w:rPr>
      </w:pPr>
      <w:r>
        <w:rPr>
          <w:rFonts w:eastAsia="Times New Roman" w:cs="Times New Roman"/>
          <w:szCs w:val="24"/>
        </w:rPr>
        <w:tab/>
        <w:t>Ademais,</w:t>
      </w:r>
      <w:r w:rsidR="00900494">
        <w:rPr>
          <w:rFonts w:eastAsia="Times New Roman" w:cs="Times New Roman"/>
          <w:szCs w:val="24"/>
        </w:rPr>
        <w:t xml:space="preserve"> uma </w:t>
      </w:r>
      <w:r w:rsidR="00557591">
        <w:rPr>
          <w:rFonts w:eastAsia="Times New Roman" w:cs="Times New Roman"/>
          <w:szCs w:val="24"/>
        </w:rPr>
        <w:t xml:space="preserve">problemática encontrada no estudo foi </w:t>
      </w:r>
      <w:r w:rsidR="00BC2839">
        <w:rPr>
          <w:rFonts w:eastAsia="Times New Roman" w:cs="Times New Roman"/>
          <w:szCs w:val="24"/>
        </w:rPr>
        <w:t>à</w:t>
      </w:r>
      <w:r w:rsidR="00557591">
        <w:rPr>
          <w:rFonts w:eastAsia="Times New Roman" w:cs="Times New Roman"/>
          <w:szCs w:val="24"/>
        </w:rPr>
        <w:t xml:space="preserve"> ausência de aplicação d</w:t>
      </w:r>
      <w:r w:rsidR="0049782E">
        <w:rPr>
          <w:rFonts w:eastAsia="Times New Roman" w:cs="Times New Roman"/>
          <w:szCs w:val="24"/>
        </w:rPr>
        <w:t>a preempção</w:t>
      </w:r>
      <w:r w:rsidR="00557591">
        <w:rPr>
          <w:rFonts w:eastAsia="Times New Roman" w:cs="Times New Roman"/>
          <w:szCs w:val="24"/>
        </w:rPr>
        <w:t xml:space="preserve"> no município</w:t>
      </w:r>
      <w:r w:rsidR="0049782E">
        <w:rPr>
          <w:rFonts w:eastAsia="Times New Roman" w:cs="Times New Roman"/>
          <w:szCs w:val="24"/>
        </w:rPr>
        <w:t xml:space="preserve">, </w:t>
      </w:r>
      <w:r w:rsidR="000D58B8">
        <w:rPr>
          <w:rFonts w:eastAsia="Times New Roman" w:cs="Times New Roman"/>
          <w:szCs w:val="24"/>
        </w:rPr>
        <w:t xml:space="preserve">o que impacta os </w:t>
      </w:r>
      <w:r w:rsidR="0049782E">
        <w:rPr>
          <w:rFonts w:eastAsia="Times New Roman" w:cs="Times New Roman"/>
          <w:szCs w:val="24"/>
        </w:rPr>
        <w:t>objetivo</w:t>
      </w:r>
      <w:r w:rsidR="000D58B8">
        <w:rPr>
          <w:rFonts w:eastAsia="Times New Roman" w:cs="Times New Roman"/>
          <w:szCs w:val="24"/>
        </w:rPr>
        <w:t>s</w:t>
      </w:r>
      <w:r w:rsidR="0049782E">
        <w:rPr>
          <w:rFonts w:eastAsia="Times New Roman" w:cs="Times New Roman"/>
          <w:szCs w:val="24"/>
        </w:rPr>
        <w:t xml:space="preserve"> </w:t>
      </w:r>
      <w:r w:rsidR="0049782E" w:rsidRPr="0049782E">
        <w:rPr>
          <w:rFonts w:eastAsia="Times New Roman" w:cs="Times New Roman"/>
          <w:szCs w:val="24"/>
        </w:rPr>
        <w:t>precípuo</w:t>
      </w:r>
      <w:r w:rsidR="000D58B8">
        <w:rPr>
          <w:rFonts w:eastAsia="Times New Roman" w:cs="Times New Roman"/>
          <w:szCs w:val="24"/>
        </w:rPr>
        <w:t>s deste: função social da cidade e bem-estar de seus habitantes.</w:t>
      </w:r>
    </w:p>
    <w:p w14:paraId="02F0C665" w14:textId="77777777" w:rsidR="0049782E" w:rsidRDefault="0049782E" w:rsidP="00557591">
      <w:r>
        <w:rPr>
          <w:rFonts w:eastAsia="Times New Roman" w:cs="Times New Roman"/>
          <w:szCs w:val="24"/>
        </w:rPr>
        <w:tab/>
      </w:r>
      <w:r w:rsidR="004719CD">
        <w:t>E</w:t>
      </w:r>
      <w:r w:rsidR="004719CD">
        <w:rPr>
          <w:rFonts w:eastAsia="Times New Roman" w:cs="Times New Roman"/>
          <w:szCs w:val="24"/>
        </w:rPr>
        <w:t xml:space="preserve">mbora não </w:t>
      </w:r>
      <w:r w:rsidR="00A03912">
        <w:rPr>
          <w:rFonts w:eastAsia="Times New Roman" w:cs="Times New Roman"/>
          <w:szCs w:val="24"/>
        </w:rPr>
        <w:t xml:space="preserve">exista </w:t>
      </w:r>
      <w:r w:rsidR="004719CD">
        <w:rPr>
          <w:rFonts w:eastAsia="Times New Roman" w:cs="Times New Roman"/>
          <w:szCs w:val="24"/>
        </w:rPr>
        <w:t>qualquer sinal de ex</w:t>
      </w:r>
      <w:r w:rsidR="00A51A03">
        <w:rPr>
          <w:rFonts w:eastAsia="Times New Roman" w:cs="Times New Roman"/>
          <w:szCs w:val="24"/>
        </w:rPr>
        <w:t xml:space="preserve">ercício do direito de preempção </w:t>
      </w:r>
      <w:r w:rsidR="004719CD">
        <w:rPr>
          <w:rFonts w:eastAsia="Times New Roman" w:cs="Times New Roman"/>
          <w:szCs w:val="24"/>
        </w:rPr>
        <w:t>em Natal</w:t>
      </w:r>
      <w:r w:rsidR="004719CD" w:rsidRPr="00292AB2">
        <w:rPr>
          <w:rFonts w:eastAsia="Times New Roman" w:cs="Times New Roman"/>
          <w:szCs w:val="20"/>
        </w:rPr>
        <w:t>/</w:t>
      </w:r>
      <w:r w:rsidR="004719CD">
        <w:rPr>
          <w:rFonts w:eastAsia="Times New Roman" w:cs="Times New Roman"/>
          <w:szCs w:val="24"/>
        </w:rPr>
        <w:t xml:space="preserve">RN, </w:t>
      </w:r>
      <w:r w:rsidR="00A51A03">
        <w:rPr>
          <w:rFonts w:eastAsia="Times New Roman" w:cs="Times New Roman"/>
          <w:szCs w:val="24"/>
        </w:rPr>
        <w:t xml:space="preserve">da análise das </w:t>
      </w:r>
      <w:r w:rsidR="00900494">
        <w:rPr>
          <w:rFonts w:eastAsia="Times New Roman" w:cs="Times New Roman"/>
          <w:szCs w:val="24"/>
        </w:rPr>
        <w:t>legislações municipais</w:t>
      </w:r>
      <w:r w:rsidR="001F666B">
        <w:rPr>
          <w:rFonts w:eastAsia="Times New Roman" w:cs="Times New Roman"/>
          <w:szCs w:val="24"/>
        </w:rPr>
        <w:t xml:space="preserve"> (</w:t>
      </w:r>
      <w:r w:rsidR="00900494">
        <w:rPr>
          <w:rFonts w:eastAsia="Times New Roman" w:cs="Times New Roman"/>
          <w:szCs w:val="24"/>
        </w:rPr>
        <w:t>leis complementares nº 221</w:t>
      </w:r>
      <w:r w:rsidR="00900494" w:rsidRPr="00292AB2">
        <w:rPr>
          <w:rFonts w:eastAsia="Times New Roman" w:cs="Times New Roman"/>
          <w:szCs w:val="20"/>
        </w:rPr>
        <w:t>/</w:t>
      </w:r>
      <w:r w:rsidR="00900494">
        <w:rPr>
          <w:rFonts w:eastAsia="Times New Roman" w:cs="Times New Roman"/>
          <w:szCs w:val="24"/>
        </w:rPr>
        <w:t>2022 e 223</w:t>
      </w:r>
      <w:r w:rsidR="00900494" w:rsidRPr="00292AB2">
        <w:rPr>
          <w:rFonts w:eastAsia="Times New Roman" w:cs="Times New Roman"/>
          <w:szCs w:val="20"/>
        </w:rPr>
        <w:t>/</w:t>
      </w:r>
      <w:r w:rsidR="00900494">
        <w:rPr>
          <w:rFonts w:eastAsia="Times New Roman" w:cs="Times New Roman"/>
          <w:szCs w:val="20"/>
        </w:rPr>
        <w:t>2022</w:t>
      </w:r>
      <w:r w:rsidR="001F666B">
        <w:rPr>
          <w:rFonts w:eastAsia="Times New Roman" w:cs="Times New Roman"/>
          <w:szCs w:val="20"/>
        </w:rPr>
        <w:t>)</w:t>
      </w:r>
      <w:r>
        <w:rPr>
          <w:rFonts w:eastAsia="Times New Roman" w:cs="Times New Roman"/>
          <w:szCs w:val="20"/>
        </w:rPr>
        <w:t>,</w:t>
      </w:r>
      <w:r w:rsidR="001F666B">
        <w:rPr>
          <w:rFonts w:eastAsia="Times New Roman" w:cs="Times New Roman"/>
          <w:szCs w:val="24"/>
        </w:rPr>
        <w:t xml:space="preserve"> </w:t>
      </w:r>
      <w:r w:rsidR="008044E6">
        <w:rPr>
          <w:rFonts w:eastAsia="Times New Roman" w:cs="Times New Roman"/>
          <w:szCs w:val="24"/>
        </w:rPr>
        <w:t xml:space="preserve">foi possível concluir que </w:t>
      </w:r>
      <w:r w:rsidR="00900494">
        <w:rPr>
          <w:rFonts w:eastAsia="Times New Roman" w:cs="Times New Roman"/>
          <w:szCs w:val="24"/>
        </w:rPr>
        <w:t>o instituto da preempção incide sobre a ZPA 8</w:t>
      </w:r>
      <w:r w:rsidR="004719CD">
        <w:rPr>
          <w:rFonts w:eastAsia="Times New Roman" w:cs="Times New Roman"/>
          <w:szCs w:val="24"/>
        </w:rPr>
        <w:t xml:space="preserve"> </w:t>
      </w:r>
      <w:r w:rsidR="00900494">
        <w:rPr>
          <w:rFonts w:eastAsia="Times New Roman" w:cs="Times New Roman"/>
          <w:szCs w:val="24"/>
        </w:rPr>
        <w:t xml:space="preserve">e ZPA </w:t>
      </w:r>
      <w:r w:rsidR="00544D99">
        <w:rPr>
          <w:rFonts w:eastAsia="Times New Roman" w:cs="Times New Roman"/>
          <w:szCs w:val="24"/>
        </w:rPr>
        <w:t xml:space="preserve">10, </w:t>
      </w:r>
      <w:r w:rsidR="001F666B">
        <w:rPr>
          <w:rFonts w:eastAsia="Times New Roman" w:cs="Times New Roman"/>
          <w:szCs w:val="24"/>
        </w:rPr>
        <w:t xml:space="preserve">com o intuito de ampliar </w:t>
      </w:r>
      <w:r w:rsidR="004719CD">
        <w:rPr>
          <w:rFonts w:eastAsia="Times New Roman" w:cs="Times New Roman"/>
          <w:szCs w:val="24"/>
        </w:rPr>
        <w:t>as áreas das unidades de conservação</w:t>
      </w:r>
      <w:r w:rsidR="001F666B">
        <w:rPr>
          <w:rFonts w:eastAsia="Times New Roman" w:cs="Times New Roman"/>
          <w:szCs w:val="24"/>
        </w:rPr>
        <w:t xml:space="preserve"> e de criar </w:t>
      </w:r>
      <w:r w:rsidR="004719CD">
        <w:t>programa de relocação de moradores</w:t>
      </w:r>
      <w:r w:rsidR="00E21729">
        <w:t xml:space="preserve"> de áreas</w:t>
      </w:r>
      <w:r w:rsidR="004719CD">
        <w:t xml:space="preserve"> de risco.</w:t>
      </w:r>
    </w:p>
    <w:p w14:paraId="69F7B4A8" w14:textId="77777777" w:rsidR="00557591" w:rsidRDefault="00900494" w:rsidP="00557591">
      <w:pPr>
        <w:rPr>
          <w:rFonts w:eastAsia="Times New Roman" w:cs="Times New Roman"/>
          <w:szCs w:val="24"/>
        </w:rPr>
      </w:pPr>
      <w:r>
        <w:rPr>
          <w:rFonts w:eastAsia="Times New Roman" w:cs="Times New Roman"/>
          <w:szCs w:val="24"/>
        </w:rPr>
        <w:tab/>
      </w:r>
      <w:r w:rsidR="00557591">
        <w:rPr>
          <w:rFonts w:eastAsia="Times New Roman" w:cs="Times New Roman"/>
          <w:szCs w:val="24"/>
        </w:rPr>
        <w:t>Em contrapart</w:t>
      </w:r>
      <w:r>
        <w:rPr>
          <w:rFonts w:eastAsia="Times New Roman" w:cs="Times New Roman"/>
          <w:szCs w:val="24"/>
        </w:rPr>
        <w:t>ida, observou-se uma tendência d</w:t>
      </w:r>
      <w:r w:rsidR="00557591">
        <w:rPr>
          <w:rFonts w:eastAsia="Times New Roman" w:cs="Times New Roman"/>
          <w:szCs w:val="24"/>
        </w:rPr>
        <w:t>a utilização do instrumento da Desap</w:t>
      </w:r>
      <w:r w:rsidR="001E09D9">
        <w:rPr>
          <w:rFonts w:eastAsia="Times New Roman" w:cs="Times New Roman"/>
          <w:szCs w:val="24"/>
        </w:rPr>
        <w:t xml:space="preserve">ropriação. Portanto, chegou-se </w:t>
      </w:r>
      <w:r w:rsidR="00557591">
        <w:rPr>
          <w:rFonts w:eastAsia="Times New Roman" w:cs="Times New Roman"/>
          <w:szCs w:val="24"/>
        </w:rPr>
        <w:t>a conclusão que este último se torna mais efetivo no município, talvez em razão da simplificação d</w:t>
      </w:r>
      <w:r w:rsidR="009B7882">
        <w:rPr>
          <w:rFonts w:eastAsia="Times New Roman" w:cs="Times New Roman"/>
          <w:szCs w:val="24"/>
        </w:rPr>
        <w:t xml:space="preserve">e procedimentos burocráticos, visto que o </w:t>
      </w:r>
      <w:r w:rsidR="009B7882" w:rsidRPr="00B75E1A">
        <w:rPr>
          <w:rFonts w:eastAsia="Times New Roman" w:cs="Times New Roman"/>
          <w:szCs w:val="24"/>
        </w:rPr>
        <w:t>mecanismo da preempção envolve um conjunto de etapas bastante morosas, que levam, no m</w:t>
      </w:r>
      <w:r w:rsidR="00544D99" w:rsidRPr="00B75E1A">
        <w:rPr>
          <w:rFonts w:eastAsia="Times New Roman" w:cs="Times New Roman"/>
          <w:szCs w:val="24"/>
        </w:rPr>
        <w:t>ínimo</w:t>
      </w:r>
      <w:r w:rsidR="00B75E1A" w:rsidRPr="00B75E1A">
        <w:rPr>
          <w:rFonts w:eastAsia="Times New Roman" w:cs="Times New Roman"/>
          <w:szCs w:val="24"/>
        </w:rPr>
        <w:t xml:space="preserve"> 30 dias</w:t>
      </w:r>
      <w:r w:rsidR="00B75E1A">
        <w:rPr>
          <w:rFonts w:eastAsia="Times New Roman" w:cs="Times New Roman"/>
          <w:szCs w:val="24"/>
        </w:rPr>
        <w:t>.</w:t>
      </w:r>
      <w:r w:rsidR="009B7882">
        <w:rPr>
          <w:rFonts w:eastAsia="Times New Roman" w:cs="Times New Roman"/>
          <w:szCs w:val="24"/>
        </w:rPr>
        <w:t xml:space="preserve"> </w:t>
      </w:r>
    </w:p>
    <w:p w14:paraId="5EDA7210" w14:textId="77777777" w:rsidR="00A67E07" w:rsidRDefault="00A67E07" w:rsidP="00557591">
      <w:pPr>
        <w:rPr>
          <w:rFonts w:eastAsia="Times New Roman" w:cs="Times New Roman"/>
          <w:szCs w:val="24"/>
        </w:rPr>
      </w:pPr>
      <w:r>
        <w:rPr>
          <w:rFonts w:eastAsia="Times New Roman" w:cs="Times New Roman"/>
          <w:szCs w:val="24"/>
        </w:rPr>
        <w:tab/>
      </w:r>
      <w:r w:rsidR="00D474BA">
        <w:rPr>
          <w:rFonts w:eastAsia="Times New Roman" w:cs="Times New Roman"/>
          <w:szCs w:val="24"/>
        </w:rPr>
        <w:t xml:space="preserve">A posteriori, </w:t>
      </w:r>
      <w:r w:rsidR="00B75E1A">
        <w:rPr>
          <w:rFonts w:eastAsia="Times New Roman" w:cs="Times New Roman"/>
          <w:szCs w:val="24"/>
        </w:rPr>
        <w:t xml:space="preserve">a partir da pesquisa realizada, se faz </w:t>
      </w:r>
      <w:r w:rsidRPr="00B75E1A">
        <w:rPr>
          <w:rFonts w:eastAsia="Times New Roman" w:cs="Times New Roman"/>
          <w:szCs w:val="24"/>
        </w:rPr>
        <w:t xml:space="preserve">questionar </w:t>
      </w:r>
      <w:r w:rsidR="00B75E1A">
        <w:rPr>
          <w:rFonts w:eastAsia="Times New Roman" w:cs="Times New Roman"/>
          <w:szCs w:val="24"/>
        </w:rPr>
        <w:t xml:space="preserve">se as leis municipais que abordam a preempção tem relevância na prática. Isso porque, está previsto no Plano Diretor que os proprietários </w:t>
      </w:r>
      <w:r w:rsidRPr="00B75E1A">
        <w:rPr>
          <w:rFonts w:eastAsia="Times New Roman" w:cs="Times New Roman"/>
          <w:szCs w:val="24"/>
        </w:rPr>
        <w:t xml:space="preserve">de todos os imóveis </w:t>
      </w:r>
      <w:r w:rsidR="00D474BA">
        <w:rPr>
          <w:rFonts w:eastAsia="Times New Roman" w:cs="Times New Roman"/>
          <w:szCs w:val="24"/>
        </w:rPr>
        <w:t xml:space="preserve">e terrenos não edificados, </w:t>
      </w:r>
      <w:r w:rsidRPr="00B75E1A">
        <w:rPr>
          <w:rFonts w:eastAsia="Times New Roman" w:cs="Times New Roman"/>
          <w:szCs w:val="24"/>
        </w:rPr>
        <w:t>situados na área de abrangência do direito de preempção</w:t>
      </w:r>
      <w:r w:rsidR="00544D99" w:rsidRPr="00B75E1A">
        <w:rPr>
          <w:rFonts w:eastAsia="Times New Roman" w:cs="Times New Roman"/>
          <w:szCs w:val="24"/>
        </w:rPr>
        <w:t xml:space="preserve">, quais sejam </w:t>
      </w:r>
      <w:r w:rsidR="00544D99" w:rsidRPr="00B75E1A">
        <w:rPr>
          <w:rFonts w:eastAsia="Times New Roman" w:cs="Times New Roman"/>
          <w:szCs w:val="24"/>
        </w:rPr>
        <w:lastRenderedPageBreak/>
        <w:t xml:space="preserve">ZPA 8 </w:t>
      </w:r>
      <w:r w:rsidR="00D474BA">
        <w:rPr>
          <w:rFonts w:eastAsia="Times New Roman" w:cs="Times New Roman"/>
          <w:szCs w:val="24"/>
        </w:rPr>
        <w:t xml:space="preserve">e ZPA 10, </w:t>
      </w:r>
      <w:r w:rsidRPr="00B75E1A">
        <w:rPr>
          <w:rFonts w:eastAsia="Times New Roman" w:cs="Times New Roman"/>
          <w:szCs w:val="24"/>
        </w:rPr>
        <w:t>comunicam primeiramente ao mu</w:t>
      </w:r>
      <w:r w:rsidR="00D474BA">
        <w:rPr>
          <w:rFonts w:eastAsia="Times New Roman" w:cs="Times New Roman"/>
          <w:szCs w:val="24"/>
        </w:rPr>
        <w:t xml:space="preserve">nicípio antes de alienar o bem. </w:t>
      </w:r>
      <w:r w:rsidR="00B75E1A">
        <w:rPr>
          <w:rFonts w:eastAsia="Times New Roman" w:cs="Times New Roman"/>
          <w:szCs w:val="24"/>
        </w:rPr>
        <w:t xml:space="preserve">Do mesmo modo, da ausência de interesse do órgão municipal, o alienante deverá </w:t>
      </w:r>
      <w:r w:rsidRPr="00B75E1A">
        <w:rPr>
          <w:rFonts w:eastAsia="Times New Roman" w:cs="Times New Roman"/>
          <w:szCs w:val="24"/>
        </w:rPr>
        <w:t>apresenta</w:t>
      </w:r>
      <w:r w:rsidR="00B75E1A">
        <w:rPr>
          <w:rFonts w:eastAsia="Times New Roman" w:cs="Times New Roman"/>
          <w:szCs w:val="24"/>
        </w:rPr>
        <w:t>r</w:t>
      </w:r>
      <w:r w:rsidRPr="00B75E1A">
        <w:rPr>
          <w:rFonts w:eastAsia="Times New Roman" w:cs="Times New Roman"/>
          <w:szCs w:val="24"/>
        </w:rPr>
        <w:t xml:space="preserve"> ao Município, no prazo citado de 30 (trinta) dias, cópia do instrumento público de alienação do imóvel, com o preço final e condições de pagamento que realizou com terceiro.</w:t>
      </w:r>
    </w:p>
    <w:p w14:paraId="7D56C945" w14:textId="77777777" w:rsidR="00D474BA" w:rsidRDefault="00D474BA" w:rsidP="00557591">
      <w:pPr>
        <w:rPr>
          <w:rFonts w:eastAsia="Times New Roman" w:cs="Times New Roman"/>
          <w:szCs w:val="24"/>
        </w:rPr>
      </w:pPr>
      <w:r>
        <w:rPr>
          <w:rFonts w:eastAsia="Times New Roman" w:cs="Times New Roman"/>
          <w:szCs w:val="24"/>
        </w:rPr>
        <w:tab/>
        <w:t>Por fim, espera-se que o trabalho contribua com futuras pesquisas acerca do tema do direito a cidade no município de Natal</w:t>
      </w:r>
      <w:r w:rsidRPr="00292AB2">
        <w:rPr>
          <w:rFonts w:eastAsia="Times New Roman" w:cs="Times New Roman"/>
          <w:szCs w:val="20"/>
        </w:rPr>
        <w:t>/</w:t>
      </w:r>
      <w:r>
        <w:rPr>
          <w:rFonts w:eastAsia="Times New Roman" w:cs="Times New Roman"/>
          <w:szCs w:val="20"/>
        </w:rPr>
        <w:t>RN.</w:t>
      </w:r>
    </w:p>
    <w:p w14:paraId="15DA396F" w14:textId="77777777" w:rsidR="00B74CA9" w:rsidRDefault="00557591" w:rsidP="00DA6102">
      <w:pPr>
        <w:pStyle w:val="Ttulo1"/>
      </w:pPr>
      <w:r>
        <w:t>REFERÊNCIAS</w:t>
      </w:r>
    </w:p>
    <w:p w14:paraId="6FDA06C0" w14:textId="77777777" w:rsidR="009B7882" w:rsidRPr="009B7882" w:rsidRDefault="009B7882" w:rsidP="009B7882"/>
    <w:p w14:paraId="1A41F321" w14:textId="77777777" w:rsidR="00557591" w:rsidRDefault="00557591" w:rsidP="00D05FBD">
      <w:pPr>
        <w:spacing w:line="240" w:lineRule="auto"/>
        <w:jc w:val="left"/>
        <w:rPr>
          <w:rFonts w:eastAsia="Times New Roman" w:cs="Times New Roman"/>
          <w:szCs w:val="24"/>
        </w:rPr>
      </w:pPr>
      <w:r>
        <w:rPr>
          <w:rFonts w:eastAsia="Times New Roman" w:cs="Times New Roman"/>
          <w:szCs w:val="24"/>
        </w:rPr>
        <w:t>BRASIL.</w:t>
      </w:r>
      <w:r>
        <w:rPr>
          <w:rFonts w:eastAsia="Times New Roman" w:cs="Times New Roman"/>
          <w:b/>
          <w:szCs w:val="24"/>
        </w:rPr>
        <w:t xml:space="preserve"> </w:t>
      </w:r>
      <w:r>
        <w:rPr>
          <w:rFonts w:eastAsia="Times New Roman" w:cs="Times New Roman"/>
          <w:szCs w:val="24"/>
        </w:rPr>
        <w:t>Constituição (1988).</w:t>
      </w:r>
      <w:r>
        <w:rPr>
          <w:rFonts w:eastAsia="Times New Roman" w:cs="Times New Roman"/>
          <w:b/>
          <w:szCs w:val="24"/>
        </w:rPr>
        <w:t xml:space="preserve"> Constituição da República Federativa do Brasil. </w:t>
      </w:r>
      <w:r>
        <w:rPr>
          <w:rFonts w:eastAsia="Times New Roman" w:cs="Times New Roman"/>
          <w:szCs w:val="24"/>
        </w:rPr>
        <w:t>Brasília, DF: Senado Federal: Centro Gráfico, 1988.</w:t>
      </w:r>
    </w:p>
    <w:p w14:paraId="6F190ABC" w14:textId="77777777" w:rsidR="00557591" w:rsidRDefault="00557591" w:rsidP="00D05FBD">
      <w:pPr>
        <w:spacing w:line="240" w:lineRule="auto"/>
        <w:jc w:val="left"/>
        <w:rPr>
          <w:rFonts w:eastAsia="Times New Roman" w:cs="Times New Roman"/>
          <w:szCs w:val="24"/>
        </w:rPr>
      </w:pPr>
    </w:p>
    <w:p w14:paraId="2EBDAEA8" w14:textId="77777777" w:rsidR="00557591" w:rsidRDefault="00557591" w:rsidP="00D05FBD">
      <w:pPr>
        <w:spacing w:line="240" w:lineRule="auto"/>
        <w:jc w:val="left"/>
        <w:rPr>
          <w:rFonts w:eastAsia="Times New Roman" w:cs="Times New Roman"/>
          <w:szCs w:val="24"/>
        </w:rPr>
      </w:pPr>
      <w:r>
        <w:rPr>
          <w:rFonts w:eastAsia="Times New Roman" w:cs="Times New Roman"/>
          <w:szCs w:val="24"/>
        </w:rPr>
        <w:t>BRASIL.</w:t>
      </w:r>
      <w:r>
        <w:rPr>
          <w:rFonts w:eastAsia="Times New Roman" w:cs="Times New Roman"/>
          <w:b/>
          <w:szCs w:val="24"/>
        </w:rPr>
        <w:t xml:space="preserve"> Lei Nº 10.257</w:t>
      </w:r>
      <w:r>
        <w:rPr>
          <w:rFonts w:eastAsia="Times New Roman" w:cs="Times New Roman"/>
          <w:szCs w:val="24"/>
        </w:rPr>
        <w:t>. Brasília: Diário Oficial da União, 11 jul. 2001.</w:t>
      </w:r>
    </w:p>
    <w:p w14:paraId="3DE22D49" w14:textId="77777777" w:rsidR="00055924" w:rsidRDefault="00055924" w:rsidP="00D05FBD">
      <w:pPr>
        <w:spacing w:line="240" w:lineRule="auto"/>
        <w:jc w:val="left"/>
        <w:rPr>
          <w:rFonts w:eastAsia="Times New Roman" w:cs="Times New Roman"/>
          <w:szCs w:val="24"/>
        </w:rPr>
      </w:pPr>
    </w:p>
    <w:p w14:paraId="28F02396" w14:textId="77777777" w:rsidR="00055924" w:rsidRPr="00055924" w:rsidRDefault="00055924" w:rsidP="00055924">
      <w:pPr>
        <w:spacing w:line="240" w:lineRule="auto"/>
        <w:jc w:val="left"/>
        <w:rPr>
          <w:rFonts w:eastAsia="Times New Roman" w:cs="Times New Roman"/>
          <w:szCs w:val="24"/>
        </w:rPr>
      </w:pPr>
      <w:r w:rsidRPr="00055924">
        <w:rPr>
          <w:rFonts w:cs="Times New Roman"/>
          <w:shd w:val="clear" w:color="auto" w:fill="FFFFFF"/>
        </w:rPr>
        <w:t>CARVALHO FILHO, José dos Santos. O direito de preempção do Município como instrumento da política urbana. </w:t>
      </w:r>
      <w:r w:rsidRPr="00055924">
        <w:rPr>
          <w:rStyle w:val="Forte"/>
          <w:rFonts w:cs="Times New Roman"/>
          <w:shd w:val="clear" w:color="auto" w:fill="FFFFFF"/>
        </w:rPr>
        <w:t>Revista Ministério Público</w:t>
      </w:r>
      <w:r w:rsidRPr="00055924">
        <w:rPr>
          <w:rFonts w:cs="Times New Roman"/>
          <w:shd w:val="clear" w:color="auto" w:fill="FFFFFF"/>
        </w:rPr>
        <w:t>, Rio de Janeiro, v. 0, n. 17, p. 189-202, 2003.</w:t>
      </w:r>
    </w:p>
    <w:p w14:paraId="1F91F1B5" w14:textId="77777777" w:rsidR="00557591" w:rsidRDefault="00557591" w:rsidP="00D05FBD">
      <w:pPr>
        <w:spacing w:line="240" w:lineRule="auto"/>
        <w:jc w:val="left"/>
        <w:rPr>
          <w:rFonts w:eastAsia="Times New Roman" w:cs="Times New Roman"/>
          <w:szCs w:val="24"/>
        </w:rPr>
      </w:pPr>
    </w:p>
    <w:p w14:paraId="3CF279C8" w14:textId="77777777" w:rsidR="00557591" w:rsidRDefault="00557591" w:rsidP="00D05FBD">
      <w:pPr>
        <w:spacing w:line="240" w:lineRule="auto"/>
        <w:jc w:val="left"/>
        <w:rPr>
          <w:rFonts w:eastAsia="Times New Roman" w:cs="Times New Roman"/>
          <w:szCs w:val="24"/>
        </w:rPr>
      </w:pPr>
      <w:r>
        <w:rPr>
          <w:rFonts w:eastAsia="Times New Roman" w:cs="Times New Roman"/>
          <w:szCs w:val="24"/>
        </w:rPr>
        <w:t>CLEMENTINO, M. L. M. (2019). “Duas Décadas da Região Metropolitana de Natal: estudo da governança metropolitana a partir da elaboração dos Planos Plurianuais municipais”. In: CLEMENTINO, M. L. M. Duas décadas da Região Metropolitana de Natal. Rio de Janeiro: Letra Capital.</w:t>
      </w:r>
    </w:p>
    <w:p w14:paraId="3D36BD01" w14:textId="77777777" w:rsidR="00557591" w:rsidRDefault="00557591" w:rsidP="00D05FBD">
      <w:pPr>
        <w:spacing w:line="240" w:lineRule="auto"/>
        <w:jc w:val="left"/>
        <w:rPr>
          <w:rFonts w:eastAsia="Times New Roman" w:cs="Times New Roman"/>
          <w:szCs w:val="24"/>
        </w:rPr>
      </w:pPr>
    </w:p>
    <w:p w14:paraId="77FDB6E9" w14:textId="77777777" w:rsidR="00557591" w:rsidRDefault="00557591" w:rsidP="00D05FBD">
      <w:pPr>
        <w:spacing w:line="240" w:lineRule="auto"/>
        <w:jc w:val="left"/>
        <w:rPr>
          <w:rFonts w:eastAsia="Times New Roman" w:cs="Times New Roman"/>
          <w:szCs w:val="24"/>
          <w:highlight w:val="cyan"/>
        </w:rPr>
      </w:pPr>
      <w:r>
        <w:rPr>
          <w:rFonts w:eastAsia="Times New Roman" w:cs="Times New Roman"/>
          <w:szCs w:val="24"/>
        </w:rPr>
        <w:t xml:space="preserve">FILHO, José Carvalho dos Santos. O direito de preempção do Município como instrumento de política urbana. </w:t>
      </w:r>
      <w:r>
        <w:rPr>
          <w:rFonts w:eastAsia="Times New Roman" w:cs="Times New Roman"/>
          <w:b/>
          <w:szCs w:val="24"/>
        </w:rPr>
        <w:t>Revista Ministério Público</w:t>
      </w:r>
      <w:r>
        <w:rPr>
          <w:rFonts w:eastAsia="Times New Roman" w:cs="Times New Roman"/>
          <w:szCs w:val="24"/>
        </w:rPr>
        <w:t>, Rio de Janeiro, RJ, (17), 2003.</w:t>
      </w:r>
    </w:p>
    <w:p w14:paraId="5B5F09E5" w14:textId="77777777" w:rsidR="00557591" w:rsidRDefault="00557591" w:rsidP="00D05FBD">
      <w:pPr>
        <w:spacing w:line="240" w:lineRule="auto"/>
        <w:jc w:val="left"/>
        <w:rPr>
          <w:rFonts w:eastAsia="Times New Roman" w:cs="Times New Roman"/>
          <w:szCs w:val="24"/>
          <w:highlight w:val="cyan"/>
        </w:rPr>
      </w:pPr>
    </w:p>
    <w:p w14:paraId="680B7CC4" w14:textId="77777777" w:rsidR="00557591" w:rsidRDefault="00557591" w:rsidP="00D05FBD">
      <w:pPr>
        <w:spacing w:line="240" w:lineRule="auto"/>
        <w:jc w:val="left"/>
        <w:rPr>
          <w:rFonts w:eastAsia="Times New Roman" w:cs="Times New Roman"/>
          <w:color w:val="222222"/>
          <w:szCs w:val="24"/>
          <w:highlight w:val="white"/>
        </w:rPr>
      </w:pPr>
      <w:r>
        <w:rPr>
          <w:rFonts w:eastAsia="Times New Roman" w:cs="Times New Roman"/>
          <w:color w:val="222222"/>
          <w:szCs w:val="24"/>
          <w:highlight w:val="white"/>
        </w:rPr>
        <w:t xml:space="preserve">HÜBNER, </w:t>
      </w:r>
      <w:proofErr w:type="spellStart"/>
      <w:r>
        <w:rPr>
          <w:rFonts w:eastAsia="Times New Roman" w:cs="Times New Roman"/>
          <w:color w:val="222222"/>
          <w:szCs w:val="24"/>
          <w:highlight w:val="white"/>
        </w:rPr>
        <w:t>Cleice</w:t>
      </w:r>
      <w:proofErr w:type="spellEnd"/>
      <w:r>
        <w:rPr>
          <w:rFonts w:eastAsia="Times New Roman" w:cs="Times New Roman"/>
          <w:color w:val="222222"/>
          <w:szCs w:val="24"/>
          <w:highlight w:val="white"/>
        </w:rPr>
        <w:t xml:space="preserve"> </w:t>
      </w:r>
      <w:proofErr w:type="spellStart"/>
      <w:r>
        <w:rPr>
          <w:rFonts w:eastAsia="Times New Roman" w:cs="Times New Roman"/>
          <w:color w:val="222222"/>
          <w:szCs w:val="24"/>
          <w:highlight w:val="white"/>
        </w:rPr>
        <w:t>Edinara</w:t>
      </w:r>
      <w:proofErr w:type="spellEnd"/>
      <w:r>
        <w:rPr>
          <w:rFonts w:eastAsia="Times New Roman" w:cs="Times New Roman"/>
          <w:color w:val="222222"/>
          <w:szCs w:val="24"/>
          <w:highlight w:val="white"/>
        </w:rPr>
        <w:t xml:space="preserve">; PINTO, Juliana Ferreira; OLIVEIRA, Francisco Henrique de. Cartografia Cadastral Urbana e o Direito de Preempção. </w:t>
      </w:r>
      <w:r>
        <w:rPr>
          <w:rFonts w:eastAsia="Times New Roman" w:cs="Times New Roman"/>
          <w:b/>
          <w:color w:val="222222"/>
          <w:szCs w:val="24"/>
          <w:highlight w:val="white"/>
        </w:rPr>
        <w:t xml:space="preserve">Congresso Brasileiro de Cadastro Técnico </w:t>
      </w:r>
      <w:proofErr w:type="spellStart"/>
      <w:r>
        <w:rPr>
          <w:rFonts w:eastAsia="Times New Roman" w:cs="Times New Roman"/>
          <w:b/>
          <w:color w:val="222222"/>
          <w:szCs w:val="24"/>
          <w:highlight w:val="white"/>
        </w:rPr>
        <w:t>Multifinalitário</w:t>
      </w:r>
      <w:proofErr w:type="spellEnd"/>
      <w:r>
        <w:rPr>
          <w:rFonts w:eastAsia="Times New Roman" w:cs="Times New Roman"/>
          <w:color w:val="222222"/>
          <w:szCs w:val="24"/>
          <w:highlight w:val="white"/>
        </w:rPr>
        <w:t>, Florianópolis, 15 out. 2006.</w:t>
      </w:r>
    </w:p>
    <w:p w14:paraId="1BBE5E98" w14:textId="77777777" w:rsidR="00885021" w:rsidRDefault="00885021" w:rsidP="00D05FBD">
      <w:pPr>
        <w:spacing w:line="240" w:lineRule="auto"/>
        <w:jc w:val="left"/>
        <w:rPr>
          <w:rFonts w:eastAsia="Times New Roman" w:cs="Times New Roman"/>
          <w:color w:val="222222"/>
          <w:szCs w:val="24"/>
          <w:highlight w:val="white"/>
        </w:rPr>
      </w:pPr>
    </w:p>
    <w:p w14:paraId="713FBC91" w14:textId="77777777" w:rsidR="00885021" w:rsidRDefault="00885021" w:rsidP="00D05FBD">
      <w:pPr>
        <w:spacing w:line="240" w:lineRule="auto"/>
        <w:jc w:val="left"/>
        <w:rPr>
          <w:rFonts w:eastAsia="Times New Roman" w:cs="Times New Roman"/>
          <w:color w:val="222222"/>
          <w:szCs w:val="24"/>
          <w:highlight w:val="white"/>
        </w:rPr>
      </w:pPr>
      <w:r w:rsidRPr="009E3835">
        <w:rPr>
          <w:rFonts w:eastAsia="Times New Roman" w:cs="Times New Roman"/>
          <w:color w:val="222222"/>
          <w:szCs w:val="24"/>
          <w:highlight w:val="white"/>
        </w:rPr>
        <w:t>NATAL.</w:t>
      </w:r>
      <w:r w:rsidRPr="009E3835">
        <w:rPr>
          <w:rFonts w:cs="Times New Roman"/>
          <w:color w:val="222222"/>
          <w:shd w:val="clear" w:color="auto" w:fill="FFFFFF"/>
        </w:rPr>
        <w:t xml:space="preserve"> </w:t>
      </w:r>
      <w:r w:rsidRPr="009E3835">
        <w:rPr>
          <w:rStyle w:val="Forte"/>
          <w:rFonts w:cs="Times New Roman"/>
          <w:color w:val="222222"/>
          <w:shd w:val="clear" w:color="auto" w:fill="FFFFFF"/>
        </w:rPr>
        <w:t>Lei Complementar Nº 22</w:t>
      </w:r>
      <w:r>
        <w:rPr>
          <w:rStyle w:val="Forte"/>
          <w:rFonts w:cs="Times New Roman"/>
          <w:color w:val="222222"/>
          <w:shd w:val="clear" w:color="auto" w:fill="FFFFFF"/>
        </w:rPr>
        <w:t>1</w:t>
      </w:r>
      <w:r w:rsidRPr="009E3835">
        <w:rPr>
          <w:rFonts w:cs="Times New Roman"/>
          <w:color w:val="222222"/>
          <w:shd w:val="clear" w:color="auto" w:fill="FFFFFF"/>
        </w:rPr>
        <w:t>. Natal: Diário Oficial do Município, 22 dez. 2022</w:t>
      </w:r>
      <w:r w:rsidR="006A3C4A">
        <w:rPr>
          <w:rFonts w:cs="Times New Roman"/>
          <w:color w:val="222222"/>
          <w:shd w:val="clear" w:color="auto" w:fill="FFFFFF"/>
        </w:rPr>
        <w:t>.</w:t>
      </w:r>
      <w:r w:rsidRPr="009E3835">
        <w:rPr>
          <w:rFonts w:cs="Times New Roman"/>
          <w:color w:val="222222"/>
          <w:shd w:val="clear" w:color="auto" w:fill="FFFFFF"/>
        </w:rPr>
        <w:t xml:space="preserve"> </w:t>
      </w:r>
    </w:p>
    <w:p w14:paraId="3531EE3A" w14:textId="77777777" w:rsidR="00754CF8" w:rsidRDefault="00754CF8" w:rsidP="00D05FBD">
      <w:pPr>
        <w:spacing w:line="240" w:lineRule="auto"/>
        <w:jc w:val="left"/>
        <w:rPr>
          <w:rFonts w:eastAsia="Times New Roman" w:cs="Times New Roman"/>
          <w:color w:val="222222"/>
          <w:szCs w:val="24"/>
          <w:highlight w:val="white"/>
        </w:rPr>
      </w:pPr>
    </w:p>
    <w:p w14:paraId="578D021B" w14:textId="77777777" w:rsidR="00754CF8" w:rsidRPr="009E3835" w:rsidRDefault="00754CF8" w:rsidP="00D05FBD">
      <w:pPr>
        <w:spacing w:line="240" w:lineRule="auto"/>
        <w:jc w:val="left"/>
        <w:rPr>
          <w:rFonts w:eastAsia="Times New Roman" w:cs="Times New Roman"/>
          <w:color w:val="222222"/>
          <w:szCs w:val="24"/>
          <w:highlight w:val="white"/>
        </w:rPr>
      </w:pPr>
      <w:r w:rsidRPr="009E3835">
        <w:rPr>
          <w:rFonts w:eastAsia="Times New Roman" w:cs="Times New Roman"/>
          <w:color w:val="222222"/>
          <w:szCs w:val="24"/>
          <w:highlight w:val="white"/>
        </w:rPr>
        <w:t>NATAL.</w:t>
      </w:r>
      <w:r w:rsidR="009E3835" w:rsidRPr="009E3835">
        <w:rPr>
          <w:rFonts w:cs="Times New Roman"/>
          <w:color w:val="222222"/>
          <w:shd w:val="clear" w:color="auto" w:fill="FFFFFF"/>
        </w:rPr>
        <w:t xml:space="preserve"> </w:t>
      </w:r>
      <w:r w:rsidR="009E3835" w:rsidRPr="009E3835">
        <w:rPr>
          <w:rStyle w:val="Forte"/>
          <w:rFonts w:cs="Times New Roman"/>
          <w:color w:val="222222"/>
          <w:shd w:val="clear" w:color="auto" w:fill="FFFFFF"/>
        </w:rPr>
        <w:t>Lei Complementar Nº 223</w:t>
      </w:r>
      <w:r w:rsidR="009E3835" w:rsidRPr="009E3835">
        <w:rPr>
          <w:rFonts w:cs="Times New Roman"/>
          <w:color w:val="222222"/>
          <w:shd w:val="clear" w:color="auto" w:fill="FFFFFF"/>
        </w:rPr>
        <w:t>. 5065. ed. Natal: Diário Oficial do Município, 22 dez. 2022. p. 1-244. Disponível em: https://natal.rn.gov.br/storage/app/media/DOM/anexos/dom_20221228_38689342c83636a04418f10af2de3d51.pdf. Acesso em: 30 jul. 2023.</w:t>
      </w:r>
    </w:p>
    <w:p w14:paraId="5796BA3F" w14:textId="77777777" w:rsidR="00754CF8" w:rsidRDefault="00754CF8" w:rsidP="00D05FBD">
      <w:pPr>
        <w:spacing w:line="240" w:lineRule="auto"/>
        <w:jc w:val="left"/>
        <w:rPr>
          <w:rFonts w:eastAsia="Times New Roman" w:cs="Times New Roman"/>
          <w:color w:val="222222"/>
          <w:szCs w:val="24"/>
          <w:highlight w:val="white"/>
        </w:rPr>
      </w:pPr>
    </w:p>
    <w:p w14:paraId="4C73E711" w14:textId="77777777" w:rsidR="00885021" w:rsidRDefault="00885021" w:rsidP="00885021">
      <w:pPr>
        <w:spacing w:line="240" w:lineRule="auto"/>
        <w:jc w:val="left"/>
        <w:rPr>
          <w:rFonts w:eastAsia="Times New Roman" w:cs="Times New Roman"/>
          <w:color w:val="222222"/>
          <w:szCs w:val="24"/>
          <w:highlight w:val="white"/>
        </w:rPr>
      </w:pPr>
      <w:r>
        <w:rPr>
          <w:rFonts w:eastAsia="Times New Roman" w:cs="Times New Roman"/>
          <w:color w:val="222222"/>
          <w:szCs w:val="24"/>
          <w:highlight w:val="white"/>
        </w:rPr>
        <w:t xml:space="preserve">NATAL. </w:t>
      </w:r>
      <w:r>
        <w:rPr>
          <w:rFonts w:eastAsia="Times New Roman" w:cs="Times New Roman"/>
          <w:b/>
          <w:color w:val="222222"/>
          <w:szCs w:val="24"/>
          <w:highlight w:val="white"/>
        </w:rPr>
        <w:t>Lei Orgânica do Município de Natal/RN</w:t>
      </w:r>
      <w:r w:rsidR="004719CD">
        <w:rPr>
          <w:rFonts w:eastAsia="Times New Roman" w:cs="Times New Roman"/>
          <w:color w:val="222222"/>
          <w:szCs w:val="24"/>
          <w:highlight w:val="white"/>
        </w:rPr>
        <w:t>. Natal, Diário Oficial, 17 maio 2006</w:t>
      </w:r>
      <w:r>
        <w:rPr>
          <w:rFonts w:eastAsia="Times New Roman" w:cs="Times New Roman"/>
          <w:color w:val="222222"/>
          <w:szCs w:val="24"/>
          <w:highlight w:val="white"/>
        </w:rPr>
        <w:t>.</w:t>
      </w:r>
    </w:p>
    <w:p w14:paraId="15744B66" w14:textId="77777777" w:rsidR="00292AB2" w:rsidRDefault="00292AB2" w:rsidP="00885021">
      <w:pPr>
        <w:spacing w:line="240" w:lineRule="auto"/>
        <w:jc w:val="left"/>
        <w:rPr>
          <w:rFonts w:eastAsia="Times New Roman" w:cs="Times New Roman"/>
          <w:color w:val="222222"/>
          <w:szCs w:val="24"/>
          <w:highlight w:val="white"/>
        </w:rPr>
      </w:pPr>
    </w:p>
    <w:p w14:paraId="297D41D3" w14:textId="77777777" w:rsidR="00292AB2" w:rsidRPr="00292AB2" w:rsidRDefault="00292AB2" w:rsidP="00885021">
      <w:pPr>
        <w:spacing w:line="240" w:lineRule="auto"/>
        <w:jc w:val="left"/>
        <w:rPr>
          <w:rFonts w:eastAsia="Times New Roman" w:cs="Times New Roman"/>
          <w:color w:val="000000" w:themeColor="text1"/>
          <w:szCs w:val="24"/>
          <w:highlight w:val="white"/>
        </w:rPr>
      </w:pPr>
      <w:r w:rsidRPr="00292AB2">
        <w:rPr>
          <w:rFonts w:cs="Times New Roman"/>
          <w:color w:val="000000" w:themeColor="text1"/>
          <w:shd w:val="clear" w:color="auto" w:fill="FFFFFF"/>
        </w:rPr>
        <w:t>NATAL. </w:t>
      </w:r>
      <w:r w:rsidRPr="00292AB2">
        <w:rPr>
          <w:rStyle w:val="Forte"/>
          <w:rFonts w:cs="Times New Roman"/>
          <w:color w:val="000000" w:themeColor="text1"/>
          <w:shd w:val="clear" w:color="auto" w:fill="FFFFFF"/>
        </w:rPr>
        <w:t>Plano Diretor de Natal</w:t>
      </w:r>
      <w:r w:rsidRPr="00292AB2">
        <w:rPr>
          <w:rFonts w:cs="Times New Roman"/>
          <w:color w:val="000000" w:themeColor="text1"/>
          <w:shd w:val="clear" w:color="auto" w:fill="FFFFFF"/>
        </w:rPr>
        <w:t>. Natal: Diário Oficial do Município, 07 mar. 2022.</w:t>
      </w:r>
    </w:p>
    <w:p w14:paraId="45531737" w14:textId="77777777" w:rsidR="00557591" w:rsidRDefault="00557591" w:rsidP="00D05FBD">
      <w:pPr>
        <w:spacing w:line="240" w:lineRule="auto"/>
        <w:jc w:val="left"/>
        <w:rPr>
          <w:rFonts w:eastAsia="Times New Roman" w:cs="Times New Roman"/>
          <w:color w:val="222222"/>
          <w:szCs w:val="24"/>
          <w:highlight w:val="white"/>
        </w:rPr>
      </w:pPr>
    </w:p>
    <w:p w14:paraId="1FAE7179" w14:textId="77777777" w:rsidR="00557591" w:rsidRPr="006A3C4A" w:rsidRDefault="00557591" w:rsidP="006A3C4A">
      <w:pPr>
        <w:spacing w:line="240" w:lineRule="auto"/>
        <w:jc w:val="left"/>
        <w:rPr>
          <w:rFonts w:eastAsia="Times New Roman" w:cs="Times New Roman"/>
          <w:szCs w:val="24"/>
          <w:highlight w:val="white"/>
        </w:rPr>
      </w:pPr>
      <w:r>
        <w:rPr>
          <w:rFonts w:eastAsia="Times New Roman" w:cs="Times New Roman"/>
          <w:szCs w:val="24"/>
          <w:highlight w:val="white"/>
        </w:rPr>
        <w:lastRenderedPageBreak/>
        <w:t xml:space="preserve">SILVA, Alexsandro Ferreira Cardoso da; LIVRAMENTO, Maria do; CLEMENTINO, Miranda (org.). </w:t>
      </w:r>
      <w:r>
        <w:rPr>
          <w:rFonts w:eastAsia="Times New Roman" w:cs="Times New Roman"/>
          <w:b/>
          <w:szCs w:val="24"/>
          <w:highlight w:val="white"/>
        </w:rPr>
        <w:t>Reforma Urbana e Direito à cidade - Natal</w:t>
      </w:r>
      <w:r>
        <w:rPr>
          <w:rFonts w:eastAsia="Times New Roman" w:cs="Times New Roman"/>
          <w:szCs w:val="24"/>
          <w:highlight w:val="white"/>
        </w:rPr>
        <w:t>. Rio de Janeiro: Letra Capital, 2022. 236 p. Disponível em: https://www.observatoriodasmetropoles.net.br/wp-content/uploads/2022/11/Reforma-Urbana-e-Direito-a-Cidade_NATAL.pdf. Acesso em: 09 jul. 2023.</w:t>
      </w:r>
    </w:p>
    <w:sectPr w:rsidR="00557591" w:rsidRPr="006A3C4A" w:rsidSect="006F38F5">
      <w:headerReference w:type="default" r:id="rId13"/>
      <w:footerReference w:type="default" r:id="rId1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10B7D" w14:textId="77777777" w:rsidR="006F38F5" w:rsidRDefault="006F38F5">
      <w:pPr>
        <w:spacing w:line="240" w:lineRule="auto"/>
      </w:pPr>
      <w:r>
        <w:separator/>
      </w:r>
    </w:p>
  </w:endnote>
  <w:endnote w:type="continuationSeparator" w:id="0">
    <w:p w14:paraId="06BEB3DB" w14:textId="77777777" w:rsidR="006F38F5" w:rsidRDefault="006F38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Roboto Lt">
    <w:panose1 w:val="00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Black">
    <w:panose1 w:val="00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933364"/>
    </w:sdtPr>
    <w:sdtContent>
      <w:p w14:paraId="6050E9E3" w14:textId="77777777" w:rsidR="00754CF8" w:rsidRDefault="00754CF8">
        <w:pPr>
          <w:pStyle w:val="Rodap"/>
          <w:jc w:val="right"/>
        </w:pPr>
        <w:r>
          <w:fldChar w:fldCharType="begin"/>
        </w:r>
        <w:r>
          <w:instrText>PAGE   \* MERGEFORMAT</w:instrText>
        </w:r>
        <w:r>
          <w:fldChar w:fldCharType="separate"/>
        </w:r>
        <w:r w:rsidR="00385697">
          <w:rPr>
            <w:noProof/>
          </w:rPr>
          <w:t>1</w:t>
        </w:r>
        <w:r>
          <w:fldChar w:fldCharType="end"/>
        </w:r>
      </w:p>
    </w:sdtContent>
  </w:sdt>
  <w:p w14:paraId="1B29A2DA" w14:textId="77777777" w:rsidR="00754CF8" w:rsidRDefault="00754CF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E4127" w14:textId="77777777" w:rsidR="006F38F5" w:rsidRDefault="006F38F5">
      <w:r>
        <w:separator/>
      </w:r>
    </w:p>
  </w:footnote>
  <w:footnote w:type="continuationSeparator" w:id="0">
    <w:p w14:paraId="7D6A19FD" w14:textId="77777777" w:rsidR="006F38F5" w:rsidRDefault="006F38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B5419" w14:textId="77777777" w:rsidR="00754CF8" w:rsidRDefault="00754CF8">
    <w:pPr>
      <w:pStyle w:val="Cabealho"/>
      <w:tabs>
        <w:tab w:val="clear" w:pos="4252"/>
        <w:tab w:val="clear" w:pos="8504"/>
        <w:tab w:val="left" w:pos="1416"/>
        <w:tab w:val="left" w:pos="2124"/>
        <w:tab w:val="left" w:pos="2832"/>
        <w:tab w:val="left" w:pos="3540"/>
      </w:tabs>
      <w:jc w:val="left"/>
      <w:rPr>
        <w:szCs w:val="20"/>
      </w:rPr>
    </w:pPr>
    <w:r>
      <w:rPr>
        <w:noProof/>
        <w:szCs w:val="20"/>
      </w:rPr>
      <w:drawing>
        <wp:anchor distT="0" distB="0" distL="114300" distR="114300" simplePos="0" relativeHeight="251659264" behindDoc="0" locked="0" layoutInCell="1" allowOverlap="1" wp14:anchorId="1A5BA17E" wp14:editId="484F11B9">
          <wp:simplePos x="0" y="0"/>
          <wp:positionH relativeFrom="column">
            <wp:posOffset>-22860</wp:posOffset>
          </wp:positionH>
          <wp:positionV relativeFrom="paragraph">
            <wp:posOffset>-250190</wp:posOffset>
          </wp:positionV>
          <wp:extent cx="5687060" cy="624205"/>
          <wp:effectExtent l="0" t="0" r="8890" b="4445"/>
          <wp:wrapThrough wrapText="bothSides">
            <wp:wrapPolygon edited="0">
              <wp:start x="0" y="0"/>
              <wp:lineTo x="0" y="21095"/>
              <wp:lineTo x="21561" y="21095"/>
              <wp:lineTo x="21561"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687060" cy="624205"/>
                  </a:xfrm>
                  <a:prstGeom prst="rect">
                    <a:avLst/>
                  </a:prstGeom>
                </pic:spPr>
              </pic:pic>
            </a:graphicData>
          </a:graphic>
        </wp:anchor>
      </w:drawing>
    </w:r>
    <w:r>
      <w:rPr>
        <w:szCs w:val="20"/>
      </w:rPr>
      <w:tab/>
    </w:r>
    <w:r>
      <w:rPr>
        <w:szCs w:val="20"/>
      </w:rPr>
      <w:tab/>
    </w:r>
  </w:p>
  <w:p w14:paraId="7B763F89" w14:textId="77777777" w:rsidR="00754CF8" w:rsidRDefault="00754CF8">
    <w:pPr>
      <w:pStyle w:val="Cabealho"/>
      <w:jc w:val="center"/>
      <w:rPr>
        <w:szCs w:val="20"/>
      </w:rPr>
    </w:pPr>
  </w:p>
  <w:p w14:paraId="02705FA9" w14:textId="77777777" w:rsidR="00754CF8" w:rsidRDefault="00754CF8">
    <w:pPr>
      <w:pStyle w:val="Cabealho"/>
      <w:jc w:val="center"/>
      <w:rPr>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CF47CE"/>
    <w:multiLevelType w:val="multilevel"/>
    <w:tmpl w:val="6ECF47CE"/>
    <w:lvl w:ilvl="0">
      <w:start w:val="1"/>
      <w:numFmt w:val="upp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340280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D85"/>
    <w:rsid w:val="00005E71"/>
    <w:rsid w:val="00027FD4"/>
    <w:rsid w:val="00043AB7"/>
    <w:rsid w:val="00055924"/>
    <w:rsid w:val="0006670E"/>
    <w:rsid w:val="000A3B1C"/>
    <w:rsid w:val="000B759A"/>
    <w:rsid w:val="000D5507"/>
    <w:rsid w:val="000D58B8"/>
    <w:rsid w:val="000E71B1"/>
    <w:rsid w:val="000F626D"/>
    <w:rsid w:val="00123397"/>
    <w:rsid w:val="00124AA7"/>
    <w:rsid w:val="00127A73"/>
    <w:rsid w:val="00133F21"/>
    <w:rsid w:val="00136273"/>
    <w:rsid w:val="001538D6"/>
    <w:rsid w:val="00165B96"/>
    <w:rsid w:val="00172103"/>
    <w:rsid w:val="00177795"/>
    <w:rsid w:val="00186DC9"/>
    <w:rsid w:val="0019749F"/>
    <w:rsid w:val="001D701F"/>
    <w:rsid w:val="001E02B6"/>
    <w:rsid w:val="001E09D9"/>
    <w:rsid w:val="001F4845"/>
    <w:rsid w:val="001F666B"/>
    <w:rsid w:val="0020372B"/>
    <w:rsid w:val="002047DA"/>
    <w:rsid w:val="002330C8"/>
    <w:rsid w:val="002434C9"/>
    <w:rsid w:val="002536A1"/>
    <w:rsid w:val="0028391D"/>
    <w:rsid w:val="00284D01"/>
    <w:rsid w:val="00292AB2"/>
    <w:rsid w:val="002C3D6F"/>
    <w:rsid w:val="002D1012"/>
    <w:rsid w:val="0030231E"/>
    <w:rsid w:val="00303946"/>
    <w:rsid w:val="00312884"/>
    <w:rsid w:val="003219DE"/>
    <w:rsid w:val="00335742"/>
    <w:rsid w:val="00343551"/>
    <w:rsid w:val="00352FA1"/>
    <w:rsid w:val="00382DF5"/>
    <w:rsid w:val="00385697"/>
    <w:rsid w:val="00387B71"/>
    <w:rsid w:val="00391282"/>
    <w:rsid w:val="00392CE5"/>
    <w:rsid w:val="003C507D"/>
    <w:rsid w:val="003C6E8B"/>
    <w:rsid w:val="003D28B5"/>
    <w:rsid w:val="003D32DB"/>
    <w:rsid w:val="003E2F7F"/>
    <w:rsid w:val="003F6CA4"/>
    <w:rsid w:val="0040364A"/>
    <w:rsid w:val="00412887"/>
    <w:rsid w:val="00440D9C"/>
    <w:rsid w:val="00445C74"/>
    <w:rsid w:val="00465B55"/>
    <w:rsid w:val="004719CD"/>
    <w:rsid w:val="0049782E"/>
    <w:rsid w:val="004A56DE"/>
    <w:rsid w:val="004C0267"/>
    <w:rsid w:val="004C4A8C"/>
    <w:rsid w:val="004E15B6"/>
    <w:rsid w:val="004F0CC2"/>
    <w:rsid w:val="004F3D85"/>
    <w:rsid w:val="00501639"/>
    <w:rsid w:val="00501BF8"/>
    <w:rsid w:val="00510535"/>
    <w:rsid w:val="00511E64"/>
    <w:rsid w:val="0052411B"/>
    <w:rsid w:val="005257BB"/>
    <w:rsid w:val="00542402"/>
    <w:rsid w:val="0054294A"/>
    <w:rsid w:val="00544D99"/>
    <w:rsid w:val="00553104"/>
    <w:rsid w:val="00557591"/>
    <w:rsid w:val="00563179"/>
    <w:rsid w:val="00583121"/>
    <w:rsid w:val="005924AE"/>
    <w:rsid w:val="005A1C70"/>
    <w:rsid w:val="005A59AA"/>
    <w:rsid w:val="005B5D17"/>
    <w:rsid w:val="005C7401"/>
    <w:rsid w:val="005D4874"/>
    <w:rsid w:val="005D7039"/>
    <w:rsid w:val="005E48CA"/>
    <w:rsid w:val="005E5B08"/>
    <w:rsid w:val="005F008A"/>
    <w:rsid w:val="005F6907"/>
    <w:rsid w:val="00616B2F"/>
    <w:rsid w:val="006452F7"/>
    <w:rsid w:val="006609B9"/>
    <w:rsid w:val="00665F8D"/>
    <w:rsid w:val="00666E13"/>
    <w:rsid w:val="006A3C4A"/>
    <w:rsid w:val="006B2D9D"/>
    <w:rsid w:val="006C14C9"/>
    <w:rsid w:val="006E3F0A"/>
    <w:rsid w:val="006E7AA1"/>
    <w:rsid w:val="006F38F5"/>
    <w:rsid w:val="00707FE4"/>
    <w:rsid w:val="007111A1"/>
    <w:rsid w:val="0071141E"/>
    <w:rsid w:val="007169DF"/>
    <w:rsid w:val="00727AFE"/>
    <w:rsid w:val="0073469E"/>
    <w:rsid w:val="00735977"/>
    <w:rsid w:val="00752BE2"/>
    <w:rsid w:val="00754A94"/>
    <w:rsid w:val="00754CF8"/>
    <w:rsid w:val="00756A58"/>
    <w:rsid w:val="00780583"/>
    <w:rsid w:val="007B0E81"/>
    <w:rsid w:val="007D2E76"/>
    <w:rsid w:val="007D419D"/>
    <w:rsid w:val="007E0D79"/>
    <w:rsid w:val="007F67E5"/>
    <w:rsid w:val="008044E6"/>
    <w:rsid w:val="00806E63"/>
    <w:rsid w:val="00816EC0"/>
    <w:rsid w:val="0086022A"/>
    <w:rsid w:val="00867376"/>
    <w:rsid w:val="00873F09"/>
    <w:rsid w:val="00885021"/>
    <w:rsid w:val="008936F0"/>
    <w:rsid w:val="008956FE"/>
    <w:rsid w:val="008A25D6"/>
    <w:rsid w:val="008B3660"/>
    <w:rsid w:val="008B66DF"/>
    <w:rsid w:val="008C3F87"/>
    <w:rsid w:val="008D3F12"/>
    <w:rsid w:val="008E307F"/>
    <w:rsid w:val="008E5F37"/>
    <w:rsid w:val="008E7EC5"/>
    <w:rsid w:val="00900494"/>
    <w:rsid w:val="009010A6"/>
    <w:rsid w:val="009015A5"/>
    <w:rsid w:val="0090500B"/>
    <w:rsid w:val="009124B7"/>
    <w:rsid w:val="0091743E"/>
    <w:rsid w:val="00940BE2"/>
    <w:rsid w:val="0094733B"/>
    <w:rsid w:val="0097354F"/>
    <w:rsid w:val="009A47F6"/>
    <w:rsid w:val="009A6829"/>
    <w:rsid w:val="009B0264"/>
    <w:rsid w:val="009B4716"/>
    <w:rsid w:val="009B7882"/>
    <w:rsid w:val="009C023A"/>
    <w:rsid w:val="009D1B72"/>
    <w:rsid w:val="009E3835"/>
    <w:rsid w:val="009E4145"/>
    <w:rsid w:val="009F6C8A"/>
    <w:rsid w:val="00A0095A"/>
    <w:rsid w:val="00A00A8D"/>
    <w:rsid w:val="00A03912"/>
    <w:rsid w:val="00A054E8"/>
    <w:rsid w:val="00A076BD"/>
    <w:rsid w:val="00A12657"/>
    <w:rsid w:val="00A2426E"/>
    <w:rsid w:val="00A25565"/>
    <w:rsid w:val="00A44B3F"/>
    <w:rsid w:val="00A51A03"/>
    <w:rsid w:val="00A5554A"/>
    <w:rsid w:val="00A576C7"/>
    <w:rsid w:val="00A67E07"/>
    <w:rsid w:val="00A81871"/>
    <w:rsid w:val="00AB064F"/>
    <w:rsid w:val="00AC5733"/>
    <w:rsid w:val="00AD1852"/>
    <w:rsid w:val="00AD37D3"/>
    <w:rsid w:val="00AD5204"/>
    <w:rsid w:val="00AE451A"/>
    <w:rsid w:val="00AF5E51"/>
    <w:rsid w:val="00B27078"/>
    <w:rsid w:val="00B32633"/>
    <w:rsid w:val="00B376AC"/>
    <w:rsid w:val="00B37EC2"/>
    <w:rsid w:val="00B44BC1"/>
    <w:rsid w:val="00B45CFF"/>
    <w:rsid w:val="00B47C9D"/>
    <w:rsid w:val="00B55199"/>
    <w:rsid w:val="00B659CA"/>
    <w:rsid w:val="00B74CA9"/>
    <w:rsid w:val="00B75E1A"/>
    <w:rsid w:val="00B77B9B"/>
    <w:rsid w:val="00B81FD8"/>
    <w:rsid w:val="00B92EC3"/>
    <w:rsid w:val="00B94C5B"/>
    <w:rsid w:val="00BA7658"/>
    <w:rsid w:val="00BB5A48"/>
    <w:rsid w:val="00BC2839"/>
    <w:rsid w:val="00BC5706"/>
    <w:rsid w:val="00BD5451"/>
    <w:rsid w:val="00BE0388"/>
    <w:rsid w:val="00BE3CDE"/>
    <w:rsid w:val="00BE5017"/>
    <w:rsid w:val="00BF3CE1"/>
    <w:rsid w:val="00BF52AE"/>
    <w:rsid w:val="00C002E7"/>
    <w:rsid w:val="00C04C87"/>
    <w:rsid w:val="00C22554"/>
    <w:rsid w:val="00C25DFC"/>
    <w:rsid w:val="00C26083"/>
    <w:rsid w:val="00C27C0D"/>
    <w:rsid w:val="00C32117"/>
    <w:rsid w:val="00C3648A"/>
    <w:rsid w:val="00C40B5D"/>
    <w:rsid w:val="00C46E16"/>
    <w:rsid w:val="00C74EBA"/>
    <w:rsid w:val="00C93346"/>
    <w:rsid w:val="00C97E93"/>
    <w:rsid w:val="00CA492D"/>
    <w:rsid w:val="00CD1547"/>
    <w:rsid w:val="00CE19B5"/>
    <w:rsid w:val="00CE3BF6"/>
    <w:rsid w:val="00CE671D"/>
    <w:rsid w:val="00D05FBD"/>
    <w:rsid w:val="00D40CBA"/>
    <w:rsid w:val="00D474BA"/>
    <w:rsid w:val="00D57053"/>
    <w:rsid w:val="00D62E69"/>
    <w:rsid w:val="00D67A0A"/>
    <w:rsid w:val="00D924C1"/>
    <w:rsid w:val="00D92930"/>
    <w:rsid w:val="00DA5A62"/>
    <w:rsid w:val="00DA6102"/>
    <w:rsid w:val="00DB456E"/>
    <w:rsid w:val="00DB5E2A"/>
    <w:rsid w:val="00DB765D"/>
    <w:rsid w:val="00DD23CF"/>
    <w:rsid w:val="00DD7D68"/>
    <w:rsid w:val="00E05CD1"/>
    <w:rsid w:val="00E21729"/>
    <w:rsid w:val="00E2349F"/>
    <w:rsid w:val="00E37229"/>
    <w:rsid w:val="00E37BF1"/>
    <w:rsid w:val="00E53F57"/>
    <w:rsid w:val="00E65114"/>
    <w:rsid w:val="00E71358"/>
    <w:rsid w:val="00E9251E"/>
    <w:rsid w:val="00E93034"/>
    <w:rsid w:val="00E94ADF"/>
    <w:rsid w:val="00EB0A81"/>
    <w:rsid w:val="00EF382F"/>
    <w:rsid w:val="00F01D2A"/>
    <w:rsid w:val="00F04F2A"/>
    <w:rsid w:val="00F23FB5"/>
    <w:rsid w:val="00F331A1"/>
    <w:rsid w:val="00F533A8"/>
    <w:rsid w:val="00F558E3"/>
    <w:rsid w:val="00F6009E"/>
    <w:rsid w:val="00F610C1"/>
    <w:rsid w:val="00F6430B"/>
    <w:rsid w:val="00F64981"/>
    <w:rsid w:val="00F7012C"/>
    <w:rsid w:val="00F85AE7"/>
    <w:rsid w:val="00F8750C"/>
    <w:rsid w:val="00FA5855"/>
    <w:rsid w:val="00FB3485"/>
    <w:rsid w:val="00FC2561"/>
    <w:rsid w:val="00FC39DE"/>
    <w:rsid w:val="00FD4612"/>
    <w:rsid w:val="00FE75C8"/>
    <w:rsid w:val="166F5BA9"/>
    <w:rsid w:val="5B8B3D46"/>
    <w:rsid w:val="6BA03904"/>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B05EA"/>
  <w15:docId w15:val="{2827D5C1-8960-454B-A031-9C4D4468B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uiPriority="29" w:qFormat="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102"/>
    <w:pPr>
      <w:tabs>
        <w:tab w:val="left" w:pos="851"/>
      </w:tabs>
      <w:spacing w:line="360" w:lineRule="auto"/>
      <w:jc w:val="both"/>
    </w:pPr>
    <w:rPr>
      <w:rFonts w:ascii="Roboto Lt" w:hAnsi="Roboto Lt"/>
      <w:sz w:val="24"/>
      <w:szCs w:val="22"/>
    </w:rPr>
  </w:style>
  <w:style w:type="paragraph" w:styleId="Ttulo1">
    <w:name w:val="heading 1"/>
    <w:basedOn w:val="Normal"/>
    <w:next w:val="Normal"/>
    <w:link w:val="Ttulo1Char"/>
    <w:autoRedefine/>
    <w:uiPriority w:val="9"/>
    <w:qFormat/>
    <w:rsid w:val="00DA6102"/>
    <w:pPr>
      <w:keepNext/>
      <w:keepLines/>
      <w:pBdr>
        <w:bottom w:val="single" w:sz="18" w:space="1" w:color="auto"/>
      </w:pBdr>
      <w:spacing w:before="240" w:after="240" w:line="240" w:lineRule="auto"/>
      <w:jc w:val="right"/>
      <w:outlineLvl w:val="0"/>
    </w:pPr>
    <w:rPr>
      <w:rFonts w:eastAsiaTheme="majorEastAsia" w:cstheme="majorBidi"/>
      <w:b/>
      <w:bCs/>
      <w:color w:val="C00000"/>
      <w:szCs w:val="28"/>
    </w:rPr>
  </w:style>
  <w:style w:type="paragraph" w:styleId="Ttulo2">
    <w:name w:val="heading 2"/>
    <w:basedOn w:val="Normal"/>
    <w:next w:val="Normal"/>
    <w:link w:val="Ttulo2Char"/>
    <w:autoRedefine/>
    <w:uiPriority w:val="9"/>
    <w:unhideWhenUsed/>
    <w:qFormat/>
    <w:rsid w:val="00DA6102"/>
    <w:pPr>
      <w:keepNext/>
      <w:keepLines/>
      <w:spacing w:before="240" w:after="240" w:line="240" w:lineRule="auto"/>
      <w:outlineLvl w:val="1"/>
    </w:pPr>
    <w:rPr>
      <w:rFonts w:eastAsia="Arial" w:cstheme="majorBidi"/>
      <w:bCs/>
      <w:szCs w:val="26"/>
    </w:rPr>
  </w:style>
  <w:style w:type="paragraph" w:styleId="Ttulo3">
    <w:name w:val="heading 3"/>
    <w:basedOn w:val="Normal"/>
    <w:next w:val="Normal"/>
    <w:link w:val="Ttulo3Char"/>
    <w:autoRedefine/>
    <w:uiPriority w:val="9"/>
    <w:unhideWhenUsed/>
    <w:qFormat/>
    <w:rsid w:val="00DA6102"/>
    <w:pPr>
      <w:keepNext/>
      <w:keepLines/>
      <w:spacing w:before="240" w:after="240" w:line="240" w:lineRule="auto"/>
      <w:outlineLvl w:val="2"/>
    </w:pPr>
    <w:rPr>
      <w:rFonts w:eastAsia="Arial"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qFormat/>
    <w:pPr>
      <w:tabs>
        <w:tab w:val="center" w:pos="4252"/>
        <w:tab w:val="right" w:pos="8504"/>
      </w:tabs>
      <w:spacing w:line="240" w:lineRule="auto"/>
    </w:pPr>
  </w:style>
  <w:style w:type="paragraph" w:styleId="Rodap">
    <w:name w:val="footer"/>
    <w:basedOn w:val="Normal"/>
    <w:link w:val="RodapChar"/>
    <w:uiPriority w:val="99"/>
    <w:unhideWhenUsed/>
    <w:qFormat/>
    <w:pPr>
      <w:tabs>
        <w:tab w:val="center" w:pos="4252"/>
        <w:tab w:val="right" w:pos="8504"/>
      </w:tabs>
      <w:spacing w:line="240" w:lineRule="auto"/>
    </w:pPr>
  </w:style>
  <w:style w:type="paragraph" w:styleId="Textodebalo">
    <w:name w:val="Balloon Text"/>
    <w:basedOn w:val="Normal"/>
    <w:link w:val="TextodebaloChar"/>
    <w:uiPriority w:val="99"/>
    <w:semiHidden/>
    <w:unhideWhenUsed/>
    <w:qFormat/>
    <w:pPr>
      <w:spacing w:line="240" w:lineRule="auto"/>
    </w:pPr>
    <w:rPr>
      <w:rFonts w:ascii="Tahoma" w:hAnsi="Tahoma" w:cs="Tahoma"/>
      <w:sz w:val="16"/>
      <w:szCs w:val="16"/>
    </w:rPr>
  </w:style>
  <w:style w:type="character" w:customStyle="1" w:styleId="CabealhoChar">
    <w:name w:val="Cabeçalho Char"/>
    <w:basedOn w:val="Fontepargpadro"/>
    <w:link w:val="Cabealho"/>
    <w:uiPriority w:val="99"/>
    <w:qFormat/>
  </w:style>
  <w:style w:type="character" w:customStyle="1" w:styleId="RodapChar">
    <w:name w:val="Rodapé Char"/>
    <w:basedOn w:val="Fontepargpadro"/>
    <w:link w:val="Rodap"/>
    <w:uiPriority w:val="99"/>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1Char">
    <w:name w:val="Título 1 Char"/>
    <w:basedOn w:val="Fontepargpadro"/>
    <w:link w:val="Ttulo1"/>
    <w:uiPriority w:val="9"/>
    <w:qFormat/>
    <w:rsid w:val="00DA6102"/>
    <w:rPr>
      <w:rFonts w:ascii="Roboto Lt" w:eastAsiaTheme="majorEastAsia" w:hAnsi="Roboto Lt" w:cstheme="majorBidi"/>
      <w:b/>
      <w:bCs/>
      <w:color w:val="C00000"/>
      <w:sz w:val="24"/>
      <w:szCs w:val="28"/>
    </w:rPr>
  </w:style>
  <w:style w:type="character" w:customStyle="1" w:styleId="Ttulo2Char">
    <w:name w:val="Título 2 Char"/>
    <w:basedOn w:val="Fontepargpadro"/>
    <w:link w:val="Ttulo2"/>
    <w:uiPriority w:val="9"/>
    <w:qFormat/>
    <w:rsid w:val="00DA6102"/>
    <w:rPr>
      <w:rFonts w:ascii="Roboto Lt" w:eastAsia="Arial" w:hAnsi="Roboto Lt" w:cstheme="majorBidi"/>
      <w:bCs/>
      <w:sz w:val="24"/>
      <w:szCs w:val="26"/>
    </w:rPr>
  </w:style>
  <w:style w:type="paragraph" w:styleId="Citao">
    <w:name w:val="Quote"/>
    <w:basedOn w:val="Normal"/>
    <w:next w:val="Normal"/>
    <w:link w:val="CitaoChar"/>
    <w:autoRedefine/>
    <w:uiPriority w:val="29"/>
    <w:qFormat/>
    <w:rsid w:val="00DA6102"/>
    <w:pPr>
      <w:spacing w:before="160" w:after="160" w:line="240" w:lineRule="auto"/>
      <w:ind w:left="2268"/>
    </w:pPr>
    <w:rPr>
      <w:rFonts w:eastAsia="Arial"/>
      <w:iCs/>
      <w:color w:val="000000" w:themeColor="text1"/>
      <w:sz w:val="22"/>
    </w:rPr>
  </w:style>
  <w:style w:type="character" w:customStyle="1" w:styleId="CitaoChar">
    <w:name w:val="Citação Char"/>
    <w:basedOn w:val="Fontepargpadro"/>
    <w:link w:val="Citao"/>
    <w:uiPriority w:val="29"/>
    <w:qFormat/>
    <w:rsid w:val="00DA6102"/>
    <w:rPr>
      <w:rFonts w:ascii="Roboto Lt" w:eastAsia="Arial" w:hAnsi="Roboto Lt"/>
      <w:iCs/>
      <w:color w:val="000000" w:themeColor="text1"/>
      <w:sz w:val="22"/>
      <w:szCs w:val="22"/>
    </w:rPr>
  </w:style>
  <w:style w:type="character" w:customStyle="1" w:styleId="Ttulo3Char">
    <w:name w:val="Título 3 Char"/>
    <w:basedOn w:val="Fontepargpadro"/>
    <w:link w:val="Ttulo3"/>
    <w:uiPriority w:val="9"/>
    <w:qFormat/>
    <w:rsid w:val="00DA6102"/>
    <w:rPr>
      <w:rFonts w:ascii="Roboto Lt" w:eastAsia="Arial" w:hAnsi="Roboto Lt" w:cstheme="majorBidi"/>
      <w:b/>
      <w:sz w:val="24"/>
      <w:szCs w:val="22"/>
    </w:rPr>
  </w:style>
  <w:style w:type="paragraph" w:customStyle="1" w:styleId="Reviso1">
    <w:name w:val="Revisão1"/>
    <w:hidden/>
    <w:uiPriority w:val="99"/>
    <w:semiHidden/>
    <w:qFormat/>
    <w:rPr>
      <w:rFonts w:ascii="Times New Roman" w:hAnsi="Times New Roman"/>
      <w:sz w:val="24"/>
      <w:szCs w:val="22"/>
    </w:rPr>
  </w:style>
  <w:style w:type="paragraph" w:styleId="PargrafodaLista">
    <w:name w:val="List Paragraph"/>
    <w:basedOn w:val="Normal"/>
    <w:uiPriority w:val="34"/>
    <w:qFormat/>
    <w:pPr>
      <w:tabs>
        <w:tab w:val="clear" w:pos="851"/>
      </w:tabs>
      <w:spacing w:line="240" w:lineRule="auto"/>
      <w:ind w:left="720"/>
      <w:contextualSpacing/>
      <w:jc w:val="left"/>
    </w:pPr>
    <w:rPr>
      <w:rFonts w:eastAsia="Times New Roman" w:cs="Times New Roman"/>
      <w:szCs w:val="24"/>
    </w:rPr>
  </w:style>
  <w:style w:type="paragraph" w:customStyle="1" w:styleId="Texto">
    <w:name w:val="Texto"/>
    <w:basedOn w:val="Normal"/>
    <w:qFormat/>
    <w:pPr>
      <w:tabs>
        <w:tab w:val="clear" w:pos="851"/>
      </w:tabs>
      <w:suppressAutoHyphens/>
      <w:ind w:firstLine="851"/>
    </w:pPr>
    <w:rPr>
      <w:rFonts w:ascii="Arial" w:eastAsia="Calibri" w:hAnsi="Arial" w:cs="Arial"/>
      <w:lang w:eastAsia="zh-CN"/>
    </w:rPr>
  </w:style>
  <w:style w:type="character" w:styleId="Refdecomentrio">
    <w:name w:val="annotation reference"/>
    <w:basedOn w:val="Fontepargpadro"/>
    <w:uiPriority w:val="99"/>
    <w:semiHidden/>
    <w:unhideWhenUsed/>
    <w:rsid w:val="00AD37D3"/>
    <w:rPr>
      <w:sz w:val="16"/>
      <w:szCs w:val="16"/>
    </w:rPr>
  </w:style>
  <w:style w:type="paragraph" w:styleId="Textodecomentrio">
    <w:name w:val="annotation text"/>
    <w:basedOn w:val="Normal"/>
    <w:link w:val="TextodecomentrioChar"/>
    <w:uiPriority w:val="99"/>
    <w:semiHidden/>
    <w:unhideWhenUsed/>
    <w:rsid w:val="00AD37D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D37D3"/>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D37D3"/>
    <w:rPr>
      <w:b/>
      <w:bCs/>
    </w:rPr>
  </w:style>
  <w:style w:type="character" w:customStyle="1" w:styleId="AssuntodocomentrioChar">
    <w:name w:val="Assunto do comentário Char"/>
    <w:basedOn w:val="TextodecomentrioChar"/>
    <w:link w:val="Assuntodocomentrio"/>
    <w:uiPriority w:val="99"/>
    <w:semiHidden/>
    <w:rsid w:val="00AD37D3"/>
    <w:rPr>
      <w:rFonts w:ascii="Times New Roman" w:hAnsi="Times New Roman"/>
      <w:b/>
      <w:bCs/>
    </w:rPr>
  </w:style>
  <w:style w:type="character" w:styleId="Forte">
    <w:name w:val="Strong"/>
    <w:basedOn w:val="Fontepargpadro"/>
    <w:uiPriority w:val="22"/>
    <w:qFormat/>
    <w:rsid w:val="00055924"/>
    <w:rPr>
      <w:b/>
      <w:bCs/>
    </w:rPr>
  </w:style>
  <w:style w:type="character" w:styleId="Hyperlink">
    <w:name w:val="Hyperlink"/>
    <w:basedOn w:val="Fontepargpadro"/>
    <w:uiPriority w:val="99"/>
    <w:unhideWhenUsed/>
    <w:rsid w:val="004719CD"/>
    <w:rPr>
      <w:color w:val="0563C1" w:themeColor="hyperlink"/>
      <w:u w:val="single"/>
    </w:rPr>
  </w:style>
  <w:style w:type="paragraph" w:styleId="Ttulo">
    <w:name w:val="Title"/>
    <w:basedOn w:val="Normal"/>
    <w:next w:val="Normal"/>
    <w:link w:val="TtuloChar"/>
    <w:autoRedefine/>
    <w:uiPriority w:val="10"/>
    <w:qFormat/>
    <w:rsid w:val="00DA6102"/>
    <w:pPr>
      <w:spacing w:before="240" w:after="240" w:line="240" w:lineRule="auto"/>
      <w:contextualSpacing/>
      <w:jc w:val="right"/>
    </w:pPr>
    <w:rPr>
      <w:rFonts w:ascii="Roboto Black" w:eastAsiaTheme="majorEastAsia" w:hAnsi="Roboto Black" w:cstheme="majorBidi"/>
      <w:color w:val="C00000"/>
      <w:spacing w:val="-10"/>
      <w:kern w:val="28"/>
      <w:sz w:val="28"/>
      <w:szCs w:val="56"/>
    </w:rPr>
  </w:style>
  <w:style w:type="character" w:customStyle="1" w:styleId="TtuloChar">
    <w:name w:val="Título Char"/>
    <w:basedOn w:val="Fontepargpadro"/>
    <w:link w:val="Ttulo"/>
    <w:uiPriority w:val="10"/>
    <w:rsid w:val="00DA6102"/>
    <w:rPr>
      <w:rFonts w:ascii="Roboto Black" w:eastAsiaTheme="majorEastAsia" w:hAnsi="Roboto Black" w:cstheme="majorBidi"/>
      <w:color w:val="C00000"/>
      <w:spacing w:val="-10"/>
      <w:kern w:val="28"/>
      <w:sz w:val="28"/>
      <w:szCs w:val="56"/>
    </w:rPr>
  </w:style>
  <w:style w:type="paragraph" w:styleId="Subttulo">
    <w:name w:val="Subtitle"/>
    <w:basedOn w:val="Normal"/>
    <w:next w:val="Normal"/>
    <w:link w:val="SubttuloChar"/>
    <w:autoRedefine/>
    <w:uiPriority w:val="11"/>
    <w:qFormat/>
    <w:rsid w:val="00DA6102"/>
    <w:pPr>
      <w:numPr>
        <w:ilvl w:val="1"/>
      </w:numPr>
      <w:spacing w:after="240" w:line="240" w:lineRule="auto"/>
      <w:jc w:val="right"/>
    </w:pPr>
    <w:rPr>
      <w:color w:val="5A5A5A" w:themeColor="text1" w:themeTint="A5"/>
      <w:sz w:val="22"/>
    </w:rPr>
  </w:style>
  <w:style w:type="character" w:customStyle="1" w:styleId="SubttuloChar">
    <w:name w:val="Subtítulo Char"/>
    <w:basedOn w:val="Fontepargpadro"/>
    <w:link w:val="Subttulo"/>
    <w:uiPriority w:val="11"/>
    <w:rsid w:val="00DA6102"/>
    <w:rPr>
      <w:rFonts w:ascii="Roboto Lt" w:hAnsi="Roboto Lt"/>
      <w:color w:val="5A5A5A" w:themeColor="text1" w:themeTint="A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396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F7D375-E68E-4C17-96AB-17F844DB6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4378</Words>
  <Characters>23646</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UFRN</Company>
  <LinksUpToDate>false</LinksUpToDate>
  <CharactersWithSpaces>27969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Periodicos-PC02</dc:creator>
  <cp:lastModifiedBy>Nícolas Vitorino</cp:lastModifiedBy>
  <cp:revision>2</cp:revision>
  <cp:lastPrinted>2023-07-31T22:58:00Z</cp:lastPrinted>
  <dcterms:created xsi:type="dcterms:W3CDTF">2024-03-20T13:22:00Z</dcterms:created>
  <dcterms:modified xsi:type="dcterms:W3CDTF">2024-03-20T13:22:00Z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1046-11.2.0.11537</vt:lpwstr>
  </property>
  <property fmtid="{D5CDD505-2E9C-101B-9397-08002B2CF9AE}" pid="3" name="ICV">
    <vt:lpwstr>1A47CF4BCDEE46B788D17D5BBF132072</vt:lpwstr>
  </property>
</Properties>
</file>