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4515" w14:textId="47DAF106" w:rsidR="00BD2956" w:rsidRDefault="00016B2A" w:rsidP="00EE758A">
      <w:pPr>
        <w:jc w:val="center"/>
        <w:rPr>
          <w:rFonts w:eastAsia="Arial" w:cs="Times New Roman"/>
          <w:bCs/>
          <w:szCs w:val="24"/>
        </w:rPr>
      </w:pPr>
      <w:r>
        <w:rPr>
          <w:rFonts w:eastAsia="Arial" w:cs="Times New Roman"/>
          <w:bCs/>
          <w:szCs w:val="24"/>
        </w:rPr>
        <w:t xml:space="preserve">GT - </w:t>
      </w:r>
      <w:r w:rsidR="001277F9">
        <w:rPr>
          <w:rFonts w:eastAsia="Arial" w:cs="Times New Roman"/>
          <w:bCs/>
          <w:szCs w:val="24"/>
        </w:rPr>
        <w:t>G</w:t>
      </w:r>
      <w:r w:rsidR="00F813A0">
        <w:rPr>
          <w:rFonts w:eastAsia="Arial" w:cs="Times New Roman"/>
          <w:bCs/>
          <w:szCs w:val="24"/>
        </w:rPr>
        <w:t>RUPO DE ESTUDOS E PESQUISA EM QUESTÃO SOCIAL, POLÍTICA SOCIAL E SERVIÇO SOCIAL</w:t>
      </w:r>
    </w:p>
    <w:p w14:paraId="6E7D3495" w14:textId="77777777" w:rsidR="00BD2956" w:rsidRDefault="00BD2956" w:rsidP="00EE758A">
      <w:pPr>
        <w:jc w:val="center"/>
        <w:rPr>
          <w:rFonts w:eastAsia="Arial" w:cs="Times New Roman"/>
          <w:b/>
          <w:szCs w:val="24"/>
        </w:rPr>
      </w:pPr>
    </w:p>
    <w:p w14:paraId="54571F01" w14:textId="77777777" w:rsidR="00BD2956" w:rsidRPr="00016B2A" w:rsidRDefault="0038235B" w:rsidP="00016B2A">
      <w:pPr>
        <w:pStyle w:val="Ttulo"/>
      </w:pPr>
      <w:r w:rsidRPr="00016B2A">
        <w:t>O AJUSTE FISCAL SELETIVO NAS POLÍTICAS PÚBLICAS DE CONVIVÊNCIA COM O SEMIÁRIDO BRASILEIRO</w:t>
      </w:r>
    </w:p>
    <w:p w14:paraId="1D77429E" w14:textId="784AF21E" w:rsidR="00C1139B" w:rsidRDefault="007F612C" w:rsidP="00016B2A">
      <w:pPr>
        <w:pStyle w:val="Subttulo"/>
      </w:pPr>
      <w:r>
        <w:t>Maria Luiza Santos Nascimento</w:t>
      </w:r>
      <w:r w:rsidR="00F34F3A">
        <w:rPr>
          <w:rStyle w:val="Refdenotaderodap"/>
          <w:rFonts w:eastAsia="Arial" w:cs="Times New Roman"/>
          <w:szCs w:val="24"/>
        </w:rPr>
        <w:footnoteReference w:id="1"/>
      </w:r>
      <w:r w:rsidR="00016B2A">
        <w:t xml:space="preserve">, </w:t>
      </w:r>
      <w:r w:rsidR="00C1139B">
        <w:t>Rita de Cássia Pontes da Silva</w:t>
      </w:r>
      <w:r w:rsidR="00F34F3A">
        <w:rPr>
          <w:rStyle w:val="Refdenotaderodap"/>
          <w:rFonts w:eastAsia="Arial" w:cs="Times New Roman"/>
          <w:szCs w:val="24"/>
        </w:rPr>
        <w:footnoteReference w:id="2"/>
      </w:r>
      <w:r w:rsidR="00016B2A">
        <w:t xml:space="preserve">, </w:t>
      </w:r>
      <w:r w:rsidR="00C1139B">
        <w:t>Roberto Marinho Alves da Silva</w:t>
      </w:r>
      <w:r w:rsidR="00F34F3A">
        <w:rPr>
          <w:rStyle w:val="Refdenotaderodap"/>
          <w:rFonts w:eastAsia="Arial" w:cs="Times New Roman"/>
          <w:szCs w:val="24"/>
        </w:rPr>
        <w:footnoteReference w:id="3"/>
      </w:r>
    </w:p>
    <w:p w14:paraId="4DDC08B0" w14:textId="77777777" w:rsidR="00BD2956" w:rsidRDefault="001277F9" w:rsidP="00EE758A">
      <w:pPr>
        <w:spacing w:line="240" w:lineRule="auto"/>
        <w:rPr>
          <w:rFonts w:eastAsia="Arial" w:cs="Times New Roman"/>
          <w:b/>
          <w:caps/>
          <w:szCs w:val="24"/>
        </w:rPr>
      </w:pPr>
      <w:r>
        <w:rPr>
          <w:rFonts w:eastAsia="Arial" w:cs="Times New Roman"/>
          <w:b/>
          <w:caps/>
          <w:szCs w:val="24"/>
        </w:rPr>
        <w:t>Resumo</w:t>
      </w:r>
    </w:p>
    <w:p w14:paraId="0D462741" w14:textId="77777777" w:rsidR="00BD2956" w:rsidRDefault="00BD2956" w:rsidP="00EE758A">
      <w:pPr>
        <w:spacing w:line="240" w:lineRule="auto"/>
        <w:rPr>
          <w:rFonts w:eastAsia="Arial" w:cs="Times New Roman"/>
          <w:szCs w:val="24"/>
        </w:rPr>
      </w:pPr>
    </w:p>
    <w:p w14:paraId="575C8E87" w14:textId="0D5A0225" w:rsidR="00586C56" w:rsidRPr="00586C56" w:rsidRDefault="00586C56" w:rsidP="00EE758A">
      <w:pPr>
        <w:spacing w:line="240" w:lineRule="auto"/>
        <w:rPr>
          <w:rFonts w:eastAsia="Arial" w:cs="Times New Roman"/>
          <w:sz w:val="22"/>
          <w:szCs w:val="24"/>
        </w:rPr>
      </w:pPr>
      <w:r w:rsidRPr="00586C56">
        <w:rPr>
          <w:rFonts w:eastAsia="Arial" w:cs="Times New Roman"/>
          <w:sz w:val="22"/>
          <w:szCs w:val="24"/>
        </w:rPr>
        <w:t xml:space="preserve">O Semiárido brasileiro é uma região </w:t>
      </w:r>
      <w:r w:rsidR="00F06F44">
        <w:rPr>
          <w:rFonts w:eastAsia="Arial" w:cs="Times New Roman"/>
          <w:sz w:val="22"/>
          <w:szCs w:val="24"/>
        </w:rPr>
        <w:t xml:space="preserve">historicamente marcada pelos </w:t>
      </w:r>
      <w:r w:rsidRPr="00586C56">
        <w:rPr>
          <w:rFonts w:eastAsia="Arial" w:cs="Times New Roman"/>
          <w:sz w:val="22"/>
          <w:szCs w:val="24"/>
        </w:rPr>
        <w:t xml:space="preserve">longos períodos de estiagem, de forma que, devido a este fenômeno, a gestão pública foi estimulada a formular políticas para combate às secas e </w:t>
      </w:r>
      <w:r w:rsidR="00F06F44">
        <w:rPr>
          <w:rFonts w:eastAsia="Arial" w:cs="Times New Roman"/>
          <w:sz w:val="22"/>
          <w:szCs w:val="24"/>
        </w:rPr>
        <w:t xml:space="preserve">seus efeitos e </w:t>
      </w:r>
      <w:r w:rsidRPr="00586C56">
        <w:rPr>
          <w:rFonts w:eastAsia="Arial" w:cs="Times New Roman"/>
          <w:sz w:val="22"/>
          <w:szCs w:val="24"/>
        </w:rPr>
        <w:t xml:space="preserve">para modernização econômica no sertão nordestino. </w:t>
      </w:r>
      <w:r w:rsidR="00F06F44">
        <w:rPr>
          <w:rFonts w:eastAsia="Arial" w:cs="Times New Roman"/>
          <w:sz w:val="22"/>
          <w:szCs w:val="24"/>
        </w:rPr>
        <w:t xml:space="preserve">A partir dos processos </w:t>
      </w:r>
      <w:r w:rsidRPr="00586C56">
        <w:rPr>
          <w:rFonts w:eastAsia="Arial" w:cs="Times New Roman"/>
          <w:sz w:val="22"/>
          <w:szCs w:val="24"/>
        </w:rPr>
        <w:t>organiza</w:t>
      </w:r>
      <w:r w:rsidR="00F06F44">
        <w:rPr>
          <w:rFonts w:eastAsia="Arial" w:cs="Times New Roman"/>
          <w:sz w:val="22"/>
          <w:szCs w:val="24"/>
        </w:rPr>
        <w:t>tivos</w:t>
      </w:r>
      <w:r w:rsidRPr="00586C56">
        <w:rPr>
          <w:rFonts w:eastAsia="Arial" w:cs="Times New Roman"/>
          <w:sz w:val="22"/>
          <w:szCs w:val="24"/>
        </w:rPr>
        <w:t xml:space="preserve"> da sociedade civil</w:t>
      </w:r>
      <w:r w:rsidR="00F06F44">
        <w:rPr>
          <w:rFonts w:eastAsia="Arial" w:cs="Times New Roman"/>
          <w:sz w:val="22"/>
          <w:szCs w:val="24"/>
        </w:rPr>
        <w:t>,</w:t>
      </w:r>
      <w:r w:rsidRPr="00586C56">
        <w:rPr>
          <w:rFonts w:eastAsia="Arial" w:cs="Times New Roman"/>
          <w:sz w:val="22"/>
          <w:szCs w:val="24"/>
        </w:rPr>
        <w:t xml:space="preserve"> as políticas orientadas para a Convivência com o Semiárido foram ganhando espaço</w:t>
      </w:r>
      <w:r w:rsidR="00F06F44">
        <w:rPr>
          <w:rFonts w:eastAsia="Arial" w:cs="Times New Roman"/>
          <w:sz w:val="22"/>
          <w:szCs w:val="24"/>
        </w:rPr>
        <w:t xml:space="preserve"> no final do Século XX</w:t>
      </w:r>
      <w:r w:rsidRPr="00586C56">
        <w:rPr>
          <w:rFonts w:eastAsia="Arial" w:cs="Times New Roman"/>
          <w:sz w:val="22"/>
          <w:szCs w:val="24"/>
        </w:rPr>
        <w:t xml:space="preserve">. Porém, </w:t>
      </w:r>
      <w:r w:rsidR="00F06F44">
        <w:rPr>
          <w:rFonts w:eastAsia="Arial" w:cs="Times New Roman"/>
          <w:sz w:val="22"/>
          <w:szCs w:val="24"/>
        </w:rPr>
        <w:t>a partir de 2015</w:t>
      </w:r>
      <w:r w:rsidRPr="00586C56">
        <w:rPr>
          <w:rFonts w:eastAsia="Arial" w:cs="Times New Roman"/>
          <w:sz w:val="22"/>
          <w:szCs w:val="24"/>
        </w:rPr>
        <w:t xml:space="preserve">, em um contexto de </w:t>
      </w:r>
      <w:r w:rsidR="00F06F44">
        <w:rPr>
          <w:rFonts w:eastAsia="Arial" w:cs="Times New Roman"/>
          <w:sz w:val="22"/>
          <w:szCs w:val="24"/>
        </w:rPr>
        <w:t xml:space="preserve">aprofundamento do </w:t>
      </w:r>
      <w:r w:rsidRPr="00586C56">
        <w:rPr>
          <w:rFonts w:eastAsia="Arial" w:cs="Times New Roman"/>
          <w:sz w:val="22"/>
          <w:szCs w:val="24"/>
        </w:rPr>
        <w:t xml:space="preserve">ajuste fiscal, o investimento nessas políticas sofreu fortes impactos e é nesse sentido que o presente artigo objetivou destacar o modo seletivo com que o corte de gastos públicos se expressou nas políticas públicas federais orientadas ao Semiárido brasileiro. Para isso, foi feita a coleta e análise de dados da execução física, orçamentária e financeira dos programas </w:t>
      </w:r>
      <w:r w:rsidR="00F06F44">
        <w:rPr>
          <w:rFonts w:eastAsia="Arial" w:cs="Times New Roman"/>
          <w:sz w:val="22"/>
          <w:szCs w:val="24"/>
        </w:rPr>
        <w:t>com forte incidência no Semiárido</w:t>
      </w:r>
      <w:r w:rsidRPr="00586C56">
        <w:rPr>
          <w:rFonts w:eastAsia="Arial" w:cs="Times New Roman"/>
          <w:sz w:val="22"/>
          <w:szCs w:val="24"/>
        </w:rPr>
        <w:t>. A partir disso foi possível apontar o tratamento desigual imposto pelo ajuste fiscal, uma vez que o corte de gastos foi mais brando nos programas que beneficiam também o agronegócio</w:t>
      </w:r>
      <w:r w:rsidR="00F06F44">
        <w:rPr>
          <w:rFonts w:eastAsia="Arial" w:cs="Times New Roman"/>
          <w:sz w:val="22"/>
          <w:szCs w:val="24"/>
        </w:rPr>
        <w:t xml:space="preserve"> na região</w:t>
      </w:r>
      <w:r w:rsidRPr="00586C56">
        <w:rPr>
          <w:rFonts w:eastAsia="Arial" w:cs="Times New Roman"/>
          <w:sz w:val="22"/>
          <w:szCs w:val="24"/>
        </w:rPr>
        <w:t>.</w:t>
      </w:r>
    </w:p>
    <w:p w14:paraId="14D4A770" w14:textId="77777777" w:rsidR="00BD2956" w:rsidRDefault="00BD2956" w:rsidP="00EE758A">
      <w:pPr>
        <w:spacing w:line="240" w:lineRule="auto"/>
        <w:rPr>
          <w:rFonts w:eastAsia="Arial" w:cs="Times New Roman"/>
          <w:szCs w:val="24"/>
        </w:rPr>
      </w:pPr>
    </w:p>
    <w:p w14:paraId="3D2837B9" w14:textId="77777777" w:rsidR="00BD2956" w:rsidRDefault="001277F9" w:rsidP="00EE758A">
      <w:pPr>
        <w:spacing w:line="240" w:lineRule="auto"/>
        <w:rPr>
          <w:rFonts w:eastAsia="Arial" w:cs="Times New Roman"/>
          <w:color w:val="000000"/>
          <w:szCs w:val="24"/>
        </w:rPr>
      </w:pPr>
      <w:r>
        <w:rPr>
          <w:rFonts w:eastAsia="Arial" w:cs="Times New Roman"/>
          <w:b/>
          <w:szCs w:val="24"/>
        </w:rPr>
        <w:t xml:space="preserve">Palavras-chave: </w:t>
      </w:r>
      <w:r w:rsidR="00F813A0" w:rsidRPr="00F06F44">
        <w:rPr>
          <w:rFonts w:eastAsia="Arial" w:cs="Times New Roman"/>
          <w:sz w:val="22"/>
          <w:szCs w:val="24"/>
        </w:rPr>
        <w:t>Ajuste Fiscal. Agricultura Familiar. Semiárido Brasileiro.</w:t>
      </w:r>
    </w:p>
    <w:p w14:paraId="07E324D5" w14:textId="77777777" w:rsidR="00CB56D0" w:rsidRDefault="00CB56D0" w:rsidP="00016B2A">
      <w:pPr>
        <w:pStyle w:val="Ttulo1"/>
      </w:pPr>
    </w:p>
    <w:p w14:paraId="4AEE8B59" w14:textId="77777777" w:rsidR="00BD2956" w:rsidRDefault="001277F9" w:rsidP="00016B2A">
      <w:pPr>
        <w:pStyle w:val="Ttulo1"/>
      </w:pPr>
      <w:r>
        <w:t xml:space="preserve">1 INTRODUÇÃO </w:t>
      </w:r>
    </w:p>
    <w:p w14:paraId="47E9CDC8" w14:textId="77777777" w:rsidR="00EE758A" w:rsidRDefault="00EE758A" w:rsidP="00EE758A">
      <w:pPr>
        <w:ind w:firstLine="851"/>
        <w:rPr>
          <w:rFonts w:eastAsia="Arial" w:cs="Times New Roman"/>
          <w:spacing w:val="-2"/>
          <w:szCs w:val="24"/>
        </w:rPr>
      </w:pPr>
    </w:p>
    <w:p w14:paraId="0003BF71" w14:textId="77777777" w:rsidR="00EE758A" w:rsidRDefault="00F34F3A" w:rsidP="00EE758A">
      <w:pPr>
        <w:ind w:firstLine="851"/>
        <w:rPr>
          <w:rFonts w:eastAsia="Arial" w:cs="Times New Roman"/>
          <w:spacing w:val="-2"/>
          <w:szCs w:val="24"/>
        </w:rPr>
      </w:pPr>
      <w:r w:rsidRPr="00F34F3A">
        <w:rPr>
          <w:rFonts w:eastAsia="Arial" w:cs="Times New Roman"/>
          <w:spacing w:val="-2"/>
          <w:szCs w:val="24"/>
        </w:rPr>
        <w:t xml:space="preserve">Este artigo tem como objetivo discorrer sobre as implicações do ajuste fiscal nas políticas públicas </w:t>
      </w:r>
      <w:r w:rsidR="00F06F44">
        <w:rPr>
          <w:rFonts w:eastAsia="Arial" w:cs="Times New Roman"/>
          <w:spacing w:val="-2"/>
          <w:szCs w:val="24"/>
        </w:rPr>
        <w:t>n</w:t>
      </w:r>
      <w:r w:rsidRPr="00F34F3A">
        <w:rPr>
          <w:rFonts w:eastAsia="Arial" w:cs="Times New Roman"/>
          <w:spacing w:val="-2"/>
          <w:szCs w:val="24"/>
        </w:rPr>
        <w:t>o Semiárido brasileiro, evidenciando a seletividade dos cortes orçam</w:t>
      </w:r>
      <w:r w:rsidR="007C1D10">
        <w:rPr>
          <w:rFonts w:eastAsia="Arial" w:cs="Times New Roman"/>
          <w:spacing w:val="-2"/>
          <w:szCs w:val="24"/>
        </w:rPr>
        <w:t>entários no Governo Federal, em que</w:t>
      </w:r>
      <w:r w:rsidRPr="00F34F3A">
        <w:rPr>
          <w:rFonts w:eastAsia="Arial" w:cs="Times New Roman"/>
          <w:spacing w:val="-2"/>
          <w:szCs w:val="24"/>
        </w:rPr>
        <w:t xml:space="preserve"> valoriza as políticas para atender interesses do capital, em detrimento dos programas de fortalecimento da convivência com a semiaridez. </w:t>
      </w:r>
    </w:p>
    <w:p w14:paraId="7F0E0C3A" w14:textId="7EEB6D33" w:rsidR="00F34F3A" w:rsidRPr="00F34F3A" w:rsidRDefault="00F34F3A" w:rsidP="00EE758A">
      <w:pPr>
        <w:ind w:firstLine="851"/>
        <w:rPr>
          <w:rFonts w:eastAsia="Arial" w:cs="Times New Roman"/>
          <w:spacing w:val="-2"/>
          <w:szCs w:val="24"/>
        </w:rPr>
      </w:pPr>
      <w:r w:rsidRPr="00F34F3A">
        <w:rPr>
          <w:rFonts w:eastAsia="Arial" w:cs="Times New Roman"/>
          <w:spacing w:val="-2"/>
          <w:szCs w:val="24"/>
        </w:rPr>
        <w:lastRenderedPageBreak/>
        <w:t>Essa análise está vinculada à pesquisa realizada na Universidade Federal do Rio Grande do Norte (UFRN) sobre “Resistências sertanejas no Semiárido brasileiro: a Agricultura Familiar entre mudanças climáticas, secas, ajuste fiscal e pandemia no Século XXI (2010 a 2020)”, desenvolvida pelo Grupo de Estudos e Pesquisa em Questão Social, Política Social e Serviço Social (GEP-QPSOCIAL).</w:t>
      </w:r>
      <w:r w:rsidR="00EE758A">
        <w:rPr>
          <w:rFonts w:eastAsia="Arial" w:cs="Times New Roman"/>
          <w:spacing w:val="-2"/>
          <w:szCs w:val="24"/>
        </w:rPr>
        <w:t xml:space="preserve"> </w:t>
      </w:r>
      <w:r w:rsidRPr="00F34F3A">
        <w:rPr>
          <w:rFonts w:eastAsia="Arial" w:cs="Times New Roman"/>
          <w:spacing w:val="-2"/>
          <w:szCs w:val="24"/>
        </w:rPr>
        <w:t>O estudo em questão iniciou-se em setembro de 2020 e é orientado pelo método histórico-dialético, tendo uma abordagem mista que articula dados qualitativos e quantitativos</w:t>
      </w:r>
      <w:r w:rsidR="00F06F44">
        <w:rPr>
          <w:rFonts w:eastAsia="Arial" w:cs="Times New Roman"/>
          <w:spacing w:val="-2"/>
          <w:szCs w:val="24"/>
        </w:rPr>
        <w:t>, v</w:t>
      </w:r>
      <w:r w:rsidR="00F06F44" w:rsidRPr="00F34F3A">
        <w:rPr>
          <w:rFonts w:eastAsia="Arial" w:cs="Times New Roman"/>
          <w:spacing w:val="-2"/>
          <w:szCs w:val="24"/>
        </w:rPr>
        <w:t xml:space="preserve">isto </w:t>
      </w:r>
      <w:r w:rsidRPr="00F34F3A">
        <w:rPr>
          <w:rFonts w:eastAsia="Arial" w:cs="Times New Roman"/>
          <w:spacing w:val="-2"/>
          <w:szCs w:val="24"/>
        </w:rPr>
        <w:t>que urge a necessidade de explicar além dos aspectos da realidade, as contradições inexploradas da realidade empírica e seus fundamentos (</w:t>
      </w:r>
      <w:r w:rsidRPr="007C1D10">
        <w:rPr>
          <w:rFonts w:eastAsia="Arial" w:cs="Times New Roman"/>
          <w:spacing w:val="-2"/>
          <w:szCs w:val="24"/>
        </w:rPr>
        <w:t>PRATES</w:t>
      </w:r>
      <w:r w:rsidRPr="00F34F3A">
        <w:rPr>
          <w:rFonts w:eastAsia="Arial" w:cs="Times New Roman"/>
          <w:spacing w:val="-2"/>
          <w:szCs w:val="24"/>
        </w:rPr>
        <w:t xml:space="preserve">, 2012). Dessa forma, envolve a pesquisa bibliográfica do tema, assim como, coleta e análise de dados da execução física, orçamentária e financeira da execução </w:t>
      </w:r>
      <w:r w:rsidR="00A94010">
        <w:rPr>
          <w:rFonts w:eastAsia="Arial" w:cs="Times New Roman"/>
          <w:spacing w:val="-2"/>
          <w:szCs w:val="24"/>
        </w:rPr>
        <w:t xml:space="preserve">de programas </w:t>
      </w:r>
      <w:r w:rsidR="00A94010" w:rsidRPr="00F34F3A">
        <w:rPr>
          <w:rFonts w:eastAsia="Arial" w:cs="Times New Roman"/>
          <w:spacing w:val="-2"/>
          <w:szCs w:val="24"/>
        </w:rPr>
        <w:t>de Planos Plurianuais (PPA)</w:t>
      </w:r>
      <w:r w:rsidR="00A94010">
        <w:rPr>
          <w:rFonts w:eastAsia="Arial" w:cs="Times New Roman"/>
          <w:spacing w:val="-2"/>
          <w:szCs w:val="24"/>
        </w:rPr>
        <w:t xml:space="preserve"> do Governo Federal no período de </w:t>
      </w:r>
      <w:r w:rsidR="007C1D10">
        <w:rPr>
          <w:rFonts w:eastAsia="Arial" w:cs="Times New Roman"/>
          <w:spacing w:val="-2"/>
          <w:szCs w:val="24"/>
        </w:rPr>
        <w:t>201</w:t>
      </w:r>
      <w:r w:rsidR="006C711B">
        <w:rPr>
          <w:rFonts w:eastAsia="Arial" w:cs="Times New Roman"/>
          <w:spacing w:val="-2"/>
          <w:szCs w:val="24"/>
        </w:rPr>
        <w:t>4</w:t>
      </w:r>
      <w:r w:rsidR="007C1D10">
        <w:rPr>
          <w:rFonts w:eastAsia="Arial" w:cs="Times New Roman"/>
          <w:spacing w:val="-2"/>
          <w:szCs w:val="24"/>
        </w:rPr>
        <w:t xml:space="preserve"> a 2019</w:t>
      </w:r>
      <w:r w:rsidR="006C711B">
        <w:rPr>
          <w:rFonts w:eastAsia="Arial" w:cs="Times New Roman"/>
          <w:spacing w:val="-2"/>
          <w:szCs w:val="24"/>
        </w:rPr>
        <w:t xml:space="preserve"> (BRASIL, 2011; 2015)</w:t>
      </w:r>
      <w:r w:rsidRPr="00F34F3A">
        <w:rPr>
          <w:rFonts w:eastAsia="Arial" w:cs="Times New Roman"/>
          <w:spacing w:val="-2"/>
          <w:szCs w:val="24"/>
        </w:rPr>
        <w:t>.</w:t>
      </w:r>
    </w:p>
    <w:p w14:paraId="58F81A89" w14:textId="127824D5" w:rsidR="00F34F3A" w:rsidRPr="00F34F3A" w:rsidRDefault="00EE758A" w:rsidP="00EE758A">
      <w:pPr>
        <w:ind w:firstLine="851"/>
        <w:rPr>
          <w:rFonts w:eastAsia="Arial" w:cs="Times New Roman"/>
          <w:spacing w:val="-2"/>
          <w:szCs w:val="24"/>
        </w:rPr>
      </w:pPr>
      <w:proofErr w:type="spellStart"/>
      <w:r w:rsidRPr="00EE758A">
        <w:rPr>
          <w:rFonts w:eastAsia="Arial" w:cs="Times New Roman"/>
          <w:i/>
          <w:spacing w:val="-2"/>
          <w:szCs w:val="24"/>
        </w:rPr>
        <w:t>Locus</w:t>
      </w:r>
      <w:proofErr w:type="spellEnd"/>
      <w:r>
        <w:rPr>
          <w:rFonts w:eastAsia="Arial" w:cs="Times New Roman"/>
          <w:spacing w:val="-2"/>
          <w:szCs w:val="24"/>
        </w:rPr>
        <w:t xml:space="preserve"> da presente análise, o</w:t>
      </w:r>
      <w:r w:rsidR="00F34F3A" w:rsidRPr="00F34F3A">
        <w:rPr>
          <w:rFonts w:eastAsia="Arial" w:cs="Times New Roman"/>
          <w:spacing w:val="-2"/>
          <w:szCs w:val="24"/>
        </w:rPr>
        <w:t xml:space="preserve"> Semiárido brasileiro está presente nos noves estados da região Nordeste e no norte de Minas Gerais, com 1.262 municípios, ocupando 12% do território nacional, sendo marcado pelas condições climáticas de escassez das chuvas, altas taxas de evapotranspiração e solos rasos, de forma que a seca é intrínseca à realidade do Semiárido. Apesar disso, há uma culpabilização do clima por ter déficits hídricos, econômicos e sociais, </w:t>
      </w:r>
      <w:r w:rsidR="00B87BB4">
        <w:rPr>
          <w:rFonts w:eastAsia="Arial" w:cs="Times New Roman"/>
          <w:spacing w:val="-2"/>
          <w:szCs w:val="24"/>
        </w:rPr>
        <w:t xml:space="preserve">de modo </w:t>
      </w:r>
      <w:r w:rsidR="00F34F3A" w:rsidRPr="00F34F3A">
        <w:rPr>
          <w:rFonts w:eastAsia="Arial" w:cs="Times New Roman"/>
          <w:spacing w:val="-2"/>
          <w:szCs w:val="24"/>
        </w:rPr>
        <w:t>que</w:t>
      </w:r>
      <w:r w:rsidR="00B87BB4">
        <w:rPr>
          <w:rFonts w:eastAsia="Arial" w:cs="Times New Roman"/>
          <w:spacing w:val="-2"/>
          <w:szCs w:val="24"/>
        </w:rPr>
        <w:t>,</w:t>
      </w:r>
      <w:r w:rsidR="00F34F3A" w:rsidRPr="00F34F3A">
        <w:rPr>
          <w:rFonts w:eastAsia="Arial" w:cs="Times New Roman"/>
          <w:spacing w:val="-2"/>
          <w:szCs w:val="24"/>
        </w:rPr>
        <w:t xml:space="preserve"> durante décadas</w:t>
      </w:r>
      <w:r w:rsidR="00B87BB4">
        <w:rPr>
          <w:rFonts w:eastAsia="Arial" w:cs="Times New Roman"/>
          <w:spacing w:val="-2"/>
          <w:szCs w:val="24"/>
        </w:rPr>
        <w:t>,</w:t>
      </w:r>
      <w:r w:rsidR="00F34F3A" w:rsidRPr="00F34F3A">
        <w:rPr>
          <w:rFonts w:eastAsia="Arial" w:cs="Times New Roman"/>
          <w:spacing w:val="-2"/>
          <w:szCs w:val="24"/>
        </w:rPr>
        <w:t xml:space="preserve"> fossem institucionalizadas políticas de combate à seca </w:t>
      </w:r>
      <w:r w:rsidR="00B87BB4">
        <w:rPr>
          <w:rFonts w:eastAsia="Arial" w:cs="Times New Roman"/>
          <w:spacing w:val="-2"/>
          <w:szCs w:val="24"/>
        </w:rPr>
        <w:t xml:space="preserve">e seus efeitos </w:t>
      </w:r>
      <w:r w:rsidR="00F34F3A" w:rsidRPr="00F34F3A">
        <w:rPr>
          <w:rFonts w:eastAsia="Arial" w:cs="Times New Roman"/>
          <w:spacing w:val="-2"/>
          <w:szCs w:val="24"/>
        </w:rPr>
        <w:t xml:space="preserve">e de modernização econômica da região, sendo apenas recentemente disseminada a ideia de convivência com </w:t>
      </w:r>
      <w:r w:rsidR="007C1D10">
        <w:rPr>
          <w:rFonts w:eastAsia="Arial" w:cs="Times New Roman"/>
          <w:spacing w:val="-2"/>
          <w:szCs w:val="24"/>
        </w:rPr>
        <w:t>o Semiárido</w:t>
      </w:r>
      <w:r w:rsidR="00F34F3A" w:rsidRPr="00F34F3A">
        <w:rPr>
          <w:rFonts w:eastAsia="Arial" w:cs="Times New Roman"/>
          <w:spacing w:val="-2"/>
          <w:szCs w:val="24"/>
        </w:rPr>
        <w:t xml:space="preserve">. Por isso, </w:t>
      </w:r>
      <w:r w:rsidR="008A33A1">
        <w:rPr>
          <w:rFonts w:eastAsia="Arial" w:cs="Times New Roman"/>
          <w:spacing w:val="-2"/>
          <w:szCs w:val="24"/>
        </w:rPr>
        <w:t>é preciso considerar que o espaç</w:t>
      </w:r>
      <w:r w:rsidR="00F34F3A" w:rsidRPr="00F34F3A">
        <w:rPr>
          <w:rFonts w:eastAsia="Arial" w:cs="Times New Roman"/>
          <w:spacing w:val="-2"/>
          <w:szCs w:val="24"/>
        </w:rPr>
        <w:t>o territorial do Semiárido brasileiro é uma construção histórica, cujas estruturas de violência contra os povos originários e seus modos de vida, de exploração e expropriação do trabalho e das condições de vida da população empobrecida e de máxima exploração predatória da natureza, repercutem diretamente nos atuais desafios socioeconômicos. </w:t>
      </w:r>
    </w:p>
    <w:p w14:paraId="411ED136" w14:textId="77777777" w:rsidR="00F34F3A" w:rsidRPr="00F34F3A" w:rsidRDefault="00F34F3A" w:rsidP="00EE758A">
      <w:pPr>
        <w:ind w:firstLine="851"/>
        <w:rPr>
          <w:rFonts w:eastAsia="Arial" w:cs="Times New Roman"/>
          <w:spacing w:val="-2"/>
          <w:szCs w:val="24"/>
        </w:rPr>
      </w:pPr>
      <w:r w:rsidRPr="00F34F3A">
        <w:rPr>
          <w:rFonts w:eastAsia="Arial" w:cs="Times New Roman"/>
          <w:spacing w:val="-2"/>
          <w:szCs w:val="24"/>
        </w:rPr>
        <w:t>É fundamental também pontuar a capacidade de resistência da agricultura familiar que tem um grande destaque na economia do Semiárido, sendo responsável por 75,3% das ocupações existentes na área rural. Entretanto, é o agronegócio que detém 58,7% da área territorial dos estabelecimentos agropecuários (</w:t>
      </w:r>
      <w:r w:rsidRPr="008A33A1">
        <w:rPr>
          <w:rFonts w:eastAsia="Arial" w:cs="Times New Roman"/>
          <w:spacing w:val="-2"/>
          <w:szCs w:val="24"/>
        </w:rPr>
        <w:t>SILVA</w:t>
      </w:r>
      <w:r w:rsidRPr="00F34F3A">
        <w:rPr>
          <w:rFonts w:eastAsia="Arial" w:cs="Times New Roman"/>
          <w:spacing w:val="-2"/>
          <w:szCs w:val="24"/>
        </w:rPr>
        <w:t xml:space="preserve"> et. al, 2020). Dessa forma, historicamente o latifúndio e o modelo empresarial da agropecuária é que tem tido maior apoio e financiamento do Estado brasileiro com suas políticas públicas.</w:t>
      </w:r>
    </w:p>
    <w:p w14:paraId="564CDD7B" w14:textId="73F04864" w:rsidR="00F34F3A" w:rsidRPr="00F34F3A" w:rsidRDefault="00F34F3A" w:rsidP="00EE758A">
      <w:pPr>
        <w:ind w:firstLine="851"/>
        <w:rPr>
          <w:rFonts w:eastAsia="Arial" w:cs="Times New Roman"/>
          <w:spacing w:val="-2"/>
          <w:szCs w:val="24"/>
        </w:rPr>
      </w:pPr>
      <w:r w:rsidRPr="00F34F3A">
        <w:rPr>
          <w:rFonts w:eastAsia="Arial" w:cs="Times New Roman"/>
          <w:spacing w:val="-2"/>
          <w:szCs w:val="24"/>
        </w:rPr>
        <w:lastRenderedPageBreak/>
        <w:t xml:space="preserve">Além disso, destaca-se o cenário atual da política fiscal brasileira que vem se distanciando cada vez mais da sua capacidade de financiar o desenvolvimento nacional, partindo do princípio de que a inflação e o déficit fiscal se originam dos elevados gastos governamentais. Para solucionar esse problema, uma série de medidas passou a ser adotada, dentre elas salienta-se o ajuste fiscal sob o engodo de que, para que haja o equilíbrio das contas públicas, é preciso conter uma série de despesas vistas como onerosas ao Estado, para assim prover credibilidade e confiança aos agentes econômicos. </w:t>
      </w:r>
      <w:r w:rsidR="00B87BB4">
        <w:rPr>
          <w:rFonts w:eastAsia="Arial" w:cs="Times New Roman"/>
          <w:spacing w:val="-2"/>
          <w:szCs w:val="24"/>
        </w:rPr>
        <w:t xml:space="preserve">Busca-se então dimensionar os cortes de investimentos públicos federais no Semiárido brasileiro, tendo por em alguns programas sociais e de infraestrutura selecionados, possibilitando analisar </w:t>
      </w:r>
      <w:r w:rsidR="00B84DD1">
        <w:rPr>
          <w:rFonts w:eastAsia="Arial" w:cs="Times New Roman"/>
          <w:spacing w:val="-2"/>
          <w:szCs w:val="24"/>
        </w:rPr>
        <w:t xml:space="preserve">a seguinte questão: </w:t>
      </w:r>
      <w:r w:rsidR="00B87BB4">
        <w:rPr>
          <w:rFonts w:eastAsia="Arial" w:cs="Times New Roman"/>
          <w:spacing w:val="-2"/>
          <w:szCs w:val="24"/>
        </w:rPr>
        <w:t>o trato do ajuste fiscal é similar ou há seletividade nos cortes de investimentos na região</w:t>
      </w:r>
      <w:r w:rsidR="00B84DD1">
        <w:rPr>
          <w:rFonts w:eastAsia="Arial" w:cs="Times New Roman"/>
          <w:spacing w:val="-2"/>
          <w:szCs w:val="24"/>
        </w:rPr>
        <w:t>?</w:t>
      </w:r>
      <w:r w:rsidRPr="00F34F3A">
        <w:rPr>
          <w:rFonts w:eastAsia="Arial" w:cs="Times New Roman"/>
          <w:spacing w:val="-2"/>
          <w:szCs w:val="24"/>
        </w:rPr>
        <w:t xml:space="preserve"> </w:t>
      </w:r>
    </w:p>
    <w:p w14:paraId="7F53DB6B" w14:textId="77777777" w:rsidR="00B87BB4" w:rsidRDefault="00B87BB4" w:rsidP="00016B2A">
      <w:pPr>
        <w:pStyle w:val="Ttulo1"/>
      </w:pPr>
    </w:p>
    <w:p w14:paraId="5DD9A1DB" w14:textId="77777777" w:rsidR="00BD2956" w:rsidRDefault="00FA1ACC" w:rsidP="00016B2A">
      <w:pPr>
        <w:pStyle w:val="Ttulo1"/>
      </w:pPr>
      <w:r>
        <w:t>2 REFERENCIAL TEÓRICO</w:t>
      </w:r>
    </w:p>
    <w:p w14:paraId="6F885B27" w14:textId="77777777" w:rsidR="00EE758A" w:rsidRDefault="00EE758A" w:rsidP="00EE758A">
      <w:pPr>
        <w:pStyle w:val="Ttulo2"/>
        <w:spacing w:before="0" w:after="0"/>
        <w:rPr>
          <w:b/>
        </w:rPr>
      </w:pPr>
    </w:p>
    <w:p w14:paraId="0123372A" w14:textId="77777777" w:rsidR="002E6AB4" w:rsidRPr="002E6AB4" w:rsidRDefault="002E6AB4" w:rsidP="00016B2A">
      <w:pPr>
        <w:pStyle w:val="Ttulo2"/>
        <w:rPr>
          <w:caps/>
        </w:rPr>
      </w:pPr>
      <w:r>
        <w:t xml:space="preserve">2.1 Políticas públicas </w:t>
      </w:r>
      <w:r w:rsidRPr="00016B2A">
        <w:t>no</w:t>
      </w:r>
      <w:r>
        <w:t xml:space="preserve"> Semi</w:t>
      </w:r>
      <w:r w:rsidR="00FA1ACC">
        <w:t>árido brasileiro</w:t>
      </w:r>
    </w:p>
    <w:p w14:paraId="3F07E940" w14:textId="23927B22" w:rsidR="00CE0DC6" w:rsidRDefault="00CE0DC6" w:rsidP="00EE758A">
      <w:r>
        <w:tab/>
      </w:r>
      <w:r w:rsidR="00EE758A">
        <w:tab/>
      </w:r>
      <w:r w:rsidR="003B7BB4">
        <w:t>O</w:t>
      </w:r>
      <w:r w:rsidR="003B7BB4" w:rsidRPr="00EC4CA8">
        <w:t xml:space="preserve"> combate à seca foi caracterizado pela visão de colonizador que necessitava ter total proveito dos recursos naturais e, assim, enxergava a seca como um obstáculo a ser combatido (Silva, 2003).</w:t>
      </w:r>
      <w:r w:rsidR="003B7BB4">
        <w:t xml:space="preserve"> </w:t>
      </w:r>
      <w:r w:rsidR="00B87BB4">
        <w:t>Desde o final do século XIX que as oligarquias sertanejas (</w:t>
      </w:r>
      <w:r w:rsidR="00EC4CA8" w:rsidRPr="00EC4CA8">
        <w:t>coronéis e</w:t>
      </w:r>
      <w:r w:rsidR="00B87BB4">
        <w:t xml:space="preserve"> </w:t>
      </w:r>
      <w:r w:rsidR="00016B2A">
        <w:t xml:space="preserve">grandes </w:t>
      </w:r>
      <w:r w:rsidR="00016B2A" w:rsidRPr="00EC4CA8">
        <w:t>fazendeiros</w:t>
      </w:r>
      <w:r w:rsidR="00B87BB4">
        <w:t>)</w:t>
      </w:r>
      <w:r w:rsidR="00EC4CA8" w:rsidRPr="00EC4CA8">
        <w:t xml:space="preserve"> enxergaram na seca uma oportunidade de ampliar </w:t>
      </w:r>
      <w:r w:rsidR="00B87BB4">
        <w:t xml:space="preserve">suas riquezas </w:t>
      </w:r>
      <w:r w:rsidR="00EC4CA8" w:rsidRPr="00EC4CA8">
        <w:t xml:space="preserve">e seus domínios </w:t>
      </w:r>
      <w:r w:rsidR="00B87BB4">
        <w:t xml:space="preserve">políticos </w:t>
      </w:r>
      <w:r w:rsidR="00EC4CA8" w:rsidRPr="00EC4CA8">
        <w:t>na região, ao controlar os investimentos públicos emergenciais e de criação de estrutura hídrica para acesso à água para a pecuária e para a irrigação agrícola, além do abastecimento da população que estava a serviço dos latifúndios, criando a chamada “indústria da seca”.</w:t>
      </w:r>
      <w:r w:rsidR="003B7BB4">
        <w:t xml:space="preserve"> </w:t>
      </w:r>
      <w:r w:rsidR="003B7BB4">
        <w:tab/>
      </w:r>
      <w:r>
        <w:t xml:space="preserve"> </w:t>
      </w:r>
      <w:r w:rsidR="00EC4CA8" w:rsidRPr="00EC4CA8">
        <w:t xml:space="preserve">Com isso, </w:t>
      </w:r>
      <w:r w:rsidR="003B7BB4">
        <w:t>a</w:t>
      </w:r>
      <w:r w:rsidR="00EC4CA8" w:rsidRPr="00EC4CA8">
        <w:t xml:space="preserve">s políticas de combate à seca </w:t>
      </w:r>
      <w:r w:rsidR="003B7BB4" w:rsidRPr="00EC4CA8">
        <w:t>t</w:t>
      </w:r>
      <w:r w:rsidR="003B7BB4">
        <w:t xml:space="preserve">inham </w:t>
      </w:r>
      <w:r w:rsidR="003B7BB4" w:rsidRPr="00EC4CA8">
        <w:t>como principal objetivo o armazenamento de água com a construção de açudes públicos e privados</w:t>
      </w:r>
      <w:r w:rsidR="003B7BB4">
        <w:t>,</w:t>
      </w:r>
      <w:r w:rsidR="003B7BB4" w:rsidRPr="00EC4CA8" w:rsidDel="003B7BB4">
        <w:t xml:space="preserve"> </w:t>
      </w:r>
      <w:r w:rsidR="00EC4CA8" w:rsidRPr="00EC4CA8">
        <w:t>desconsidera</w:t>
      </w:r>
      <w:r w:rsidR="003B7BB4">
        <w:t>ndo</w:t>
      </w:r>
      <w:r w:rsidR="00EC4CA8" w:rsidRPr="00EC4CA8">
        <w:t xml:space="preserve"> os aspectos </w:t>
      </w:r>
      <w:r w:rsidR="003B7BB4">
        <w:t xml:space="preserve">estruturais, </w:t>
      </w:r>
      <w:r w:rsidR="00EC4CA8" w:rsidRPr="00EC4CA8">
        <w:t>sociais e econômicos da região</w:t>
      </w:r>
      <w:r w:rsidR="003B7BB4">
        <w:t xml:space="preserve"> relacionado à produção e reprodução das condições de pobreza,</w:t>
      </w:r>
      <w:r w:rsidR="00EC4CA8" w:rsidRPr="00EC4CA8">
        <w:t xml:space="preserve"> </w:t>
      </w:r>
      <w:r w:rsidR="003B7BB4">
        <w:t>sendo</w:t>
      </w:r>
      <w:r w:rsidR="00EC4CA8" w:rsidRPr="00EC4CA8">
        <w:t xml:space="preserve"> </w:t>
      </w:r>
      <w:r w:rsidR="003B7BB4">
        <w:t xml:space="preserve">as ações emergenciais e descontínuas, </w:t>
      </w:r>
      <w:r w:rsidR="00EC4CA8" w:rsidRPr="00EC4CA8">
        <w:t xml:space="preserve">executadas, sobretudo, nos períodos de longa estiagem, quando a população se encontrava em estado de calamidade. </w:t>
      </w:r>
    </w:p>
    <w:p w14:paraId="2D8C0F6C" w14:textId="390C5D87" w:rsidR="00EC4CA8" w:rsidRPr="00CE0DC6" w:rsidRDefault="00CE0DC6" w:rsidP="00EE758A">
      <w:r>
        <w:tab/>
      </w:r>
      <w:r w:rsidR="00EC4CA8" w:rsidRPr="00EC4CA8">
        <w:t xml:space="preserve">No entanto, tais projetos que predominaram por um século, não foram eficazes, inclusive dos pequenos e médios açudes que eram restritos e inoportunos ao clima com elevada taxa de evapotranspiração, atendendo um pequeno número de </w:t>
      </w:r>
      <w:r w:rsidR="00EC4CA8" w:rsidRPr="00EC4CA8">
        <w:lastRenderedPageBreak/>
        <w:t>famílias, além de serem utilizados como forma de controle da população, enquanto o sistema de irrigação era controlado pelos grandes proprietários da região (Silva, 2012). Além disso, fortalecia</w:t>
      </w:r>
      <w:r w:rsidR="003B7BB4">
        <w:t>m</w:t>
      </w:r>
      <w:r w:rsidR="00EC4CA8" w:rsidRPr="00EC4CA8">
        <w:t xml:space="preserve"> os privilégios das oligarquias agrárias e reforçava o ciclo vicioso das políticas de emergência.</w:t>
      </w:r>
      <w:r w:rsidR="00EC4CA8" w:rsidRPr="00CE0DC6">
        <w:t xml:space="preserve"> </w:t>
      </w:r>
    </w:p>
    <w:p w14:paraId="71387900" w14:textId="46CE4962" w:rsidR="00EC4CA8" w:rsidRPr="00CE0DC6" w:rsidRDefault="00CE0DC6" w:rsidP="00EE758A">
      <w:r>
        <w:tab/>
      </w:r>
      <w:r w:rsidR="00EC4CA8" w:rsidRPr="00EC4CA8">
        <w:t xml:space="preserve">Associado às políticas de combate à seca, em meados do Século XX, surgiram políticas estruturantes de modernização econômica do Semiárido, onde </w:t>
      </w:r>
      <w:r w:rsidR="003B7BB4">
        <w:t xml:space="preserve">são </w:t>
      </w:r>
      <w:r w:rsidR="00EC4CA8" w:rsidRPr="00EC4CA8">
        <w:t>introduz</w:t>
      </w:r>
      <w:r w:rsidR="003B7BB4">
        <w:t xml:space="preserve">idos </w:t>
      </w:r>
      <w:r w:rsidR="00EC4CA8" w:rsidRPr="00EC4CA8">
        <w:t xml:space="preserve">investimentos voltados </w:t>
      </w:r>
      <w:r w:rsidR="00016B2A">
        <w:t xml:space="preserve">ao </w:t>
      </w:r>
      <w:r w:rsidR="00016B2A" w:rsidRPr="00EC4CA8">
        <w:t>agronegócio</w:t>
      </w:r>
      <w:r w:rsidR="003B7BB4">
        <w:t>, sobretudo com a agricultura irrigada visando a exportação</w:t>
      </w:r>
      <w:r w:rsidR="00EC4CA8" w:rsidRPr="00EC4CA8">
        <w:t xml:space="preserve">. Apesar de ter como objetivo a melhoria da economia </w:t>
      </w:r>
      <w:r w:rsidR="003B7BB4">
        <w:t>sertaneja</w:t>
      </w:r>
      <w:r w:rsidR="00EC4CA8" w:rsidRPr="00EC4CA8">
        <w:t xml:space="preserve">, inserindo produtos de valor no mercado nacional e internacional, a modernização apresentou viés conservador, pois </w:t>
      </w:r>
      <w:r w:rsidR="003B7BB4">
        <w:t xml:space="preserve">reproduzia e agravava os problemas estruturais de concentração </w:t>
      </w:r>
      <w:r w:rsidR="00016B2A">
        <w:t>das riquezas</w:t>
      </w:r>
      <w:r w:rsidR="003B7BB4">
        <w:t xml:space="preserve"> e do poder em favor d</w:t>
      </w:r>
      <w:r w:rsidR="00EC4CA8" w:rsidRPr="00EC4CA8">
        <w:t xml:space="preserve">a classe dominante </w:t>
      </w:r>
      <w:r w:rsidR="003B7BB4">
        <w:t>n</w:t>
      </w:r>
      <w:r w:rsidR="00EC4CA8" w:rsidRPr="00EC4CA8">
        <w:t>a região, com aumento da concentração de terra e o enfraquecimento da agricultura familiar. Dessa forma, observou-se que a modernização não impediu que a população do Semiárido sofresse com as secas prolongadas.</w:t>
      </w:r>
      <w:r w:rsidR="00EC4CA8" w:rsidRPr="00CE0DC6">
        <w:t xml:space="preserve"> </w:t>
      </w:r>
    </w:p>
    <w:p w14:paraId="1E86DBE1" w14:textId="256F96A1" w:rsidR="00EC4CA8" w:rsidRPr="00CE0DC6" w:rsidRDefault="00CE0DC6" w:rsidP="00EE758A">
      <w:r>
        <w:tab/>
      </w:r>
      <w:r w:rsidR="00EC4CA8" w:rsidRPr="00EC4CA8">
        <w:t xml:space="preserve">Com a falta de eficiência das ações anteriores, a partir dos anos 1980, </w:t>
      </w:r>
      <w:r w:rsidR="003B7BB4">
        <w:t xml:space="preserve">no contexto da redemocratização nacional, as organizações da sociedade civil aprofundam suas denúncias da situação e formulam </w:t>
      </w:r>
      <w:r w:rsidR="00EC4CA8" w:rsidRPr="00EC4CA8">
        <w:t>nova</w:t>
      </w:r>
      <w:r w:rsidR="003B7BB4">
        <w:t>s</w:t>
      </w:r>
      <w:r w:rsidR="00EC4CA8" w:rsidRPr="00EC4CA8">
        <w:t xml:space="preserve"> proposta</w:t>
      </w:r>
      <w:r w:rsidR="003B7BB4">
        <w:t>s</w:t>
      </w:r>
      <w:r w:rsidR="00EC4CA8" w:rsidRPr="00EC4CA8">
        <w:t xml:space="preserve"> </w:t>
      </w:r>
      <w:r w:rsidR="003B7BB4">
        <w:t>para</w:t>
      </w:r>
      <w:r w:rsidR="00EC4CA8" w:rsidRPr="00EC4CA8">
        <w:t xml:space="preserve"> amenizar as desigualdades sociais, </w:t>
      </w:r>
      <w:r w:rsidR="003B7BB4">
        <w:t>promovendo a</w:t>
      </w:r>
      <w:r w:rsidR="00EC4CA8" w:rsidRPr="00EC4CA8">
        <w:t xml:space="preserve"> sustentabilidade</w:t>
      </w:r>
      <w:r w:rsidR="003B7BB4">
        <w:t xml:space="preserve"> ambiental</w:t>
      </w:r>
      <w:r w:rsidR="00EC4CA8" w:rsidRPr="00EC4CA8">
        <w:t xml:space="preserve">, </w:t>
      </w:r>
      <w:r w:rsidR="003B7BB4">
        <w:t>compreendendo</w:t>
      </w:r>
      <w:r w:rsidR="00EC4CA8" w:rsidRPr="00EC4CA8">
        <w:t xml:space="preserve"> a seca como fenômeno natural da</w:t>
      </w:r>
      <w:r w:rsidR="000E6012">
        <w:t>s</w:t>
      </w:r>
      <w:r w:rsidR="00EC4CA8" w:rsidRPr="00EC4CA8">
        <w:t xml:space="preserve"> regi</w:t>
      </w:r>
      <w:r w:rsidR="000E6012">
        <w:t>ões semiáridas</w:t>
      </w:r>
      <w:r w:rsidR="00EC4CA8" w:rsidRPr="00EC4CA8">
        <w:t xml:space="preserve">, em relação à qual seria necessário aprender a conviver, e não a combater. </w:t>
      </w:r>
      <w:r w:rsidR="000E6012">
        <w:t>C</w:t>
      </w:r>
      <w:r w:rsidR="00EC4CA8" w:rsidRPr="00EC4CA8">
        <w:t>omo defende Silva (2012, p.188)</w:t>
      </w:r>
      <w:r w:rsidR="000E6012">
        <w:t xml:space="preserve"> a</w:t>
      </w:r>
      <w:r w:rsidR="00EC4CA8" w:rsidRPr="00EC4CA8">
        <w:t xml:space="preserve"> “convivência expressa uma mudança na percepção da complexidade territorial e possibilita construir ou resgatar relações de convivência entre seres humanos e natureza". Com isso, é incentivada um conjunto de tecnologias sociais hídricas e produtivas apropriadas ao ambiente e orientadas para melhoria das condições de vida da população sertaneja. </w:t>
      </w:r>
    </w:p>
    <w:p w14:paraId="36AE095A" w14:textId="59F1F729" w:rsidR="00EC4CA8" w:rsidRPr="00CE0DC6" w:rsidRDefault="00CE0DC6" w:rsidP="00EE758A">
      <w:r>
        <w:tab/>
      </w:r>
      <w:r w:rsidR="00EC4CA8" w:rsidRPr="00EC4CA8">
        <w:t xml:space="preserve">Nessa perspectiva, a Articulação Semiárido Brasileiro (ASA), criada em 1999 para agregar os sujeitos políticos que defendem esse projeto político na região, </w:t>
      </w:r>
      <w:r w:rsidR="000E6012">
        <w:t xml:space="preserve">formulou </w:t>
      </w:r>
      <w:r w:rsidR="00EC4CA8" w:rsidRPr="00EC4CA8">
        <w:t xml:space="preserve">o Programa de Formação e Mobilização Social para a Convivência com o Semiárido: Um Milhão de Cisternas Rurais – P1MC e do Programa Uma Terra e Duas Águas - P1+2, sendo fundamental para aumentar a resistência sertaneja uma vez que possibilita a estocagem de água da chuva das famílias do semiárido, comunidades rurais e populações tradicionais para o consumo humano, atividades agrícolas e </w:t>
      </w:r>
      <w:r w:rsidR="00EC4CA8" w:rsidRPr="00EC4CA8">
        <w:lastRenderedPageBreak/>
        <w:t>dessedentação de pequenas criações de animais.</w:t>
      </w:r>
      <w:r>
        <w:t xml:space="preserve"> Logo, a</w:t>
      </w:r>
      <w:r w:rsidR="00EC4CA8" w:rsidRPr="00EC4CA8">
        <w:t xml:space="preserve"> concepção de convivência com o Semiárido busca impulsionar a sustentabilidade no desenvolvimento regional, uma vez que considera as características socioambientais e a participação popular para promover transforma</w:t>
      </w:r>
      <w:r w:rsidR="00EE758A">
        <w:t xml:space="preserve">r </w:t>
      </w:r>
      <w:r w:rsidR="00EC4CA8" w:rsidRPr="00EC4CA8">
        <w:t xml:space="preserve">as condições de vida das famílias sertanejas. </w:t>
      </w:r>
    </w:p>
    <w:p w14:paraId="4DA98787" w14:textId="7967E846" w:rsidR="00CE0DC6" w:rsidRDefault="00CE0DC6" w:rsidP="00EE758A">
      <w:r>
        <w:tab/>
      </w:r>
      <w:r w:rsidR="00EC4CA8" w:rsidRPr="00EC4CA8">
        <w:t xml:space="preserve">Além das iniciativas da sociedade civil, foram conquistadas mudanças no tratamento da questão regional com implicações no Semiárido. Dentre essas inovações, destaca-se o Fundo Constitucional de Desenvolvimento do Nordeste (FNE), criado pela Constituição Federal de 1988 com o objetivo de contribuir para o desenvolvimento econômico e social </w:t>
      </w:r>
      <w:r w:rsidR="000E6012">
        <w:t>na região</w:t>
      </w:r>
      <w:r w:rsidR="00EC4CA8" w:rsidRPr="00EC4CA8">
        <w:t xml:space="preserve">. A novidade constitucional, é que o FNE deve destinar metade dos seus recursos para financiar atividades econômicas presentes no Semiárido. Porém, durante vários anos, destaca-se o descumprimento dessa aplicação mínima, conforme analisam Aquino e Silva (2022). </w:t>
      </w:r>
    </w:p>
    <w:p w14:paraId="7BC12AF8" w14:textId="2101EE7E" w:rsidR="00CE0DC6" w:rsidRDefault="00CE0DC6" w:rsidP="00EE758A">
      <w:r>
        <w:tab/>
      </w:r>
      <w:r w:rsidR="00EC4CA8" w:rsidRPr="00EC4CA8">
        <w:t>É possível encontrar a justificativa nos relatórios anuais de gestão do banco que indicam as características socioambientais da região como fatores “por demais” limitantes no incremento de financiamento do FNE (BNB, 2011, p. 160 apud Aquino e Silva, 2022). Porém, desde 2018 houve um aumento dos investimentos no Semiárido que não se deve a uma súbita mudança das condições ambientais da região, mas ao seu alto potencial para gerar energia renovável através do sol e do vento. Ou seja, recentemente observou-se o potencial da região semiárida para um investimento de muito mais interesse do capital, sem pensar nos impactos que podem causar ao meio ambiente, mas que variam entre mudança nas paisagens dos locais em que são instalados, além de influenciarem o fluxo migratório de aves da região e o desenvolvimento da vegetação local. Dessa forma, os recursos do FNE que poderiam ser investidos em políticas voltadas para o fortalecimento da agricultura de base familiar, enquanto parte constituinte do fundo público</w:t>
      </w:r>
      <w:r w:rsidR="00EE758A">
        <w:t>,</w:t>
      </w:r>
      <w:r w:rsidR="00EC4CA8" w:rsidRPr="00EC4CA8">
        <w:t xml:space="preserve"> </w:t>
      </w:r>
      <w:r w:rsidR="000E6012">
        <w:t>vem sendo cada vez mais direcionado à expansão do grande capital na região</w:t>
      </w:r>
      <w:r w:rsidR="00EC4CA8" w:rsidRPr="00EC4CA8">
        <w:t>.</w:t>
      </w:r>
      <w:r>
        <w:t xml:space="preserve"> </w:t>
      </w:r>
    </w:p>
    <w:p w14:paraId="3C9A5FA2" w14:textId="6E187444" w:rsidR="00CE0DC6" w:rsidRPr="00016B2A" w:rsidRDefault="002E6AB4" w:rsidP="00016B2A">
      <w:pPr>
        <w:pStyle w:val="Ttulo2"/>
      </w:pPr>
      <w:r w:rsidRPr="00016B2A">
        <w:t xml:space="preserve">2.2 </w:t>
      </w:r>
      <w:r w:rsidR="00F737EF" w:rsidRPr="00016B2A">
        <w:t xml:space="preserve">A ofensiva neoliberal a partir do ajuste fiscal </w:t>
      </w:r>
    </w:p>
    <w:p w14:paraId="0953A74A" w14:textId="3D1C7676" w:rsidR="00CE0DC6" w:rsidRPr="00CE0DC6" w:rsidRDefault="00CE0DC6" w:rsidP="00EE758A">
      <w:r>
        <w:tab/>
      </w:r>
      <w:r w:rsidR="002E6AB4">
        <w:t>A</w:t>
      </w:r>
      <w:r w:rsidRPr="00CE0DC6">
        <w:t xml:space="preserve"> situação de disputa pelo fundo público torna-se ainda mais acirrada em contextos de ajuste fiscal. Importa destacar que todo montante arrecadado pelo Estado por meio de impostos, contribuições</w:t>
      </w:r>
      <w:r w:rsidR="000E6012">
        <w:t xml:space="preserve"> e</w:t>
      </w:r>
      <w:r w:rsidRPr="00CE0DC6">
        <w:t xml:space="preserve"> taxas, para </w:t>
      </w:r>
      <w:r w:rsidR="000E6012">
        <w:t xml:space="preserve">compor </w:t>
      </w:r>
      <w:r w:rsidRPr="00CE0DC6">
        <w:t xml:space="preserve">o fundo público e ser investido em políticas </w:t>
      </w:r>
      <w:r w:rsidR="000E6012">
        <w:t>públicas</w:t>
      </w:r>
      <w:r w:rsidRPr="00CE0DC6">
        <w:t xml:space="preserve">. </w:t>
      </w:r>
      <w:r w:rsidR="000E6012">
        <w:t xml:space="preserve">Porém, conforme </w:t>
      </w:r>
      <w:r w:rsidRPr="00CE0DC6">
        <w:t>Athayde (2014, p. 639) destaca</w:t>
      </w:r>
      <w:r w:rsidR="000E6012">
        <w:t>,</w:t>
      </w:r>
      <w:r w:rsidRPr="00CE0DC6">
        <w:t xml:space="preserve"> </w:t>
      </w:r>
      <w:r w:rsidRPr="00CE0DC6">
        <w:lastRenderedPageBreak/>
        <w:t xml:space="preserve">“as disputas hodiernas que envolvem a repartição do fundo público sintetizam – no espectro político e social – a luta de classe contemporânea”, </w:t>
      </w:r>
      <w:r w:rsidR="000E6012">
        <w:t xml:space="preserve">ou seja, </w:t>
      </w:r>
      <w:r w:rsidRPr="00CE0DC6">
        <w:t xml:space="preserve">essa </w:t>
      </w:r>
      <w:r w:rsidR="000E6012">
        <w:t xml:space="preserve">a disputa pelos recursos públicos </w:t>
      </w:r>
      <w:r w:rsidRPr="00CE0DC6">
        <w:t>desnuda a correlação de forças presente na sociedade e o direcionamento político do Estado.</w:t>
      </w:r>
    </w:p>
    <w:p w14:paraId="694588C3" w14:textId="59E94BC5" w:rsidR="00CE0DC6" w:rsidRPr="00CE0DC6" w:rsidRDefault="00CE0DC6" w:rsidP="00EE758A">
      <w:r w:rsidRPr="00CE0DC6">
        <w:tab/>
        <w:t>Além disso, Salvador (2010) destaca uma característica comum presente no sistema capitalista: o uso d</w:t>
      </w:r>
      <w:r w:rsidR="000E6012">
        <w:t>e volumes crescentes d</w:t>
      </w:r>
      <w:r w:rsidRPr="00CE0DC6">
        <w:t xml:space="preserve">o orçamento público </w:t>
      </w:r>
      <w:r w:rsidR="000E6012">
        <w:t xml:space="preserve">em favor do capital, sobretudo do capital financeiro, </w:t>
      </w:r>
      <w:r w:rsidRPr="00CE0DC6">
        <w:t xml:space="preserve">em momentos de crise. Esses tempos de estagnação são usuais ao sistema, porém </w:t>
      </w:r>
      <w:proofErr w:type="spellStart"/>
      <w:r w:rsidRPr="00CE0DC6">
        <w:t>Mészáros</w:t>
      </w:r>
      <w:proofErr w:type="spellEnd"/>
      <w:r w:rsidRPr="00CE0DC6">
        <w:t xml:space="preserve"> (2002) caracteriza a crise em andamento</w:t>
      </w:r>
      <w:r w:rsidR="00A94010">
        <w:t xml:space="preserve"> desde a década de </w:t>
      </w:r>
      <w:r w:rsidR="00016B2A">
        <w:t xml:space="preserve">1970, </w:t>
      </w:r>
      <w:r w:rsidR="00016B2A" w:rsidRPr="00CE0DC6">
        <w:t>como</w:t>
      </w:r>
      <w:r w:rsidRPr="00CE0DC6">
        <w:t xml:space="preserve"> diferente das demais cíclicas vivenciadas ao longo da história do sistema capitalista, tendo em vista sua </w:t>
      </w:r>
      <w:proofErr w:type="spellStart"/>
      <w:r w:rsidRPr="00CE0DC6">
        <w:t>processualidade</w:t>
      </w:r>
      <w:proofErr w:type="spellEnd"/>
      <w:r w:rsidRPr="00CE0DC6">
        <w:t xml:space="preserve"> incontrolável, profundamente destrutiva e estrutural. Apesar de estrutural, não significa que o sistema esteja chegando ao colapso, visto que crises de intenção e duração variadas fazem parte do próprio modo natural de existência do capital, são formas de progredir além de suas barreiras imediatas e continuar estendendo seu dinamismo cruel e de dominação.</w:t>
      </w:r>
      <w:r w:rsidR="00A94010">
        <w:t xml:space="preserve"> O fundamental aqui é que as medidas de restauração do capital implicam em apropriação de parcelas crescentes do fundo publico.</w:t>
      </w:r>
    </w:p>
    <w:p w14:paraId="2B9C9A9A" w14:textId="041CF3FE" w:rsidR="007D3554" w:rsidRDefault="00CE0DC6" w:rsidP="00EE758A">
      <w:r w:rsidRPr="00CE0DC6">
        <w:tab/>
        <w:t>Sendo assim, com o objetivo de atender às novas necessidades do capital em crise, as</w:t>
      </w:r>
      <w:r w:rsidR="00A94010">
        <w:t xml:space="preserve"> políticas</w:t>
      </w:r>
      <w:r w:rsidRPr="00CE0DC6">
        <w:t xml:space="preserve"> neoliberais </w:t>
      </w:r>
      <w:r w:rsidR="00A94010">
        <w:t>tornaram-se hegemônicas</w:t>
      </w:r>
      <w:r w:rsidRPr="00CE0DC6">
        <w:t>. Anderson (1995, p.11) afirma que “o remédio, então, era claro: manter um Estado forte, sim, em sua capacidade de romper o poder dos sindicatos e no controle do dinheiro, mas parco em todos os gastos sociais e nas intervenções econômicas”. A crise fiscal do Estado tem por consequência direta a piora das condições de vida da população empobrecida que vem sofrendo com a baixa qualidade dos serviços prestados resultantes dos cortes nas áreas sociais. O agravamento da pobreza e da fome, enquanto cresce a riqueza de poucos capitalistas, evidencia o modo de funcionamento do capitalismo no qual “ocorre a negação completa das necessidades elementares de incontáveis milhões de famintos: o lado esquecido e que sofre as consequências dos trilhões desperdiçados” (MÉSZÁROS, 2002, p. 801).</w:t>
      </w:r>
      <w:r w:rsidR="007D3554">
        <w:t xml:space="preserve"> </w:t>
      </w:r>
    </w:p>
    <w:p w14:paraId="31E3BFCB" w14:textId="7ECC8F3C" w:rsidR="007D3554" w:rsidRPr="007D3554" w:rsidRDefault="007D3554" w:rsidP="00EE758A">
      <w:r>
        <w:tab/>
      </w:r>
      <w:r w:rsidRPr="007D3554">
        <w:t xml:space="preserve">O ajuste fiscal destaca-se como uma das medidas adotadas pelos governos neoliberais sob o pretexto de equilibrar as contas públicas a partir de mecanismos de desvinculação, ou seja, os recursos do fundo público que seriam destinados para </w:t>
      </w:r>
      <w:r w:rsidRPr="007D3554">
        <w:lastRenderedPageBreak/>
        <w:t>investir no fortalecimento das políticas sociais e serviços públicos são capturados para a realização do superávit primário</w:t>
      </w:r>
      <w:r w:rsidR="004D67E0">
        <w:rPr>
          <w:rStyle w:val="Refdenotaderodap"/>
        </w:rPr>
        <w:footnoteReference w:id="4"/>
      </w:r>
      <w:r w:rsidRPr="007D3554">
        <w:t xml:space="preserve"> e para o pagamento de juros e encargos da dívida pública. As justificativas ideológicas do ajuste fiscal enfatizam seus aspectos positivos, uma vez que, segundo Rossi, </w:t>
      </w:r>
      <w:proofErr w:type="spellStart"/>
      <w:r w:rsidRPr="007D3554">
        <w:t>Dweek</w:t>
      </w:r>
      <w:proofErr w:type="spellEnd"/>
      <w:r w:rsidRPr="007D3554">
        <w:t xml:space="preserve"> e Oliveira (2018), o </w:t>
      </w:r>
      <w:r w:rsidR="00A94010">
        <w:t xml:space="preserve">falso discurso enfatiza que o </w:t>
      </w:r>
      <w:r w:rsidRPr="007D3554">
        <w:t>Estado passa</w:t>
      </w:r>
      <w:r w:rsidR="00A94010">
        <w:t>ria</w:t>
      </w:r>
      <w:r w:rsidRPr="007D3554">
        <w:t xml:space="preserve"> a mostrar “responsabilidade” com relação a suas contas públicas e, ao ganhar a confiança dos agentes econômicos, p</w:t>
      </w:r>
      <w:r w:rsidR="00A94010">
        <w:t>oderia</w:t>
      </w:r>
      <w:r w:rsidRPr="007D3554">
        <w:t xml:space="preserve"> receber maiores investimentos do capital externo. Dessa forma, a economia “voltaria ao equilíbrio”, a dívida pública diminuiria e o país voltaria a crescer. </w:t>
      </w:r>
    </w:p>
    <w:p w14:paraId="09418AEB" w14:textId="5357BEAA" w:rsidR="007D3554" w:rsidRPr="007D3554" w:rsidRDefault="007D3554" w:rsidP="00EE758A">
      <w:r>
        <w:tab/>
      </w:r>
      <w:r w:rsidRPr="007D3554">
        <w:t>Entretanto, esse contexto com restrições dos investimentos nas políticas públicas sociais e estruturais na região, sobretudo, a partir de 2016, com a crise política que fragilizou as instituições democráticas no país, prejudicou ainda mais o desempenho da economia e resultou em uma agenda ainda mais restritiva de acesso a direitos sociais</w:t>
      </w:r>
      <w:r w:rsidR="00A94010">
        <w:t xml:space="preserve"> </w:t>
      </w:r>
      <w:r w:rsidR="00A94010" w:rsidRPr="007D3554">
        <w:t>(SALVADOR, 2017)</w:t>
      </w:r>
      <w:r w:rsidRPr="007D3554">
        <w:t>. As restrições impostas pelo ajuste fiscal estrutural</w:t>
      </w:r>
      <w:r w:rsidR="00A94010">
        <w:t xml:space="preserve"> nos últimos anos, sobretudo com</w:t>
      </w:r>
      <w:r w:rsidRPr="007D3554">
        <w:t xml:space="preserve"> a Emenda Constitucional 95/2016 (B</w:t>
      </w:r>
      <w:r w:rsidR="009527FF">
        <w:t>RASIL</w:t>
      </w:r>
      <w:r w:rsidRPr="007D3554">
        <w:t>, 2016)</w:t>
      </w:r>
      <w:r w:rsidR="00A94010">
        <w:t>,</w:t>
      </w:r>
      <w:r w:rsidRPr="007D3554">
        <w:t xml:space="preserve"> implicam no desmonte de políticas públicas que t</w:t>
      </w:r>
      <w:r w:rsidR="00A94010">
        <w:t>ê</w:t>
      </w:r>
      <w:r w:rsidRPr="007D3554">
        <w:t>m sido estratégicas para a população sertaneja</w:t>
      </w:r>
      <w:r w:rsidR="00A94010">
        <w:t>, com o</w:t>
      </w:r>
      <w:r w:rsidRPr="007D3554">
        <w:t xml:space="preserve"> </w:t>
      </w:r>
      <w:r w:rsidR="00A94010">
        <w:t xml:space="preserve">desmonte </w:t>
      </w:r>
      <w:r w:rsidRPr="007D3554">
        <w:t>de políticas de fortalecimento da agricultura familiar no Semiárido.</w:t>
      </w:r>
    </w:p>
    <w:p w14:paraId="62271570" w14:textId="77777777" w:rsidR="00EE758A" w:rsidRDefault="00EE758A" w:rsidP="00016B2A">
      <w:pPr>
        <w:pStyle w:val="Ttulo1"/>
      </w:pPr>
    </w:p>
    <w:p w14:paraId="327B0761" w14:textId="70A102C4" w:rsidR="00BD2956" w:rsidRDefault="001277F9" w:rsidP="00016B2A">
      <w:pPr>
        <w:pStyle w:val="Ttulo1"/>
        <w:rPr>
          <w:rFonts w:eastAsia="Arial"/>
        </w:rPr>
      </w:pPr>
      <w:r>
        <w:t xml:space="preserve">3 PROCEDIMENTOS METODOLÓGICOS </w:t>
      </w:r>
    </w:p>
    <w:p w14:paraId="106E5656" w14:textId="77777777" w:rsidR="00EE758A" w:rsidRDefault="00EE758A" w:rsidP="00EE758A">
      <w:pPr>
        <w:ind w:firstLine="851"/>
      </w:pPr>
    </w:p>
    <w:p w14:paraId="2D74BB28" w14:textId="6D189D56" w:rsidR="003A6A3F" w:rsidRPr="003A6A3F" w:rsidRDefault="003F7C83" w:rsidP="00EE758A">
      <w:pPr>
        <w:ind w:firstLine="851"/>
        <w:rPr>
          <w:rFonts w:cs="Times New Roman"/>
        </w:rPr>
      </w:pPr>
      <w:r>
        <w:t xml:space="preserve">A metodologia utilizada partiu de uma pesquisa teórica-empírica uma vez que possibilitou a união da análise conceitual das categorias que envolvem o tema e da coleta de dados concretos via </w:t>
      </w:r>
      <w:r w:rsidRPr="00F34F3A">
        <w:rPr>
          <w:rFonts w:eastAsia="Arial" w:cs="Times New Roman"/>
          <w:spacing w:val="-2"/>
          <w:szCs w:val="24"/>
        </w:rPr>
        <w:t>Sistema Integrado de Planejam</w:t>
      </w:r>
      <w:r w:rsidR="00A80C99">
        <w:rPr>
          <w:rFonts w:eastAsia="Arial" w:cs="Times New Roman"/>
          <w:spacing w:val="-2"/>
          <w:szCs w:val="24"/>
        </w:rPr>
        <w:t>ento e Orçamento (SIOP) e</w:t>
      </w:r>
      <w:r w:rsidRPr="00F34F3A">
        <w:rPr>
          <w:rFonts w:eastAsia="Arial" w:cs="Times New Roman"/>
          <w:spacing w:val="-2"/>
          <w:szCs w:val="24"/>
        </w:rPr>
        <w:t xml:space="preserve"> relatórios de execução de Planos Plurianuais (PPA)</w:t>
      </w:r>
      <w:r w:rsidR="00A80C99">
        <w:t xml:space="preserve">. </w:t>
      </w:r>
      <w:r w:rsidR="003A6A3F">
        <w:t xml:space="preserve">Os programas </w:t>
      </w:r>
      <w:r w:rsidR="003A6A3F" w:rsidRPr="00F34F3A">
        <w:rPr>
          <w:rFonts w:eastAsia="Arial" w:cs="Times New Roman"/>
          <w:spacing w:val="-2"/>
          <w:szCs w:val="24"/>
        </w:rPr>
        <w:t xml:space="preserve">Agricultura </w:t>
      </w:r>
      <w:r w:rsidR="003A6A3F" w:rsidRPr="003A6A3F">
        <w:t xml:space="preserve">Familiar/Fortalecimento e Dinamização da </w:t>
      </w:r>
      <w:r w:rsidR="003A6A3F" w:rsidRPr="003A6A3F">
        <w:rPr>
          <w:rFonts w:cs="Times New Roman"/>
        </w:rPr>
        <w:t xml:space="preserve">Agricultura Familiar (código 2012); Segurança Alimentar e Nutricional (código 2069); Oferta de Água (código 2051) e Recursos Hídricos (código 2084), foram selecionados para que fosse feita a coleta e análise dos dados referentes a sua execução </w:t>
      </w:r>
      <w:r w:rsidR="008872A9">
        <w:rPr>
          <w:rFonts w:cs="Times New Roman"/>
        </w:rPr>
        <w:t xml:space="preserve">orçamentária </w:t>
      </w:r>
      <w:r w:rsidR="003A6A3F" w:rsidRPr="003A6A3F">
        <w:rPr>
          <w:rFonts w:cs="Times New Roman"/>
        </w:rPr>
        <w:t>durante os anos de 2014 a 2019.</w:t>
      </w:r>
    </w:p>
    <w:p w14:paraId="0AA6F70E" w14:textId="2F934E49" w:rsidR="00A80C99" w:rsidRDefault="00A80C99" w:rsidP="00EE758A">
      <w:pPr>
        <w:ind w:firstLine="851"/>
        <w:rPr>
          <w:rFonts w:eastAsia="Times New Roman" w:cs="Times New Roman"/>
          <w:szCs w:val="24"/>
        </w:rPr>
      </w:pPr>
      <w:r w:rsidRPr="00A80C99">
        <w:rPr>
          <w:rFonts w:eastAsia="Times New Roman" w:cs="Times New Roman"/>
          <w:szCs w:val="24"/>
        </w:rPr>
        <w:lastRenderedPageBreak/>
        <w:t xml:space="preserve">A coleta de dados foi feita via Sistema Integrado de Planejamento e Orçamento (Siop), que é o sistema informatizado que contém as informações relativas ao planejamento e execução física e orçamentária dos </w:t>
      </w:r>
      <w:proofErr w:type="spellStart"/>
      <w:r w:rsidRPr="00A80C99">
        <w:rPr>
          <w:rFonts w:eastAsia="Times New Roman" w:cs="Times New Roman"/>
          <w:szCs w:val="24"/>
        </w:rPr>
        <w:t>PPAs</w:t>
      </w:r>
      <w:proofErr w:type="spellEnd"/>
      <w:r w:rsidRPr="00A80C99">
        <w:rPr>
          <w:rFonts w:eastAsia="Times New Roman" w:cs="Times New Roman"/>
          <w:szCs w:val="24"/>
        </w:rPr>
        <w:t xml:space="preserve"> do Governo Federal. Nele foram obtidos os dados orçamentários de cada programa, filtrados por objetivo estudado. Com esses dados separados, foi feito o recorte temporal estabelecido</w:t>
      </w:r>
      <w:r w:rsidR="003A6A3F" w:rsidRPr="003A6A3F">
        <w:rPr>
          <w:rFonts w:eastAsia="Times New Roman" w:cs="Times New Roman"/>
          <w:szCs w:val="24"/>
        </w:rPr>
        <w:t>, de 2014 a 2019, e em</w:t>
      </w:r>
      <w:r w:rsidRPr="00A80C99">
        <w:rPr>
          <w:rFonts w:eastAsia="Times New Roman" w:cs="Times New Roman"/>
          <w:szCs w:val="24"/>
        </w:rPr>
        <w:t xml:space="preserve"> seguida </w:t>
      </w:r>
      <w:r w:rsidR="003A6A3F" w:rsidRPr="003A6A3F">
        <w:rPr>
          <w:rFonts w:eastAsia="Times New Roman" w:cs="Times New Roman"/>
          <w:szCs w:val="24"/>
        </w:rPr>
        <w:t xml:space="preserve">foi feito o </w:t>
      </w:r>
      <w:proofErr w:type="spellStart"/>
      <w:r w:rsidR="003A6A3F" w:rsidRPr="003A6A3F">
        <w:rPr>
          <w:rFonts w:eastAsia="Times New Roman" w:cs="Times New Roman"/>
          <w:szCs w:val="24"/>
        </w:rPr>
        <w:t>deflacionamento</w:t>
      </w:r>
      <w:proofErr w:type="spellEnd"/>
      <w:r w:rsidR="00A06F85">
        <w:rPr>
          <w:rFonts w:eastAsia="Times New Roman" w:cs="Times New Roman"/>
          <w:szCs w:val="24"/>
        </w:rPr>
        <w:t xml:space="preserve">, etapa </w:t>
      </w:r>
      <w:r w:rsidR="00A06F85">
        <w:t>essencial para ajustar os valores coletados à taxa de inflação do período, de forma a eliminar o impacto das variações de preços ao longo do tempo</w:t>
      </w:r>
      <w:r w:rsidR="003A6A3F" w:rsidRPr="003A6A3F">
        <w:rPr>
          <w:rFonts w:eastAsia="Times New Roman" w:cs="Times New Roman"/>
          <w:szCs w:val="24"/>
        </w:rPr>
        <w:t xml:space="preserve">. Por fim, </w:t>
      </w:r>
      <w:r w:rsidRPr="00A80C99">
        <w:rPr>
          <w:rFonts w:eastAsia="Times New Roman" w:cs="Times New Roman"/>
          <w:szCs w:val="24"/>
        </w:rPr>
        <w:t xml:space="preserve">todos esses dados foram sintetizados em gráficos para comparar o orçamento anual pago por ano para cada programa estudado. </w:t>
      </w:r>
    </w:p>
    <w:p w14:paraId="74E89A3E" w14:textId="109C74DC" w:rsidR="0089789D" w:rsidRDefault="009C6A6D" w:rsidP="00EE758A">
      <w:pPr>
        <w:ind w:firstLine="851"/>
        <w:rPr>
          <w:rFonts w:eastAsia="Times New Roman" w:cs="Times New Roman"/>
          <w:szCs w:val="24"/>
        </w:rPr>
      </w:pPr>
      <w:r>
        <w:rPr>
          <w:rFonts w:eastAsia="Times New Roman" w:cs="Times New Roman"/>
          <w:szCs w:val="24"/>
        </w:rPr>
        <w:t>Vale salientar também a escolha pela abordagem teórico-metodológica do materialismo histórico e dialético para fundamentar essa pesquisa, utilizando as categorias do método: historicidade, contradição, totalidade e mediação, em que a manifestação e constituição da expressão do real ocorrem por meio de elementos que englobam aspectos quantitativos e qualitativos, objetivos e subjetivos, particulares e universais, os quais estão intrinsecamente interligados (PRATES, 2012).</w:t>
      </w:r>
    </w:p>
    <w:p w14:paraId="211189E3" w14:textId="7A6A8718" w:rsidR="0089789D" w:rsidRPr="00A80C99" w:rsidRDefault="009C6A6D" w:rsidP="00EE758A">
      <w:pPr>
        <w:ind w:firstLine="851"/>
        <w:rPr>
          <w:rFonts w:eastAsia="Times New Roman" w:cs="Times New Roman"/>
          <w:szCs w:val="24"/>
        </w:rPr>
      </w:pPr>
      <w:r>
        <w:rPr>
          <w:rFonts w:eastAsia="Times New Roman" w:cs="Times New Roman"/>
          <w:szCs w:val="24"/>
        </w:rPr>
        <w:t>Além disso, para revisão bibliográfica fo</w:t>
      </w:r>
      <w:r w:rsidR="00B84DD1">
        <w:rPr>
          <w:rFonts w:eastAsia="Times New Roman" w:cs="Times New Roman"/>
          <w:szCs w:val="24"/>
        </w:rPr>
        <w:t xml:space="preserve">ram </w:t>
      </w:r>
      <w:r>
        <w:rPr>
          <w:rFonts w:eastAsia="Times New Roman" w:cs="Times New Roman"/>
          <w:szCs w:val="24"/>
        </w:rPr>
        <w:t>utilizado</w:t>
      </w:r>
      <w:r w:rsidR="00B84DD1">
        <w:rPr>
          <w:rFonts w:eastAsia="Times New Roman" w:cs="Times New Roman"/>
          <w:szCs w:val="24"/>
        </w:rPr>
        <w:t>s</w:t>
      </w:r>
      <w:r>
        <w:rPr>
          <w:rFonts w:eastAsia="Times New Roman" w:cs="Times New Roman"/>
          <w:szCs w:val="24"/>
        </w:rPr>
        <w:t xml:space="preserve"> os estudos de Silva</w:t>
      </w:r>
      <w:r w:rsidR="002834C9">
        <w:rPr>
          <w:rFonts w:eastAsia="Times New Roman" w:cs="Times New Roman"/>
          <w:szCs w:val="24"/>
        </w:rPr>
        <w:t xml:space="preserve"> (</w:t>
      </w:r>
      <w:r w:rsidR="00B84DD1">
        <w:rPr>
          <w:rFonts w:eastAsia="Times New Roman" w:cs="Times New Roman"/>
          <w:szCs w:val="24"/>
        </w:rPr>
        <w:t xml:space="preserve">2003; </w:t>
      </w:r>
      <w:r w:rsidR="002834C9">
        <w:rPr>
          <w:rFonts w:eastAsia="Times New Roman" w:cs="Times New Roman"/>
          <w:szCs w:val="24"/>
        </w:rPr>
        <w:t xml:space="preserve">2012) sobre </w:t>
      </w:r>
      <w:r w:rsidR="00B84DD1">
        <w:rPr>
          <w:rFonts w:eastAsia="Times New Roman" w:cs="Times New Roman"/>
          <w:szCs w:val="24"/>
        </w:rPr>
        <w:t>as políticas públicas no</w:t>
      </w:r>
      <w:r w:rsidR="002834C9">
        <w:rPr>
          <w:rFonts w:eastAsia="Times New Roman" w:cs="Times New Roman"/>
          <w:szCs w:val="24"/>
        </w:rPr>
        <w:t xml:space="preserve"> </w:t>
      </w:r>
      <w:r>
        <w:rPr>
          <w:rFonts w:eastAsia="Times New Roman" w:cs="Times New Roman"/>
          <w:szCs w:val="24"/>
        </w:rPr>
        <w:t>Semiárido</w:t>
      </w:r>
      <w:r w:rsidR="00B84DD1">
        <w:rPr>
          <w:rFonts w:eastAsia="Times New Roman" w:cs="Times New Roman"/>
          <w:szCs w:val="24"/>
        </w:rPr>
        <w:t xml:space="preserve"> brasileiro</w:t>
      </w:r>
      <w:r w:rsidR="002834C9">
        <w:rPr>
          <w:rFonts w:eastAsia="Times New Roman" w:cs="Times New Roman"/>
          <w:szCs w:val="24"/>
        </w:rPr>
        <w:t xml:space="preserve">, como também as </w:t>
      </w:r>
      <w:r w:rsidR="00B84DD1">
        <w:rPr>
          <w:rFonts w:eastAsia="Times New Roman" w:cs="Times New Roman"/>
          <w:szCs w:val="24"/>
        </w:rPr>
        <w:t>análises</w:t>
      </w:r>
      <w:r w:rsidR="002834C9">
        <w:rPr>
          <w:rFonts w:eastAsia="Times New Roman" w:cs="Times New Roman"/>
          <w:szCs w:val="24"/>
        </w:rPr>
        <w:t xml:space="preserve"> de </w:t>
      </w:r>
      <w:r w:rsidR="00B84DD1">
        <w:rPr>
          <w:rFonts w:eastAsia="Times New Roman" w:cs="Times New Roman"/>
          <w:szCs w:val="24"/>
        </w:rPr>
        <w:t>Silva et al (2020) sobre a caracterização da agricultura familiar na Região e</w:t>
      </w:r>
      <w:r w:rsidR="00016B2A">
        <w:rPr>
          <w:rFonts w:eastAsia="Times New Roman" w:cs="Times New Roman"/>
          <w:szCs w:val="24"/>
        </w:rPr>
        <w:t>,</w:t>
      </w:r>
      <w:r w:rsidR="00B84DD1">
        <w:rPr>
          <w:rFonts w:eastAsia="Times New Roman" w:cs="Times New Roman"/>
          <w:szCs w:val="24"/>
        </w:rPr>
        <w:t xml:space="preserve"> </w:t>
      </w:r>
      <w:r w:rsidR="00016B2A">
        <w:rPr>
          <w:rFonts w:eastAsia="Times New Roman" w:cs="Times New Roman"/>
          <w:szCs w:val="24"/>
        </w:rPr>
        <w:t>de Aquino</w:t>
      </w:r>
      <w:r w:rsidR="002834C9">
        <w:rPr>
          <w:rFonts w:eastAsia="Times New Roman" w:cs="Times New Roman"/>
          <w:szCs w:val="24"/>
        </w:rPr>
        <w:t xml:space="preserve"> e Silva (2022) sobre a atuação do Banco do Nordeste no Semiárido rural. Já para embasamento </w:t>
      </w:r>
      <w:r w:rsidR="00987B9A">
        <w:rPr>
          <w:rFonts w:eastAsia="Times New Roman" w:cs="Times New Roman"/>
          <w:szCs w:val="24"/>
        </w:rPr>
        <w:t xml:space="preserve">sobre </w:t>
      </w:r>
      <w:r w:rsidR="002834C9">
        <w:rPr>
          <w:rFonts w:eastAsia="Times New Roman" w:cs="Times New Roman"/>
          <w:szCs w:val="24"/>
        </w:rPr>
        <w:t>neoliberalismo, fundo público e crise do capitalismo fo</w:t>
      </w:r>
      <w:r w:rsidR="00B84DD1">
        <w:rPr>
          <w:rFonts w:eastAsia="Times New Roman" w:cs="Times New Roman"/>
          <w:szCs w:val="24"/>
        </w:rPr>
        <w:t xml:space="preserve">ram </w:t>
      </w:r>
      <w:r w:rsidR="002834C9">
        <w:rPr>
          <w:rFonts w:eastAsia="Times New Roman" w:cs="Times New Roman"/>
          <w:szCs w:val="24"/>
        </w:rPr>
        <w:t>utilizado</w:t>
      </w:r>
      <w:r w:rsidR="00B84DD1">
        <w:rPr>
          <w:rFonts w:eastAsia="Times New Roman" w:cs="Times New Roman"/>
          <w:szCs w:val="24"/>
        </w:rPr>
        <w:t>s</w:t>
      </w:r>
      <w:r w:rsidR="002834C9">
        <w:rPr>
          <w:rFonts w:eastAsia="Times New Roman" w:cs="Times New Roman"/>
          <w:szCs w:val="24"/>
        </w:rPr>
        <w:t xml:space="preserve"> como base </w:t>
      </w:r>
      <w:r w:rsidR="00717AA7">
        <w:rPr>
          <w:rFonts w:eastAsia="Times New Roman" w:cs="Times New Roman"/>
          <w:szCs w:val="24"/>
        </w:rPr>
        <w:t xml:space="preserve">as discussões de Anderson (1995), </w:t>
      </w:r>
      <w:proofErr w:type="spellStart"/>
      <w:r w:rsidR="00717AA7">
        <w:rPr>
          <w:rFonts w:eastAsia="Times New Roman" w:cs="Times New Roman"/>
          <w:szCs w:val="24"/>
        </w:rPr>
        <w:t>Mészáros</w:t>
      </w:r>
      <w:proofErr w:type="spellEnd"/>
      <w:r w:rsidR="00717AA7">
        <w:rPr>
          <w:rFonts w:eastAsia="Times New Roman" w:cs="Times New Roman"/>
          <w:szCs w:val="24"/>
        </w:rPr>
        <w:t xml:space="preserve"> (2002), Rossi, </w:t>
      </w:r>
      <w:proofErr w:type="spellStart"/>
      <w:r w:rsidR="00717AA7">
        <w:rPr>
          <w:rFonts w:eastAsia="Times New Roman" w:cs="Times New Roman"/>
          <w:szCs w:val="24"/>
        </w:rPr>
        <w:t>Dweek</w:t>
      </w:r>
      <w:proofErr w:type="spellEnd"/>
      <w:r w:rsidR="00717AA7">
        <w:rPr>
          <w:rFonts w:eastAsia="Times New Roman" w:cs="Times New Roman"/>
          <w:szCs w:val="24"/>
        </w:rPr>
        <w:t xml:space="preserve"> e Oliveira (2018)</w:t>
      </w:r>
      <w:r w:rsidR="00B84DD1">
        <w:rPr>
          <w:rFonts w:eastAsia="Times New Roman" w:cs="Times New Roman"/>
          <w:szCs w:val="24"/>
        </w:rPr>
        <w:t xml:space="preserve"> e</w:t>
      </w:r>
      <w:r w:rsidR="00717AA7">
        <w:rPr>
          <w:rFonts w:eastAsia="Times New Roman" w:cs="Times New Roman"/>
          <w:szCs w:val="24"/>
        </w:rPr>
        <w:t xml:space="preserve"> Salvador (2010; 2017).</w:t>
      </w:r>
    </w:p>
    <w:p w14:paraId="73F2E340" w14:textId="77777777" w:rsidR="00EE758A" w:rsidRDefault="00EE758A" w:rsidP="00016B2A">
      <w:pPr>
        <w:pStyle w:val="Ttulo1"/>
      </w:pPr>
    </w:p>
    <w:p w14:paraId="31C0A63C" w14:textId="11057DE8" w:rsidR="00BD2956" w:rsidRDefault="001277F9" w:rsidP="00016B2A">
      <w:pPr>
        <w:pStyle w:val="Ttulo1"/>
        <w:rPr>
          <w:rFonts w:eastAsia="Arial"/>
        </w:rPr>
      </w:pPr>
      <w:r>
        <w:t xml:space="preserve">4 RESULTADOS </w:t>
      </w:r>
    </w:p>
    <w:p w14:paraId="48050F6D" w14:textId="77777777" w:rsidR="00EE758A" w:rsidRDefault="00EE758A" w:rsidP="00EE758A">
      <w:pPr>
        <w:ind w:firstLine="851"/>
        <w:rPr>
          <w:rFonts w:eastAsia="Times New Roman" w:cs="Times New Roman"/>
          <w:color w:val="000000"/>
          <w:szCs w:val="24"/>
        </w:rPr>
      </w:pPr>
    </w:p>
    <w:p w14:paraId="1CAA03AF" w14:textId="3A8A42CF" w:rsidR="00B84DD1" w:rsidRDefault="00B84DD1" w:rsidP="00EE758A">
      <w:pPr>
        <w:ind w:firstLine="851"/>
        <w:rPr>
          <w:rFonts w:eastAsia="Times New Roman" w:cs="Times New Roman"/>
          <w:color w:val="000000"/>
          <w:szCs w:val="24"/>
          <w:shd w:val="clear" w:color="auto" w:fill="FFFFFF"/>
        </w:rPr>
      </w:pPr>
      <w:r>
        <w:rPr>
          <w:rFonts w:eastAsia="Times New Roman" w:cs="Times New Roman"/>
          <w:color w:val="000000"/>
          <w:szCs w:val="24"/>
        </w:rPr>
        <w:t>P</w:t>
      </w:r>
      <w:r w:rsidR="00D20DF1" w:rsidRPr="00D20DF1">
        <w:rPr>
          <w:rFonts w:eastAsia="Times New Roman" w:cs="Times New Roman"/>
          <w:color w:val="000000"/>
          <w:szCs w:val="24"/>
        </w:rPr>
        <w:t xml:space="preserve">ara verificar como o ajuste fiscal impactou as políticas públicas de apoio e fortalecimento à agricultura familiar no </w:t>
      </w:r>
      <w:r>
        <w:rPr>
          <w:rFonts w:eastAsia="Times New Roman" w:cs="Times New Roman"/>
          <w:color w:val="000000"/>
          <w:szCs w:val="24"/>
        </w:rPr>
        <w:t xml:space="preserve">Semiárido, </w:t>
      </w:r>
      <w:r w:rsidR="00D20DF1" w:rsidRPr="00D20DF1">
        <w:rPr>
          <w:rFonts w:eastAsia="Times New Roman" w:cs="Times New Roman"/>
          <w:color w:val="000000"/>
          <w:szCs w:val="24"/>
          <w:shd w:val="clear" w:color="auto" w:fill="FFFFFF"/>
        </w:rPr>
        <w:t xml:space="preserve">foram </w:t>
      </w:r>
      <w:r>
        <w:rPr>
          <w:rFonts w:eastAsia="Times New Roman" w:cs="Times New Roman"/>
          <w:color w:val="000000"/>
          <w:szCs w:val="24"/>
          <w:shd w:val="clear" w:color="auto" w:fill="FFFFFF"/>
        </w:rPr>
        <w:t xml:space="preserve">selecionados </w:t>
      </w:r>
      <w:r w:rsidR="00D20DF1" w:rsidRPr="00D20DF1">
        <w:rPr>
          <w:rFonts w:eastAsia="Times New Roman" w:cs="Times New Roman"/>
          <w:color w:val="000000"/>
          <w:szCs w:val="24"/>
          <w:shd w:val="clear" w:color="auto" w:fill="FFFFFF"/>
        </w:rPr>
        <w:t xml:space="preserve">os objetivos de cada programa </w:t>
      </w:r>
      <w:r>
        <w:rPr>
          <w:rFonts w:eastAsia="Times New Roman" w:cs="Times New Roman"/>
          <w:color w:val="000000"/>
          <w:szCs w:val="24"/>
          <w:shd w:val="clear" w:color="auto" w:fill="FFFFFF"/>
        </w:rPr>
        <w:t xml:space="preserve">selecionado </w:t>
      </w:r>
      <w:r w:rsidR="00D20DF1" w:rsidRPr="00D20DF1">
        <w:rPr>
          <w:rFonts w:eastAsia="Times New Roman" w:cs="Times New Roman"/>
          <w:color w:val="000000"/>
          <w:szCs w:val="24"/>
          <w:shd w:val="clear" w:color="auto" w:fill="FFFFFF"/>
        </w:rPr>
        <w:t>durante o recorte do período de 2014 - 2019.</w:t>
      </w:r>
      <w:r>
        <w:rPr>
          <w:rFonts w:eastAsia="Times New Roman" w:cs="Times New Roman"/>
          <w:color w:val="000000"/>
          <w:szCs w:val="24"/>
          <w:shd w:val="clear" w:color="auto" w:fill="FFFFFF"/>
        </w:rPr>
        <w:t xml:space="preserve"> </w:t>
      </w:r>
    </w:p>
    <w:p w14:paraId="1419CE2A" w14:textId="1306C5A4" w:rsidR="00D20DF1" w:rsidRPr="00D20DF1" w:rsidRDefault="00B84DD1" w:rsidP="00EE758A">
      <w:pPr>
        <w:ind w:firstLine="851"/>
        <w:rPr>
          <w:rFonts w:cs="Times New Roman"/>
          <w:szCs w:val="24"/>
        </w:rPr>
      </w:pPr>
      <w:r>
        <w:rPr>
          <w:rFonts w:eastAsia="Times New Roman" w:cs="Times New Roman"/>
          <w:color w:val="000000"/>
          <w:szCs w:val="24"/>
          <w:shd w:val="clear" w:color="auto" w:fill="FFFFFF"/>
        </w:rPr>
        <w:t xml:space="preserve">No </w:t>
      </w:r>
      <w:r w:rsidR="00D20DF1" w:rsidRPr="00D20DF1">
        <w:rPr>
          <w:rFonts w:eastAsia="Times New Roman" w:cs="Times New Roman"/>
          <w:color w:val="000000"/>
          <w:szCs w:val="24"/>
        </w:rPr>
        <w:t xml:space="preserve">Plano Plurianual - Plano Mais Brasil </w:t>
      </w:r>
      <w:r>
        <w:rPr>
          <w:rFonts w:eastAsia="Times New Roman" w:cs="Times New Roman"/>
          <w:color w:val="000000"/>
          <w:szCs w:val="24"/>
        </w:rPr>
        <w:t xml:space="preserve">de </w:t>
      </w:r>
      <w:r w:rsidR="00D20DF1" w:rsidRPr="00D20DF1">
        <w:rPr>
          <w:rFonts w:eastAsia="Times New Roman" w:cs="Times New Roman"/>
          <w:color w:val="000000"/>
          <w:szCs w:val="24"/>
        </w:rPr>
        <w:t>2012</w:t>
      </w:r>
      <w:r>
        <w:rPr>
          <w:rFonts w:eastAsia="Times New Roman" w:cs="Times New Roman"/>
          <w:color w:val="000000"/>
          <w:szCs w:val="24"/>
        </w:rPr>
        <w:t xml:space="preserve"> a 2</w:t>
      </w:r>
      <w:r w:rsidRPr="00D20DF1">
        <w:rPr>
          <w:rFonts w:eastAsia="Times New Roman" w:cs="Times New Roman"/>
          <w:color w:val="000000"/>
          <w:szCs w:val="24"/>
        </w:rPr>
        <w:t>015</w:t>
      </w:r>
      <w:r w:rsidR="00D20DF1" w:rsidRPr="00D20DF1">
        <w:rPr>
          <w:rFonts w:eastAsia="Times New Roman" w:cs="Times New Roman"/>
          <w:color w:val="000000"/>
          <w:szCs w:val="24"/>
        </w:rPr>
        <w:t xml:space="preserve">, </w:t>
      </w:r>
      <w:r>
        <w:rPr>
          <w:rFonts w:eastAsia="Times New Roman" w:cs="Times New Roman"/>
          <w:color w:val="000000"/>
          <w:szCs w:val="24"/>
        </w:rPr>
        <w:t xml:space="preserve">os programas de </w:t>
      </w:r>
      <w:r w:rsidR="00D20DF1" w:rsidRPr="00D20DF1">
        <w:rPr>
          <w:rFonts w:eastAsia="Times New Roman" w:cs="Times New Roman"/>
          <w:color w:val="000000"/>
          <w:szCs w:val="24"/>
        </w:rPr>
        <w:t xml:space="preserve">Agricultura Familiar (código 2012) e </w:t>
      </w:r>
      <w:r>
        <w:rPr>
          <w:rFonts w:eastAsia="Times New Roman" w:cs="Times New Roman"/>
          <w:color w:val="000000"/>
          <w:szCs w:val="24"/>
        </w:rPr>
        <w:t xml:space="preserve">de </w:t>
      </w:r>
      <w:r w:rsidR="00D20DF1" w:rsidRPr="00D20DF1">
        <w:rPr>
          <w:rFonts w:eastAsia="Times New Roman" w:cs="Times New Roman"/>
          <w:color w:val="000000"/>
          <w:szCs w:val="24"/>
        </w:rPr>
        <w:t xml:space="preserve">Segurança Alimentar e Nutricional (código 2069), são programas que possuem relação direta com a meta do Brasil Sem Miséria </w:t>
      </w:r>
      <w:r w:rsidR="00D20DF1" w:rsidRPr="00D20DF1">
        <w:rPr>
          <w:rFonts w:eastAsia="Times New Roman" w:cs="Times New Roman"/>
          <w:color w:val="000000"/>
          <w:szCs w:val="24"/>
        </w:rPr>
        <w:lastRenderedPageBreak/>
        <w:t>e com isso, de modo geral, buscam promover a inclusão social e produtiva da população, bem como a integração de políticas, a universalização de direitos sociais e a preservação da autonomia. Dentre as metas específicas do Brasil Sem Miséria, encontra-se a universalização do acesso</w:t>
      </w:r>
      <w:r w:rsidR="00FB3E3C">
        <w:rPr>
          <w:rFonts w:eastAsia="Times New Roman" w:cs="Times New Roman"/>
          <w:color w:val="000000"/>
          <w:szCs w:val="24"/>
        </w:rPr>
        <w:t xml:space="preserve"> à água para consumo humano no S</w:t>
      </w:r>
      <w:r w:rsidR="00D20DF1" w:rsidRPr="00D20DF1">
        <w:rPr>
          <w:rFonts w:eastAsia="Times New Roman" w:cs="Times New Roman"/>
          <w:color w:val="000000"/>
          <w:szCs w:val="24"/>
        </w:rPr>
        <w:t xml:space="preserve">emiárido, e a ampliação do número de participantes do </w:t>
      </w:r>
      <w:r w:rsidR="008D3D52">
        <w:rPr>
          <w:rFonts w:eastAsia="Times New Roman" w:cs="Times New Roman"/>
          <w:color w:val="000000"/>
          <w:szCs w:val="24"/>
        </w:rPr>
        <w:t>P</w:t>
      </w:r>
      <w:r w:rsidR="00D20DF1" w:rsidRPr="00D20DF1">
        <w:rPr>
          <w:rFonts w:eastAsia="Times New Roman" w:cs="Times New Roman"/>
          <w:color w:val="000000"/>
          <w:szCs w:val="24"/>
        </w:rPr>
        <w:t>rograma de Aquisição de Alimentos</w:t>
      </w:r>
      <w:r w:rsidR="008D3D52">
        <w:rPr>
          <w:rFonts w:eastAsia="Times New Roman" w:cs="Times New Roman"/>
          <w:color w:val="000000"/>
          <w:szCs w:val="24"/>
        </w:rPr>
        <w:t xml:space="preserve"> (PAA) direcionado à agricultura familiar</w:t>
      </w:r>
      <w:r w:rsidR="00D20DF1" w:rsidRPr="00D20DF1">
        <w:rPr>
          <w:rFonts w:eastAsia="Times New Roman" w:cs="Times New Roman"/>
          <w:color w:val="000000"/>
          <w:szCs w:val="24"/>
        </w:rPr>
        <w:t xml:space="preserve">. A iniciativa de ampliar a inserção de políticas públicas que visem o apoio e fortalecimento à agricultura familiar busca oferecer melhores condições de vida à população ao mesmo tempo em que incentiva o desenvolvimento econômico e social da região. </w:t>
      </w:r>
    </w:p>
    <w:p w14:paraId="3D06E2D2" w14:textId="6F262651" w:rsidR="00D20DF1" w:rsidRDefault="008D3D52" w:rsidP="00EE758A">
      <w:pPr>
        <w:ind w:firstLine="851"/>
        <w:rPr>
          <w:rFonts w:eastAsia="Times New Roman" w:cs="Times New Roman"/>
          <w:color w:val="FF0000"/>
          <w:szCs w:val="24"/>
        </w:rPr>
      </w:pPr>
      <w:r>
        <w:rPr>
          <w:rFonts w:eastAsia="Times New Roman" w:cs="Times New Roman"/>
          <w:color w:val="00000A"/>
          <w:szCs w:val="24"/>
        </w:rPr>
        <w:t>Na execução dos programas aqui analisados, o</w:t>
      </w:r>
      <w:r w:rsidRPr="00D20DF1">
        <w:rPr>
          <w:rFonts w:eastAsia="Times New Roman" w:cs="Times New Roman"/>
          <w:color w:val="00000A"/>
          <w:szCs w:val="24"/>
        </w:rPr>
        <w:t xml:space="preserve">s </w:t>
      </w:r>
      <w:r w:rsidR="00D20DF1" w:rsidRPr="00D20DF1">
        <w:rPr>
          <w:rFonts w:eastAsia="Times New Roman" w:cs="Times New Roman"/>
          <w:color w:val="00000A"/>
          <w:szCs w:val="24"/>
        </w:rPr>
        <w:t xml:space="preserve">maiores impactos do ajuste fiscal ocorrem a partir de 2015 de forma gradual, afetando essencialmente as políticas de </w:t>
      </w:r>
      <w:r w:rsidR="00D20DF1" w:rsidRPr="00D20DF1">
        <w:rPr>
          <w:rFonts w:eastAsia="Times New Roman" w:cs="Times New Roman"/>
          <w:color w:val="000000"/>
          <w:szCs w:val="24"/>
        </w:rPr>
        <w:t>Assistência Técnica e Extensão Rural (ATER)</w:t>
      </w:r>
      <w:r w:rsidR="00D20DF1" w:rsidRPr="00D20DF1">
        <w:rPr>
          <w:rFonts w:eastAsia="Times New Roman" w:cs="Times New Roman"/>
          <w:color w:val="00000A"/>
          <w:szCs w:val="24"/>
        </w:rPr>
        <w:t xml:space="preserve"> e de Acesso à Água para Populações Rurais</w:t>
      </w:r>
      <w:r>
        <w:rPr>
          <w:rFonts w:eastAsia="Times New Roman" w:cs="Times New Roman"/>
          <w:color w:val="00000A"/>
          <w:szCs w:val="24"/>
        </w:rPr>
        <w:t>, sendo aprofundado n</w:t>
      </w:r>
      <w:r w:rsidR="00D20DF1" w:rsidRPr="00D20DF1">
        <w:rPr>
          <w:rFonts w:eastAsia="Times New Roman" w:cs="Times New Roman"/>
          <w:color w:val="000000"/>
          <w:szCs w:val="24"/>
        </w:rPr>
        <w:t xml:space="preserve">os anos de 2016 a 2019, </w:t>
      </w:r>
      <w:r>
        <w:rPr>
          <w:rFonts w:eastAsia="Times New Roman" w:cs="Times New Roman"/>
          <w:color w:val="000000"/>
          <w:szCs w:val="24"/>
        </w:rPr>
        <w:t>com</w:t>
      </w:r>
      <w:r w:rsidR="00D20DF1" w:rsidRPr="00D20DF1">
        <w:rPr>
          <w:rFonts w:eastAsia="Times New Roman" w:cs="Times New Roman"/>
          <w:color w:val="000000"/>
          <w:szCs w:val="24"/>
        </w:rPr>
        <w:t xml:space="preserve"> uma forte redução dos </w:t>
      </w:r>
      <w:r w:rsidR="00016B2A" w:rsidRPr="00D20DF1">
        <w:rPr>
          <w:rFonts w:eastAsia="Times New Roman" w:cs="Times New Roman"/>
          <w:color w:val="000000"/>
          <w:szCs w:val="24"/>
        </w:rPr>
        <w:t>investimentos e</w:t>
      </w:r>
      <w:r w:rsidR="00016B2A">
        <w:rPr>
          <w:rFonts w:eastAsia="Times New Roman" w:cs="Times New Roman"/>
          <w:color w:val="000000"/>
          <w:szCs w:val="24"/>
        </w:rPr>
        <w:t>,</w:t>
      </w:r>
      <w:r w:rsidR="00D20DF1" w:rsidRPr="00D20DF1">
        <w:rPr>
          <w:rFonts w:eastAsia="Times New Roman" w:cs="Times New Roman"/>
          <w:color w:val="000000"/>
          <w:szCs w:val="24"/>
        </w:rPr>
        <w:t xml:space="preserve"> consequentemente do acesso àquelas políticas</w:t>
      </w:r>
      <w:r>
        <w:rPr>
          <w:rFonts w:eastAsia="Times New Roman" w:cs="Times New Roman"/>
          <w:color w:val="000000"/>
          <w:szCs w:val="24"/>
        </w:rPr>
        <w:t xml:space="preserve">, conforme o </w:t>
      </w:r>
      <w:r w:rsidRPr="00D20DF1">
        <w:rPr>
          <w:rFonts w:eastAsia="Times New Roman" w:cs="Times New Roman"/>
          <w:color w:val="000000"/>
          <w:szCs w:val="24"/>
        </w:rPr>
        <w:t>Gráfico 1</w:t>
      </w:r>
      <w:r w:rsidR="00D20DF1" w:rsidRPr="00D20DF1">
        <w:rPr>
          <w:rFonts w:eastAsia="Times New Roman" w:cs="Times New Roman"/>
          <w:color w:val="000000"/>
          <w:szCs w:val="24"/>
        </w:rPr>
        <w:t xml:space="preserve">.  </w:t>
      </w:r>
    </w:p>
    <w:p w14:paraId="1903E96A" w14:textId="461E41CD" w:rsidR="000B6AD9" w:rsidRDefault="000B6AD9" w:rsidP="00EE758A">
      <w:pPr>
        <w:spacing w:line="240" w:lineRule="auto"/>
        <w:rPr>
          <w:rFonts w:eastAsia="Times New Roman" w:cs="Times New Roman"/>
          <w:color w:val="FF0000"/>
          <w:szCs w:val="24"/>
        </w:rPr>
      </w:pPr>
      <w:r w:rsidRPr="00E278CD">
        <w:rPr>
          <w:rFonts w:cs="Times New Roman"/>
          <w:noProof/>
        </w:rPr>
        <w:drawing>
          <wp:inline distT="0" distB="0" distL="0" distR="0" wp14:anchorId="11CF3B74" wp14:editId="7D3E329A">
            <wp:extent cx="5760085" cy="3496751"/>
            <wp:effectExtent l="0" t="0" r="12065" b="889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F8CE0C" w14:textId="064D543A" w:rsidR="000B6AD9" w:rsidRPr="00016B2A" w:rsidRDefault="000B6AD9" w:rsidP="00EE758A">
      <w:pPr>
        <w:spacing w:line="240" w:lineRule="auto"/>
        <w:jc w:val="left"/>
        <w:rPr>
          <w:rFonts w:cs="Times New Roman"/>
          <w:sz w:val="20"/>
          <w:szCs w:val="20"/>
        </w:rPr>
      </w:pPr>
      <w:r w:rsidRPr="00016B2A">
        <w:rPr>
          <w:rFonts w:cs="Times New Roman"/>
          <w:b/>
          <w:bCs/>
          <w:sz w:val="20"/>
          <w:szCs w:val="20"/>
        </w:rPr>
        <w:t>Fonte:</w:t>
      </w:r>
      <w:r w:rsidRPr="00016B2A">
        <w:rPr>
          <w:rFonts w:cs="Times New Roman"/>
          <w:sz w:val="20"/>
          <w:szCs w:val="20"/>
        </w:rPr>
        <w:t xml:space="preserve"> Sistema Integrado de Orçamento e Planejamento (SIOP) do Governo Federal. Consulta Livre. Elaboração própria.</w:t>
      </w:r>
      <w:r w:rsidR="008D3D52" w:rsidRPr="00016B2A">
        <w:rPr>
          <w:rFonts w:cs="Times New Roman"/>
          <w:sz w:val="20"/>
          <w:szCs w:val="20"/>
        </w:rPr>
        <w:t xml:space="preserve"> </w:t>
      </w:r>
    </w:p>
    <w:p w14:paraId="6C0572AE" w14:textId="529820DF" w:rsidR="000B6AD9" w:rsidRPr="00016B2A" w:rsidRDefault="000B6AD9" w:rsidP="00EE758A">
      <w:pPr>
        <w:spacing w:line="240" w:lineRule="auto"/>
        <w:jc w:val="left"/>
        <w:rPr>
          <w:rFonts w:cs="Times New Roman"/>
          <w:sz w:val="20"/>
          <w:szCs w:val="20"/>
        </w:rPr>
      </w:pPr>
      <w:r w:rsidRPr="00016B2A">
        <w:rPr>
          <w:rFonts w:cs="Times New Roman"/>
          <w:sz w:val="20"/>
          <w:szCs w:val="20"/>
        </w:rPr>
        <w:t>Obs.: a) Valores de 2014 a 2018 corrigidos pelo IPCA (acumulado de Dez/2019). Valores de 2019 são nominais; b) Não inclui as Ações Orçamentárias 0A81 e 0281 (relativas às subvenções e financiamentos do PRONAF) pela especificidade das mesmas.</w:t>
      </w:r>
    </w:p>
    <w:p w14:paraId="3DE93FF8" w14:textId="77777777" w:rsidR="000B6AD9" w:rsidRDefault="000B6AD9" w:rsidP="00EE758A">
      <w:pPr>
        <w:ind w:firstLine="851"/>
        <w:rPr>
          <w:rFonts w:eastAsia="Times New Roman" w:cs="Times New Roman"/>
          <w:color w:val="000000"/>
          <w:szCs w:val="24"/>
        </w:rPr>
      </w:pPr>
    </w:p>
    <w:p w14:paraId="02617396" w14:textId="77777777" w:rsidR="00EE758A" w:rsidRDefault="00EE758A" w:rsidP="00EE758A">
      <w:pPr>
        <w:ind w:firstLine="851"/>
        <w:rPr>
          <w:rFonts w:eastAsia="Times New Roman" w:cs="Times New Roman"/>
          <w:color w:val="FF0000"/>
          <w:szCs w:val="24"/>
        </w:rPr>
      </w:pPr>
      <w:r w:rsidRPr="00D20DF1">
        <w:rPr>
          <w:rFonts w:eastAsia="Times New Roman" w:cs="Times New Roman"/>
          <w:color w:val="000000"/>
          <w:szCs w:val="24"/>
        </w:rPr>
        <w:lastRenderedPageBreak/>
        <w:t>Desse modo, a questão alimentar e nutricional das famílias fic</w:t>
      </w:r>
      <w:r>
        <w:rPr>
          <w:rFonts w:eastAsia="Times New Roman" w:cs="Times New Roman"/>
          <w:color w:val="000000"/>
          <w:szCs w:val="24"/>
        </w:rPr>
        <w:t>ou</w:t>
      </w:r>
      <w:r w:rsidRPr="00D20DF1">
        <w:rPr>
          <w:rFonts w:eastAsia="Times New Roman" w:cs="Times New Roman"/>
          <w:color w:val="000000"/>
          <w:szCs w:val="24"/>
        </w:rPr>
        <w:t xml:space="preserve"> comprometida, pois, se a disponibilidade de água para consumo e usos domésticos diários não são garantia, a água para o plantio (agricultura de subsistência familiar) e para a criação </w:t>
      </w:r>
      <w:r>
        <w:rPr>
          <w:rFonts w:eastAsia="Times New Roman" w:cs="Times New Roman"/>
          <w:color w:val="000000"/>
          <w:szCs w:val="24"/>
        </w:rPr>
        <w:t xml:space="preserve">de animais de pequeno porte se torna </w:t>
      </w:r>
      <w:r w:rsidRPr="00D20DF1">
        <w:rPr>
          <w:rFonts w:eastAsia="Times New Roman" w:cs="Times New Roman"/>
          <w:color w:val="000000"/>
          <w:szCs w:val="24"/>
        </w:rPr>
        <w:t xml:space="preserve">inviável. </w:t>
      </w:r>
    </w:p>
    <w:p w14:paraId="70812964" w14:textId="4AE54ABD" w:rsidR="00D20DF1" w:rsidRPr="00D20DF1" w:rsidRDefault="00EE758A" w:rsidP="00EE758A">
      <w:pPr>
        <w:ind w:firstLine="851"/>
        <w:rPr>
          <w:rFonts w:eastAsia="Times New Roman" w:cs="Times New Roman"/>
          <w:szCs w:val="24"/>
        </w:rPr>
      </w:pPr>
      <w:r>
        <w:rPr>
          <w:rFonts w:eastAsia="Times New Roman" w:cs="Times New Roman"/>
          <w:color w:val="000000"/>
          <w:szCs w:val="24"/>
        </w:rPr>
        <w:t>Porém, a</w:t>
      </w:r>
      <w:r w:rsidR="00D20DF1" w:rsidRPr="00D20DF1">
        <w:rPr>
          <w:rFonts w:eastAsia="Times New Roman" w:cs="Times New Roman"/>
          <w:color w:val="000000"/>
          <w:szCs w:val="24"/>
        </w:rPr>
        <w:t xml:space="preserve"> política de concessão de crédito do</w:t>
      </w:r>
      <w:r w:rsidR="00FB3E3C">
        <w:rPr>
          <w:rFonts w:eastAsia="Times New Roman" w:cs="Times New Roman"/>
          <w:color w:val="000000"/>
          <w:szCs w:val="24"/>
        </w:rPr>
        <w:t xml:space="preserve"> </w:t>
      </w:r>
      <w:r w:rsidR="00FB3E3C" w:rsidRPr="00D20DF1">
        <w:rPr>
          <w:rFonts w:eastAsia="Times New Roman" w:cs="Times New Roman"/>
          <w:color w:val="000000"/>
          <w:szCs w:val="24"/>
        </w:rPr>
        <w:t>Programa Nacional de Fortalecimento da Agricultura Familiar</w:t>
      </w:r>
      <w:r w:rsidR="00D20DF1" w:rsidRPr="00D20DF1">
        <w:rPr>
          <w:rFonts w:eastAsia="Times New Roman" w:cs="Times New Roman"/>
          <w:color w:val="000000"/>
          <w:szCs w:val="24"/>
        </w:rPr>
        <w:t xml:space="preserve"> </w:t>
      </w:r>
      <w:r w:rsidR="00FB3E3C">
        <w:rPr>
          <w:rFonts w:eastAsia="Times New Roman" w:cs="Times New Roman"/>
          <w:color w:val="000000"/>
          <w:szCs w:val="24"/>
        </w:rPr>
        <w:t>(</w:t>
      </w:r>
      <w:r w:rsidR="00D20DF1" w:rsidRPr="00D20DF1">
        <w:rPr>
          <w:rFonts w:eastAsia="Times New Roman" w:cs="Times New Roman"/>
          <w:color w:val="000000"/>
          <w:szCs w:val="24"/>
        </w:rPr>
        <w:t>PRONAF</w:t>
      </w:r>
      <w:r w:rsidR="00FB3E3C">
        <w:rPr>
          <w:rFonts w:eastAsia="Times New Roman" w:cs="Times New Roman"/>
          <w:color w:val="000000"/>
          <w:szCs w:val="24"/>
        </w:rPr>
        <w:t>)</w:t>
      </w:r>
      <w:r w:rsidR="00D20DF1" w:rsidRPr="00D20DF1">
        <w:rPr>
          <w:rFonts w:eastAsia="Times New Roman" w:cs="Times New Roman"/>
          <w:color w:val="000000"/>
          <w:szCs w:val="24"/>
        </w:rPr>
        <w:t xml:space="preserve"> se mant</w:t>
      </w:r>
      <w:r>
        <w:rPr>
          <w:rFonts w:eastAsia="Times New Roman" w:cs="Times New Roman"/>
          <w:color w:val="000000"/>
          <w:szCs w:val="24"/>
        </w:rPr>
        <w:t xml:space="preserve">eve </w:t>
      </w:r>
      <w:r w:rsidR="00D20DF1" w:rsidRPr="00D20DF1">
        <w:rPr>
          <w:rFonts w:eastAsia="Times New Roman" w:cs="Times New Roman"/>
          <w:color w:val="000000"/>
          <w:szCs w:val="24"/>
        </w:rPr>
        <w:t>em alt</w:t>
      </w:r>
      <w:r w:rsidR="008D3D52">
        <w:rPr>
          <w:rFonts w:eastAsia="Times New Roman" w:cs="Times New Roman"/>
          <w:color w:val="000000"/>
          <w:szCs w:val="24"/>
        </w:rPr>
        <w:t>a</w:t>
      </w:r>
      <w:r w:rsidR="00D20DF1" w:rsidRPr="00D20DF1">
        <w:rPr>
          <w:rFonts w:eastAsia="Times New Roman" w:cs="Times New Roman"/>
          <w:color w:val="000000"/>
          <w:szCs w:val="24"/>
        </w:rPr>
        <w:t xml:space="preserve"> e expandiu no decorrer dos anos de 2014 a 2016, </w:t>
      </w:r>
      <w:r w:rsidR="008D3D52">
        <w:rPr>
          <w:rFonts w:eastAsia="Times New Roman" w:cs="Times New Roman"/>
          <w:color w:val="000000"/>
          <w:szCs w:val="24"/>
        </w:rPr>
        <w:t xml:space="preserve">passando de </w:t>
      </w:r>
      <w:r w:rsidR="008D3D52" w:rsidRPr="00D20DF1">
        <w:rPr>
          <w:rFonts w:eastAsia="Times New Roman" w:cs="Times New Roman"/>
          <w:color w:val="00000A"/>
          <w:sz w:val="22"/>
          <w:szCs w:val="24"/>
        </w:rPr>
        <w:t>R$16 bilhões na safra 2011/2012 para R$28,9 bilhões na safra 2015/2016</w:t>
      </w:r>
      <w:r w:rsidR="008D3D52">
        <w:rPr>
          <w:rFonts w:eastAsia="Times New Roman" w:cs="Times New Roman"/>
          <w:color w:val="00000A"/>
          <w:sz w:val="22"/>
          <w:szCs w:val="24"/>
        </w:rPr>
        <w:t xml:space="preserve">, </w:t>
      </w:r>
      <w:r w:rsidR="00D20DF1" w:rsidRPr="00D20DF1">
        <w:rPr>
          <w:rFonts w:eastAsia="Times New Roman" w:cs="Times New Roman"/>
          <w:color w:val="000000"/>
          <w:szCs w:val="24"/>
        </w:rPr>
        <w:t>segundo o Relatório Anual de Avaliação do PPA</w:t>
      </w:r>
      <w:r w:rsidR="008D3D52">
        <w:rPr>
          <w:rFonts w:eastAsia="Times New Roman" w:cs="Times New Roman"/>
          <w:color w:val="000000"/>
          <w:szCs w:val="24"/>
        </w:rPr>
        <w:t xml:space="preserve"> que enfatiza outras mudanças qualitativas: </w:t>
      </w:r>
      <w:r w:rsidR="00D20DF1" w:rsidRPr="00D20DF1">
        <w:rPr>
          <w:rFonts w:eastAsia="Times New Roman" w:cs="Times New Roman"/>
          <w:color w:val="00000A"/>
          <w:sz w:val="22"/>
          <w:szCs w:val="24"/>
        </w:rPr>
        <w:t xml:space="preserve"> </w:t>
      </w:r>
      <w:r w:rsidR="008D3D52">
        <w:rPr>
          <w:rFonts w:eastAsia="Times New Roman" w:cs="Times New Roman"/>
          <w:color w:val="00000A"/>
          <w:sz w:val="22"/>
          <w:szCs w:val="24"/>
        </w:rPr>
        <w:t>“</w:t>
      </w:r>
      <w:r w:rsidR="00D20DF1" w:rsidRPr="00D20DF1">
        <w:rPr>
          <w:rFonts w:eastAsia="Times New Roman" w:cs="Times New Roman"/>
          <w:color w:val="00000A"/>
          <w:sz w:val="22"/>
          <w:szCs w:val="24"/>
        </w:rPr>
        <w:t>Paralelamente à evolução do volume de recursos, a política de crédito do Pronaf passou por aperfeiçoamentos importantes com o lançamento de linhas específicas de investimento, como aquelas voltadas para o semiárido e para sistemas de</w:t>
      </w:r>
      <w:r w:rsidR="00756367">
        <w:rPr>
          <w:rFonts w:eastAsia="Times New Roman" w:cs="Times New Roman"/>
          <w:color w:val="00000A"/>
          <w:sz w:val="22"/>
          <w:szCs w:val="24"/>
        </w:rPr>
        <w:t xml:space="preserve"> produção de base agroecológica</w:t>
      </w:r>
      <w:r w:rsidR="008D3D52">
        <w:rPr>
          <w:rFonts w:eastAsia="Times New Roman" w:cs="Times New Roman"/>
          <w:color w:val="00000A"/>
          <w:sz w:val="22"/>
          <w:szCs w:val="24"/>
        </w:rPr>
        <w:t>”</w:t>
      </w:r>
      <w:r w:rsidR="00756367">
        <w:rPr>
          <w:rFonts w:eastAsia="Times New Roman" w:cs="Times New Roman"/>
          <w:color w:val="00000A"/>
          <w:sz w:val="22"/>
          <w:szCs w:val="24"/>
        </w:rPr>
        <w:t xml:space="preserve"> </w:t>
      </w:r>
      <w:r w:rsidR="00D20DF1" w:rsidRPr="00D20DF1">
        <w:rPr>
          <w:rFonts w:eastAsia="Times New Roman" w:cs="Times New Roman"/>
          <w:color w:val="000000"/>
          <w:sz w:val="22"/>
          <w:szCs w:val="24"/>
        </w:rPr>
        <w:t>(</w:t>
      </w:r>
      <w:r w:rsidR="00D20DF1" w:rsidRPr="00155934">
        <w:rPr>
          <w:rFonts w:eastAsia="Times New Roman" w:cs="Times New Roman"/>
          <w:color w:val="00000A"/>
          <w:sz w:val="22"/>
          <w:szCs w:val="24"/>
        </w:rPr>
        <w:t>BRASIL, 2016b</w:t>
      </w:r>
      <w:r w:rsidR="005002E9" w:rsidRPr="00155934">
        <w:rPr>
          <w:rFonts w:eastAsia="Times New Roman" w:cs="Times New Roman"/>
          <w:color w:val="00000A"/>
          <w:sz w:val="22"/>
          <w:szCs w:val="24"/>
        </w:rPr>
        <w:t>,</w:t>
      </w:r>
      <w:r w:rsidR="005002E9">
        <w:rPr>
          <w:rFonts w:eastAsia="Times New Roman" w:cs="Times New Roman"/>
          <w:color w:val="000000"/>
          <w:sz w:val="22"/>
          <w:szCs w:val="24"/>
        </w:rPr>
        <w:t xml:space="preserve"> </w:t>
      </w:r>
      <w:r w:rsidR="00D20DF1" w:rsidRPr="00D20DF1">
        <w:rPr>
          <w:rFonts w:eastAsia="Times New Roman" w:cs="Times New Roman"/>
          <w:color w:val="000000"/>
          <w:sz w:val="22"/>
          <w:szCs w:val="24"/>
        </w:rPr>
        <w:t>p.6)</w:t>
      </w:r>
      <w:r w:rsidR="00756367">
        <w:rPr>
          <w:rFonts w:eastAsia="Times New Roman" w:cs="Times New Roman"/>
          <w:color w:val="000000"/>
          <w:sz w:val="22"/>
          <w:szCs w:val="24"/>
        </w:rPr>
        <w:t>.</w:t>
      </w:r>
      <w:r w:rsidR="008D3D52">
        <w:rPr>
          <w:rFonts w:eastAsia="Times New Roman" w:cs="Times New Roman"/>
          <w:color w:val="000000"/>
          <w:sz w:val="22"/>
          <w:szCs w:val="24"/>
        </w:rPr>
        <w:t xml:space="preserve"> </w:t>
      </w:r>
      <w:r w:rsidR="008D3D52">
        <w:rPr>
          <w:rFonts w:eastAsia="Times New Roman" w:cs="Times New Roman"/>
          <w:color w:val="00000A"/>
          <w:szCs w:val="24"/>
        </w:rPr>
        <w:t>Na sequência, o</w:t>
      </w:r>
      <w:r w:rsidR="00D20DF1" w:rsidRPr="00D20DF1">
        <w:rPr>
          <w:rFonts w:eastAsia="Times New Roman" w:cs="Times New Roman"/>
          <w:color w:val="00000A"/>
          <w:szCs w:val="24"/>
        </w:rPr>
        <w:t xml:space="preserve"> </w:t>
      </w:r>
      <w:r w:rsidR="00FB3E3C">
        <w:rPr>
          <w:rFonts w:eastAsia="Times New Roman" w:cs="Times New Roman"/>
          <w:color w:val="000000"/>
          <w:szCs w:val="24"/>
        </w:rPr>
        <w:t xml:space="preserve">PRONAF </w:t>
      </w:r>
      <w:r w:rsidR="00D20DF1" w:rsidRPr="00D20DF1">
        <w:rPr>
          <w:rFonts w:eastAsia="Times New Roman" w:cs="Times New Roman"/>
          <w:color w:val="000000"/>
          <w:szCs w:val="24"/>
        </w:rPr>
        <w:t>apresentou leves oscilações, e até mesmo ampliação do volume de recursos ao longo dos anos de 2017 a 2019</w:t>
      </w:r>
      <w:r w:rsidR="008D3D52">
        <w:rPr>
          <w:rFonts w:eastAsia="Times New Roman" w:cs="Times New Roman"/>
          <w:color w:val="000000"/>
          <w:szCs w:val="24"/>
        </w:rPr>
        <w:t>.</w:t>
      </w:r>
    </w:p>
    <w:p w14:paraId="1FF208A6" w14:textId="7DE0B5A5" w:rsidR="003150EE" w:rsidRDefault="00756367" w:rsidP="00EE758A">
      <w:pPr>
        <w:rPr>
          <w:rFonts w:eastAsia="Times New Roman" w:cs="Times New Roman"/>
          <w:color w:val="00000A"/>
          <w:szCs w:val="24"/>
        </w:rPr>
      </w:pPr>
      <w:r>
        <w:rPr>
          <w:rFonts w:eastAsia="Times New Roman" w:cs="Times New Roman"/>
          <w:szCs w:val="24"/>
        </w:rPr>
        <w:tab/>
      </w:r>
      <w:r w:rsidR="00605786" w:rsidRPr="00D20DF1">
        <w:rPr>
          <w:rFonts w:eastAsia="Times New Roman" w:cs="Times New Roman"/>
          <w:color w:val="000000"/>
          <w:szCs w:val="24"/>
        </w:rPr>
        <w:t>Já em relação à política de Assistência Técnica e Extensão Rural (ATER), entre os anos de 2014 a 201</w:t>
      </w:r>
      <w:r w:rsidR="00605786">
        <w:rPr>
          <w:rFonts w:eastAsia="Times New Roman" w:cs="Times New Roman"/>
          <w:color w:val="000000"/>
          <w:szCs w:val="24"/>
        </w:rPr>
        <w:t>9</w:t>
      </w:r>
      <w:r w:rsidR="00605786" w:rsidRPr="00D20DF1">
        <w:rPr>
          <w:rFonts w:eastAsia="Times New Roman" w:cs="Times New Roman"/>
          <w:color w:val="000000"/>
          <w:szCs w:val="24"/>
        </w:rPr>
        <w:t xml:space="preserve"> houve um</w:t>
      </w:r>
      <w:r w:rsidR="00605786">
        <w:rPr>
          <w:rFonts w:eastAsia="Times New Roman" w:cs="Times New Roman"/>
          <w:color w:val="000000"/>
          <w:szCs w:val="24"/>
        </w:rPr>
        <w:t xml:space="preserve">a contínua queda de recursos. </w:t>
      </w:r>
      <w:r w:rsidR="00D20DF1" w:rsidRPr="00D20DF1">
        <w:rPr>
          <w:rFonts w:eastAsia="Times New Roman" w:cs="Times New Roman"/>
          <w:color w:val="00000A"/>
          <w:szCs w:val="24"/>
        </w:rPr>
        <w:t xml:space="preserve">Segundo o Relatório Anual de Análise, “no período de 2016 a 2019 foram atendidos 551.910 agricultores familiares, correspondendo a 63% da meta original de 880 mil famílias” (BRASIL, </w:t>
      </w:r>
      <w:r w:rsidR="00D20DF1" w:rsidRPr="00155934">
        <w:rPr>
          <w:rFonts w:eastAsia="Times New Roman" w:cs="Times New Roman"/>
          <w:color w:val="00000A"/>
          <w:szCs w:val="24"/>
        </w:rPr>
        <w:t xml:space="preserve">2020b, </w:t>
      </w:r>
      <w:r w:rsidR="00D20DF1" w:rsidRPr="00D20DF1">
        <w:rPr>
          <w:rFonts w:eastAsia="Times New Roman" w:cs="Times New Roman"/>
          <w:color w:val="00000A"/>
          <w:szCs w:val="24"/>
        </w:rPr>
        <w:t>p. 5), ou seja, não foi capaz de atender ao número proposto inicialmente de famílias agricultoras.</w:t>
      </w:r>
      <w:r w:rsidR="003150EE">
        <w:rPr>
          <w:rFonts w:eastAsia="Times New Roman" w:cs="Times New Roman"/>
          <w:szCs w:val="24"/>
        </w:rPr>
        <w:t xml:space="preserve"> </w:t>
      </w:r>
      <w:r w:rsidR="00D20DF1" w:rsidRPr="00D20DF1">
        <w:rPr>
          <w:rFonts w:eastAsia="Times New Roman" w:cs="Times New Roman"/>
          <w:color w:val="00000A"/>
          <w:szCs w:val="24"/>
        </w:rPr>
        <w:t>De modo geral, no decorrer dos anos</w:t>
      </w:r>
      <w:r w:rsidR="00605786">
        <w:rPr>
          <w:rFonts w:eastAsia="Times New Roman" w:cs="Times New Roman"/>
          <w:color w:val="00000A"/>
          <w:szCs w:val="24"/>
        </w:rPr>
        <w:t>, sobretudo a partir</w:t>
      </w:r>
      <w:r w:rsidR="00D20DF1" w:rsidRPr="00D20DF1">
        <w:rPr>
          <w:rFonts w:eastAsia="Times New Roman" w:cs="Times New Roman"/>
          <w:color w:val="00000A"/>
          <w:szCs w:val="24"/>
        </w:rPr>
        <w:t xml:space="preserve"> de 201</w:t>
      </w:r>
      <w:r w:rsidR="00605786">
        <w:rPr>
          <w:rFonts w:eastAsia="Times New Roman" w:cs="Times New Roman"/>
          <w:color w:val="00000A"/>
          <w:szCs w:val="24"/>
        </w:rPr>
        <w:t>5</w:t>
      </w:r>
      <w:r w:rsidR="00D20DF1" w:rsidRPr="00D20DF1">
        <w:rPr>
          <w:rFonts w:eastAsia="Times New Roman" w:cs="Times New Roman"/>
          <w:color w:val="00000A"/>
          <w:szCs w:val="24"/>
        </w:rPr>
        <w:t xml:space="preserve"> </w:t>
      </w:r>
      <w:r w:rsidR="006C778E">
        <w:rPr>
          <w:rFonts w:eastAsia="Times New Roman" w:cs="Times New Roman"/>
          <w:color w:val="00000A"/>
          <w:szCs w:val="24"/>
        </w:rPr>
        <w:t xml:space="preserve">houve </w:t>
      </w:r>
      <w:r w:rsidR="00605786">
        <w:rPr>
          <w:rFonts w:eastAsia="Times New Roman" w:cs="Times New Roman"/>
          <w:color w:val="00000A"/>
          <w:szCs w:val="24"/>
        </w:rPr>
        <w:t xml:space="preserve">não apenas </w:t>
      </w:r>
      <w:r w:rsidR="00D20DF1" w:rsidRPr="00D20DF1">
        <w:rPr>
          <w:rFonts w:eastAsia="Times New Roman" w:cs="Times New Roman"/>
          <w:color w:val="00000A"/>
          <w:szCs w:val="24"/>
        </w:rPr>
        <w:t xml:space="preserve">a redução </w:t>
      </w:r>
      <w:r w:rsidR="00605786">
        <w:rPr>
          <w:rFonts w:eastAsia="Times New Roman" w:cs="Times New Roman"/>
          <w:color w:val="00000A"/>
          <w:szCs w:val="24"/>
        </w:rPr>
        <w:t xml:space="preserve">de recursos, mas </w:t>
      </w:r>
      <w:r w:rsidR="003150EE">
        <w:rPr>
          <w:rFonts w:eastAsia="Times New Roman" w:cs="Times New Roman"/>
          <w:color w:val="00000A"/>
          <w:szCs w:val="24"/>
        </w:rPr>
        <w:t xml:space="preserve">a </w:t>
      </w:r>
      <w:r w:rsidR="00D20DF1" w:rsidRPr="00D20DF1">
        <w:rPr>
          <w:rFonts w:eastAsia="Times New Roman" w:cs="Times New Roman"/>
          <w:color w:val="00000A"/>
          <w:szCs w:val="24"/>
        </w:rPr>
        <w:t xml:space="preserve">extinção de </w:t>
      </w:r>
      <w:r w:rsidR="00605786">
        <w:rPr>
          <w:rFonts w:eastAsia="Times New Roman" w:cs="Times New Roman"/>
          <w:color w:val="00000A"/>
          <w:szCs w:val="24"/>
        </w:rPr>
        <w:t xml:space="preserve">órgãos e o desmonte de </w:t>
      </w:r>
      <w:r w:rsidR="00D20DF1" w:rsidRPr="00D20DF1">
        <w:rPr>
          <w:rFonts w:eastAsia="Times New Roman" w:cs="Times New Roman"/>
          <w:color w:val="00000A"/>
          <w:szCs w:val="24"/>
        </w:rPr>
        <w:t xml:space="preserve">políticas públicas, restringindo consideravelmente o número de famílias agricultoras </w:t>
      </w:r>
      <w:r w:rsidR="00605786">
        <w:rPr>
          <w:rFonts w:eastAsia="Times New Roman" w:cs="Times New Roman"/>
          <w:color w:val="00000A"/>
          <w:szCs w:val="24"/>
        </w:rPr>
        <w:t>que tinham acesso às mesmas, com exceção do crédito do Pronaf</w:t>
      </w:r>
      <w:r w:rsidR="00D20DF1" w:rsidRPr="00D20DF1">
        <w:rPr>
          <w:rFonts w:eastAsia="Times New Roman" w:cs="Times New Roman"/>
          <w:color w:val="00000A"/>
          <w:szCs w:val="24"/>
        </w:rPr>
        <w:t>.</w:t>
      </w:r>
      <w:r w:rsidR="003150EE">
        <w:rPr>
          <w:rFonts w:eastAsia="Times New Roman" w:cs="Times New Roman"/>
          <w:color w:val="00000A"/>
          <w:szCs w:val="24"/>
        </w:rPr>
        <w:t xml:space="preserve"> </w:t>
      </w:r>
    </w:p>
    <w:p w14:paraId="261AA002" w14:textId="13329BC6" w:rsidR="00D20DF1" w:rsidRPr="003150EE" w:rsidRDefault="003150EE" w:rsidP="00EE758A">
      <w:pPr>
        <w:rPr>
          <w:rFonts w:eastAsia="Times New Roman" w:cs="Times New Roman"/>
          <w:szCs w:val="24"/>
        </w:rPr>
      </w:pPr>
      <w:r>
        <w:rPr>
          <w:rFonts w:eastAsia="Times New Roman" w:cs="Times New Roman"/>
          <w:color w:val="00000A"/>
          <w:szCs w:val="24"/>
        </w:rPr>
        <w:tab/>
      </w:r>
      <w:r w:rsidR="00D20DF1" w:rsidRPr="00D20DF1">
        <w:rPr>
          <w:rFonts w:eastAsia="Times New Roman" w:cs="Times New Roman"/>
          <w:color w:val="00000A"/>
          <w:szCs w:val="24"/>
        </w:rPr>
        <w:t xml:space="preserve">Quanto ao programa de Segurança Alimentar e Nutricional (cód. 2069) no período de 2014 a 2019, </w:t>
      </w:r>
      <w:r w:rsidR="00EE758A" w:rsidRPr="00D20DF1">
        <w:rPr>
          <w:rFonts w:eastAsia="Times New Roman" w:cs="Times New Roman"/>
          <w:color w:val="00000A"/>
          <w:szCs w:val="24"/>
        </w:rPr>
        <w:t xml:space="preserve">destacamos dois objetivos principais: a) </w:t>
      </w:r>
      <w:r w:rsidR="00EE758A" w:rsidRPr="00D20DF1">
        <w:rPr>
          <w:rFonts w:eastAsia="Times New Roman" w:cs="Times New Roman"/>
          <w:color w:val="000000"/>
          <w:szCs w:val="24"/>
        </w:rPr>
        <w:t>promover o acesso à alimentação adequada e fomentar a inclusão socioeconômica de agricultores familiares, mulheres rurais, povos e comunidades tradicionais e povos indígenas, a partir da inserção desses povos e da promoção do abastecimento, com o Progr</w:t>
      </w:r>
      <w:r w:rsidR="00EE758A">
        <w:rPr>
          <w:rFonts w:eastAsia="Times New Roman" w:cs="Times New Roman"/>
          <w:color w:val="000000"/>
          <w:szCs w:val="24"/>
        </w:rPr>
        <w:t>ama de Aquisição de Alimentos (</w:t>
      </w:r>
      <w:r w:rsidR="00EE758A" w:rsidRPr="00D20DF1">
        <w:rPr>
          <w:rFonts w:eastAsia="Times New Roman" w:cs="Times New Roman"/>
          <w:color w:val="000000"/>
          <w:szCs w:val="24"/>
        </w:rPr>
        <w:t>PAA</w:t>
      </w:r>
      <w:r w:rsidR="00EE758A">
        <w:rPr>
          <w:rFonts w:eastAsia="Times New Roman" w:cs="Times New Roman"/>
          <w:color w:val="000000"/>
          <w:szCs w:val="24"/>
        </w:rPr>
        <w:t>)</w:t>
      </w:r>
      <w:r w:rsidR="00EE758A" w:rsidRPr="00D20DF1">
        <w:rPr>
          <w:rFonts w:eastAsia="Times New Roman" w:cs="Times New Roman"/>
          <w:color w:val="000000"/>
          <w:szCs w:val="24"/>
        </w:rPr>
        <w:t xml:space="preserve">; e b) garantir o acesso à água para populações rurais de forma a promover qualidade e quantidade suficientes à segurança alimentar e </w:t>
      </w:r>
      <w:r w:rsidR="00EE758A" w:rsidRPr="00D20DF1">
        <w:rPr>
          <w:rFonts w:eastAsia="Times New Roman" w:cs="Times New Roman"/>
          <w:color w:val="000000"/>
          <w:szCs w:val="24"/>
        </w:rPr>
        <w:lastRenderedPageBreak/>
        <w:t>nutricional.</w:t>
      </w:r>
      <w:r w:rsidR="00EE758A">
        <w:rPr>
          <w:rFonts w:eastAsia="Times New Roman" w:cs="Times New Roman"/>
          <w:color w:val="000000"/>
          <w:szCs w:val="24"/>
        </w:rPr>
        <w:t xml:space="preserve"> De modo geral, conforme </w:t>
      </w:r>
      <w:r w:rsidR="00D20DF1" w:rsidRPr="00D20DF1">
        <w:rPr>
          <w:rFonts w:eastAsia="Times New Roman" w:cs="Times New Roman"/>
          <w:color w:val="00000A"/>
          <w:szCs w:val="24"/>
        </w:rPr>
        <w:t xml:space="preserve">verifica-se no Gráfico 03, </w:t>
      </w:r>
      <w:r w:rsidR="00EE758A">
        <w:rPr>
          <w:rFonts w:eastAsia="Times New Roman" w:cs="Times New Roman"/>
          <w:color w:val="00000A"/>
          <w:szCs w:val="24"/>
        </w:rPr>
        <w:t xml:space="preserve">houve </w:t>
      </w:r>
      <w:r w:rsidR="00D20DF1" w:rsidRPr="00D20DF1">
        <w:rPr>
          <w:rFonts w:eastAsia="Times New Roman" w:cs="Times New Roman"/>
          <w:color w:val="00000A"/>
          <w:szCs w:val="24"/>
        </w:rPr>
        <w:t>uma forte redução dos recursos disponíveis</w:t>
      </w:r>
      <w:r w:rsidR="00EE758A">
        <w:rPr>
          <w:rFonts w:eastAsia="Times New Roman" w:cs="Times New Roman"/>
          <w:color w:val="00000A"/>
          <w:szCs w:val="24"/>
        </w:rPr>
        <w:t xml:space="preserve"> no Programa</w:t>
      </w:r>
      <w:r w:rsidR="00E72D46">
        <w:rPr>
          <w:rFonts w:eastAsia="Times New Roman" w:cs="Times New Roman"/>
          <w:color w:val="00000A"/>
          <w:szCs w:val="24"/>
        </w:rPr>
        <w:t xml:space="preserve"> no período de 2014 a 2019</w:t>
      </w:r>
      <w:r w:rsidR="00D20DF1" w:rsidRPr="00D20DF1">
        <w:rPr>
          <w:rFonts w:eastAsia="Times New Roman" w:cs="Times New Roman"/>
          <w:color w:val="00000A"/>
          <w:szCs w:val="24"/>
        </w:rPr>
        <w:t>. </w:t>
      </w:r>
      <w:r w:rsidR="00EE758A">
        <w:rPr>
          <w:rFonts w:eastAsia="Times New Roman" w:cs="Times New Roman"/>
          <w:color w:val="00000A"/>
          <w:szCs w:val="24"/>
        </w:rPr>
        <w:t xml:space="preserve"> </w:t>
      </w:r>
    </w:p>
    <w:p w14:paraId="7A9F76D3" w14:textId="529E7789" w:rsidR="005B4294" w:rsidRDefault="005B4294" w:rsidP="00EE758A">
      <w:pPr>
        <w:rPr>
          <w:rFonts w:eastAsia="Times New Roman" w:cs="Times New Roman"/>
          <w:color w:val="FF0000"/>
          <w:szCs w:val="24"/>
        </w:rPr>
      </w:pPr>
      <w:r w:rsidRPr="00E278CD">
        <w:rPr>
          <w:rFonts w:cs="Times New Roman"/>
          <w:noProof/>
        </w:rPr>
        <w:drawing>
          <wp:inline distT="0" distB="0" distL="0" distR="0" wp14:anchorId="245C986A" wp14:editId="4AC3FD92">
            <wp:extent cx="5760085" cy="3559523"/>
            <wp:effectExtent l="0" t="0" r="12065" b="317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A96D53" w14:textId="77777777" w:rsidR="00D37344" w:rsidRPr="00016B2A" w:rsidRDefault="00D37344" w:rsidP="00EE758A">
      <w:pPr>
        <w:spacing w:line="240" w:lineRule="auto"/>
        <w:rPr>
          <w:rFonts w:cs="Times New Roman"/>
          <w:sz w:val="20"/>
          <w:szCs w:val="20"/>
        </w:rPr>
      </w:pPr>
      <w:r w:rsidRPr="00016B2A">
        <w:rPr>
          <w:rFonts w:cs="Times New Roman"/>
          <w:b/>
          <w:bCs/>
          <w:sz w:val="20"/>
          <w:szCs w:val="20"/>
        </w:rPr>
        <w:t>Fonte:</w:t>
      </w:r>
      <w:r w:rsidRPr="00016B2A">
        <w:rPr>
          <w:rFonts w:cs="Times New Roman"/>
          <w:sz w:val="20"/>
          <w:szCs w:val="20"/>
        </w:rPr>
        <w:t xml:space="preserve"> Sistema Integrado de Orçamento e Planejamento (SIOP) do Governo Federal. Consulta Livre. Elaboração própria.</w:t>
      </w:r>
    </w:p>
    <w:p w14:paraId="01D3E3D2" w14:textId="77777777" w:rsidR="00D37344" w:rsidRPr="00016B2A" w:rsidRDefault="00D37344" w:rsidP="00EE758A">
      <w:pPr>
        <w:spacing w:line="240" w:lineRule="auto"/>
        <w:rPr>
          <w:rFonts w:cs="Times New Roman"/>
          <w:sz w:val="20"/>
          <w:szCs w:val="20"/>
        </w:rPr>
      </w:pPr>
      <w:r w:rsidRPr="00016B2A">
        <w:rPr>
          <w:rFonts w:cs="Times New Roman"/>
          <w:sz w:val="20"/>
          <w:szCs w:val="20"/>
        </w:rPr>
        <w:t>Obs.: Valores de 2014 a 2018 corrigidos pelo IPCA (referência no acumulado de Dez/2019). Valores de 2019 são nominais.</w:t>
      </w:r>
    </w:p>
    <w:p w14:paraId="24D021B2" w14:textId="77777777" w:rsidR="00D37344" w:rsidRPr="00D20DF1" w:rsidRDefault="00D37344" w:rsidP="00EE758A">
      <w:pPr>
        <w:rPr>
          <w:rFonts w:eastAsia="Times New Roman" w:cs="Times New Roman"/>
          <w:color w:val="FF0000"/>
          <w:szCs w:val="24"/>
        </w:rPr>
      </w:pPr>
    </w:p>
    <w:p w14:paraId="28C31125" w14:textId="13F510CF" w:rsidR="00207368" w:rsidRDefault="00D20DF1" w:rsidP="00EE758A">
      <w:pPr>
        <w:rPr>
          <w:rFonts w:eastAsia="Times New Roman" w:cs="Times New Roman"/>
          <w:szCs w:val="24"/>
        </w:rPr>
      </w:pPr>
      <w:r>
        <w:rPr>
          <w:rFonts w:eastAsia="Times New Roman" w:cs="Times New Roman"/>
          <w:color w:val="00000A"/>
          <w:szCs w:val="24"/>
        </w:rPr>
        <w:tab/>
      </w:r>
      <w:r w:rsidR="00605786">
        <w:rPr>
          <w:rFonts w:eastAsia="Times New Roman" w:cs="Times New Roman"/>
          <w:color w:val="000000"/>
          <w:szCs w:val="24"/>
        </w:rPr>
        <w:t>S</w:t>
      </w:r>
      <w:r w:rsidRPr="00D20DF1">
        <w:rPr>
          <w:rFonts w:eastAsia="Times New Roman" w:cs="Times New Roman"/>
          <w:color w:val="000000"/>
          <w:szCs w:val="24"/>
        </w:rPr>
        <w:t xml:space="preserve">egundo o PPA 2012 - 2015, o Programa de Aquisição de Alimentos (PAA) se configura entre as ações do Plano Nacional de Agroecologia que visa a </w:t>
      </w:r>
      <w:r w:rsidRPr="00D20DF1">
        <w:rPr>
          <w:rFonts w:eastAsia="Times New Roman" w:cs="Times New Roman"/>
          <w:color w:val="00000A"/>
          <w:szCs w:val="24"/>
        </w:rPr>
        <w:t xml:space="preserve">dinamização do mercado da produção agroecológica e produtos orgânicos, para isso, foram realizadas atividades para o público da agricultura familiar e </w:t>
      </w:r>
      <w:r w:rsidRPr="00605786">
        <w:rPr>
          <w:rFonts w:eastAsia="Times New Roman" w:cs="Times New Roman"/>
          <w:color w:val="00000A"/>
          <w:szCs w:val="24"/>
        </w:rPr>
        <w:t xml:space="preserve">formação para técnicos que lidam com este público. </w:t>
      </w:r>
      <w:r w:rsidR="00605786" w:rsidRPr="00605786">
        <w:rPr>
          <w:rFonts w:eastAsia="Times New Roman" w:cs="Times New Roman"/>
          <w:color w:val="00000A"/>
          <w:szCs w:val="24"/>
        </w:rPr>
        <w:t>O</w:t>
      </w:r>
      <w:r w:rsidRPr="00605786">
        <w:rPr>
          <w:rFonts w:eastAsia="Times New Roman" w:cs="Times New Roman"/>
          <w:color w:val="00000A"/>
          <w:szCs w:val="24"/>
        </w:rPr>
        <w:t xml:space="preserve"> Relatório Anual de 2014, </w:t>
      </w:r>
      <w:r w:rsidR="00605786" w:rsidRPr="00605786">
        <w:rPr>
          <w:rFonts w:eastAsia="Times New Roman" w:cs="Times New Roman"/>
          <w:color w:val="00000A"/>
          <w:szCs w:val="24"/>
        </w:rPr>
        <w:t xml:space="preserve">indica que </w:t>
      </w:r>
      <w:r w:rsidRPr="00605786">
        <w:rPr>
          <w:rFonts w:eastAsia="Times New Roman" w:cs="Times New Roman"/>
          <w:color w:val="00000A"/>
          <w:szCs w:val="24"/>
        </w:rPr>
        <w:t xml:space="preserve">o MDS atendeu, de forma regular, a 260.768 famílias em todos os Estados da Federação” (BRASIL, </w:t>
      </w:r>
      <w:r w:rsidR="00155934" w:rsidRPr="00605786">
        <w:rPr>
          <w:rFonts w:eastAsia="Times New Roman" w:cs="Times New Roman"/>
          <w:color w:val="00000A"/>
          <w:szCs w:val="24"/>
        </w:rPr>
        <w:t>2015</w:t>
      </w:r>
      <w:r w:rsidRPr="00605786">
        <w:rPr>
          <w:rFonts w:eastAsia="Times New Roman" w:cs="Times New Roman"/>
          <w:color w:val="00000A"/>
          <w:szCs w:val="24"/>
        </w:rPr>
        <w:t>a, p. 153)</w:t>
      </w:r>
      <w:r w:rsidR="00DD5E0B" w:rsidRPr="00605786">
        <w:rPr>
          <w:rFonts w:eastAsia="Times New Roman" w:cs="Times New Roman"/>
          <w:color w:val="00000A"/>
          <w:szCs w:val="24"/>
        </w:rPr>
        <w:t>.</w:t>
      </w:r>
      <w:r w:rsidR="00604176">
        <w:rPr>
          <w:rFonts w:eastAsia="Times New Roman" w:cs="Times New Roman"/>
          <w:color w:val="00000A"/>
          <w:szCs w:val="24"/>
        </w:rPr>
        <w:t xml:space="preserve"> Na sequência, porém, </w:t>
      </w:r>
      <w:r w:rsidR="00604176" w:rsidRPr="00D20DF1">
        <w:rPr>
          <w:rFonts w:eastAsia="Times New Roman" w:cs="Times New Roman"/>
          <w:color w:val="00000A"/>
          <w:szCs w:val="24"/>
        </w:rPr>
        <w:t xml:space="preserve">apesar de afirmar ter havido muitos avanços em relação ao Programa Temático da Segurança Alimentar e Nutricional, </w:t>
      </w:r>
      <w:r w:rsidR="00604176">
        <w:rPr>
          <w:rFonts w:eastAsia="Times New Roman" w:cs="Times New Roman"/>
          <w:color w:val="00000A"/>
          <w:szCs w:val="24"/>
        </w:rPr>
        <w:t>ocorreu uma</w:t>
      </w:r>
      <w:r w:rsidR="00604176" w:rsidRPr="00D20DF1">
        <w:rPr>
          <w:rFonts w:eastAsia="Times New Roman" w:cs="Times New Roman"/>
          <w:color w:val="00000A"/>
          <w:szCs w:val="24"/>
        </w:rPr>
        <w:t xml:space="preserve"> queda contínua dos investimentos e consequentemente do acesso</w:t>
      </w:r>
      <w:r w:rsidR="00604176">
        <w:rPr>
          <w:rFonts w:eastAsia="Times New Roman" w:cs="Times New Roman"/>
          <w:color w:val="00000A"/>
          <w:szCs w:val="24"/>
        </w:rPr>
        <w:t xml:space="preserve"> de agricultores familiares ao Programa</w:t>
      </w:r>
      <w:r w:rsidR="00604176" w:rsidRPr="00D20DF1">
        <w:rPr>
          <w:rFonts w:eastAsia="Times New Roman" w:cs="Times New Roman"/>
          <w:color w:val="00000A"/>
          <w:szCs w:val="24"/>
        </w:rPr>
        <w:t>.</w:t>
      </w:r>
      <w:r w:rsidR="00E72D46">
        <w:rPr>
          <w:rFonts w:eastAsia="Times New Roman" w:cs="Times New Roman"/>
          <w:color w:val="00000A"/>
          <w:szCs w:val="24"/>
        </w:rPr>
        <w:t xml:space="preserve"> </w:t>
      </w:r>
      <w:r w:rsidRPr="00D20DF1">
        <w:rPr>
          <w:rFonts w:eastAsia="Times New Roman" w:cs="Times New Roman"/>
          <w:color w:val="00000A"/>
          <w:szCs w:val="24"/>
        </w:rPr>
        <w:t>O Relatório Anual de Análise afirmou que, em 2016 um dos principais desafios e objetivos seria alcançar os 30% previstos na aquisição de alimentos por órgãos públicos com a inserção do Programa Na</w:t>
      </w:r>
      <w:r w:rsidR="003150EE">
        <w:rPr>
          <w:rFonts w:eastAsia="Times New Roman" w:cs="Times New Roman"/>
          <w:color w:val="00000A"/>
          <w:szCs w:val="24"/>
        </w:rPr>
        <w:t>cional de Alimentação Escolar (</w:t>
      </w:r>
      <w:r w:rsidRPr="00D20DF1">
        <w:rPr>
          <w:rFonts w:eastAsia="Times New Roman" w:cs="Times New Roman"/>
          <w:color w:val="00000A"/>
          <w:szCs w:val="24"/>
        </w:rPr>
        <w:t>PNAE</w:t>
      </w:r>
      <w:r w:rsidR="003150EE">
        <w:rPr>
          <w:rFonts w:eastAsia="Times New Roman" w:cs="Times New Roman"/>
          <w:color w:val="00000A"/>
          <w:szCs w:val="24"/>
        </w:rPr>
        <w:t>)</w:t>
      </w:r>
      <w:r w:rsidRPr="00D20DF1">
        <w:rPr>
          <w:rFonts w:eastAsia="Times New Roman" w:cs="Times New Roman"/>
          <w:color w:val="00000A"/>
          <w:szCs w:val="24"/>
        </w:rPr>
        <w:t xml:space="preserve">, contudo não foi alcançado. </w:t>
      </w:r>
    </w:p>
    <w:p w14:paraId="78633245" w14:textId="03523B54" w:rsidR="00604176" w:rsidRDefault="00207368" w:rsidP="00EE758A">
      <w:pPr>
        <w:rPr>
          <w:rFonts w:eastAsia="Times New Roman" w:cs="Times New Roman"/>
          <w:szCs w:val="24"/>
        </w:rPr>
      </w:pPr>
      <w:r>
        <w:rPr>
          <w:rFonts w:eastAsia="Times New Roman" w:cs="Times New Roman"/>
          <w:szCs w:val="24"/>
        </w:rPr>
        <w:lastRenderedPageBreak/>
        <w:tab/>
      </w:r>
      <w:r w:rsidR="00D20DF1" w:rsidRPr="00D20DF1">
        <w:rPr>
          <w:rFonts w:eastAsia="Times New Roman" w:cs="Times New Roman"/>
          <w:color w:val="00000A"/>
          <w:szCs w:val="24"/>
        </w:rPr>
        <w:t xml:space="preserve">Em relação às políticas de Acesso à Água para Populações Rurais, o Relatório Final de Análise </w:t>
      </w:r>
      <w:r w:rsidR="00604176">
        <w:rPr>
          <w:rFonts w:eastAsia="Times New Roman" w:cs="Times New Roman"/>
          <w:color w:val="00000A"/>
          <w:szCs w:val="24"/>
        </w:rPr>
        <w:t xml:space="preserve">de execução do PPA 2012 – 2015 </w:t>
      </w:r>
      <w:r w:rsidR="00155934" w:rsidRPr="00155934">
        <w:rPr>
          <w:rFonts w:eastAsia="Times New Roman" w:cs="Times New Roman"/>
          <w:color w:val="00000A"/>
          <w:szCs w:val="24"/>
        </w:rPr>
        <w:t>(BRASIL, 2015b</w:t>
      </w:r>
      <w:r w:rsidR="00D20DF1" w:rsidRPr="00D20DF1">
        <w:rPr>
          <w:rFonts w:eastAsia="Times New Roman" w:cs="Times New Roman"/>
          <w:color w:val="00000A"/>
          <w:szCs w:val="24"/>
        </w:rPr>
        <w:t>), afirmou que no decorrer dos anos foram entregues mais de 700 mil cisternas e 1,7 mil sistemas coletivos, tecnologias essas concent</w:t>
      </w:r>
      <w:r w:rsidR="00D96C13">
        <w:rPr>
          <w:rFonts w:eastAsia="Times New Roman" w:cs="Times New Roman"/>
          <w:color w:val="00000A"/>
          <w:szCs w:val="24"/>
        </w:rPr>
        <w:t>radas basicamente no S</w:t>
      </w:r>
      <w:r w:rsidR="00D20DF1" w:rsidRPr="00D20DF1">
        <w:rPr>
          <w:rFonts w:eastAsia="Times New Roman" w:cs="Times New Roman"/>
          <w:color w:val="00000A"/>
          <w:szCs w:val="24"/>
        </w:rPr>
        <w:t>emiárido brasileiro. No entanto, as políticas de acesso à água para populações rurais entre os anos de 2014 e 2015 tiveram uma redução de 58% do investimento, somando uma redução de aproximadamente um bilhão, duzentos e vinte milhões de reais. </w:t>
      </w:r>
      <w:r w:rsidR="00604176">
        <w:rPr>
          <w:rFonts w:eastAsia="Times New Roman" w:cs="Times New Roman"/>
          <w:color w:val="00000A"/>
          <w:szCs w:val="24"/>
        </w:rPr>
        <w:t>Na sequência os cortes orçamentários foram aprofundados, conforme o Gráfico 04.</w:t>
      </w:r>
    </w:p>
    <w:p w14:paraId="6F99D52A" w14:textId="2D5ED936" w:rsidR="00D20DF1" w:rsidRDefault="00D20DF1" w:rsidP="00EE758A">
      <w:pPr>
        <w:rPr>
          <w:rFonts w:eastAsia="Times New Roman" w:cs="Times New Roman"/>
          <w:color w:val="00000A"/>
          <w:szCs w:val="24"/>
        </w:rPr>
      </w:pPr>
      <w:r>
        <w:rPr>
          <w:rFonts w:eastAsia="Times New Roman" w:cs="Times New Roman"/>
          <w:color w:val="00000A"/>
          <w:szCs w:val="24"/>
        </w:rPr>
        <w:tab/>
      </w:r>
      <w:r w:rsidRPr="00D20DF1">
        <w:rPr>
          <w:rFonts w:eastAsia="Times New Roman" w:cs="Times New Roman"/>
          <w:color w:val="00000A"/>
          <w:szCs w:val="24"/>
        </w:rPr>
        <w:t>Segundo o relatório de execução do PPA para o ano de 2016, 55.885 famílias foram beneficiadas pela entrega de novas cisternas, sendo 54.095 implantada</w:t>
      </w:r>
      <w:r w:rsidR="00655DC9">
        <w:rPr>
          <w:rFonts w:eastAsia="Times New Roman" w:cs="Times New Roman"/>
          <w:color w:val="00000A"/>
          <w:szCs w:val="24"/>
        </w:rPr>
        <w:t>s no território abrangido pelo S</w:t>
      </w:r>
      <w:r w:rsidRPr="00D20DF1">
        <w:rPr>
          <w:rFonts w:eastAsia="Times New Roman" w:cs="Times New Roman"/>
          <w:color w:val="00000A"/>
          <w:szCs w:val="24"/>
        </w:rPr>
        <w:t xml:space="preserve">emiárido brasileiro, além de 1.504 cisternas que foram implantadas </w:t>
      </w:r>
      <w:r>
        <w:rPr>
          <w:rFonts w:eastAsia="Times New Roman" w:cs="Times New Roman"/>
          <w:color w:val="00000A"/>
          <w:szCs w:val="24"/>
        </w:rPr>
        <w:t xml:space="preserve">em escolas rurais do </w:t>
      </w:r>
      <w:r w:rsidR="00655DC9">
        <w:rPr>
          <w:rFonts w:eastAsia="Times New Roman" w:cs="Times New Roman"/>
          <w:color w:val="00000A"/>
          <w:szCs w:val="24"/>
        </w:rPr>
        <w:t>S</w:t>
      </w:r>
      <w:r>
        <w:rPr>
          <w:rFonts w:eastAsia="Times New Roman" w:cs="Times New Roman"/>
          <w:color w:val="00000A"/>
          <w:szCs w:val="24"/>
        </w:rPr>
        <w:t>emiárido.</w:t>
      </w:r>
    </w:p>
    <w:p w14:paraId="7B939142" w14:textId="081C916E" w:rsidR="00D20DF1" w:rsidRPr="00207368" w:rsidRDefault="00D20DF1" w:rsidP="00016B2A">
      <w:pPr>
        <w:pStyle w:val="Citao"/>
      </w:pPr>
      <w:r w:rsidRPr="00207368">
        <w:t>E</w:t>
      </w:r>
      <w:r w:rsidRPr="00D20DF1">
        <w:t>m 2016, foram implantados, ainda, 267 sistemas coletivos de abastecimento, pelo MI, destacando-se, no entanto, o baixo ritmo de execução dessa ação decorrente do cenário de restrições financeiras do primeiro ano do PPA, que, caso permaneça para os próximos anos, pode inviabilizar o alcance da meta de 13 mil</w:t>
      </w:r>
      <w:r w:rsidR="00207368">
        <w:t xml:space="preserve"> sistemas até o final de 2019</w:t>
      </w:r>
      <w:r w:rsidRPr="00D20DF1">
        <w:t xml:space="preserve"> (BRASIL, 2016b, p.187)</w:t>
      </w:r>
      <w:r w:rsidR="00207368">
        <w:t>.</w:t>
      </w:r>
    </w:p>
    <w:p w14:paraId="01F7D641" w14:textId="6D5BFD7D" w:rsidR="00AA5A18" w:rsidRDefault="00D838A5" w:rsidP="00EE758A">
      <w:pPr>
        <w:rPr>
          <w:rFonts w:eastAsia="Times New Roman" w:cs="Times New Roman"/>
          <w:szCs w:val="24"/>
        </w:rPr>
      </w:pPr>
      <w:r>
        <w:rPr>
          <w:rFonts w:eastAsia="Times New Roman" w:cs="Times New Roman"/>
          <w:szCs w:val="24"/>
        </w:rPr>
        <w:tab/>
      </w:r>
      <w:r w:rsidR="00AA5A18" w:rsidRPr="00E278CD">
        <w:rPr>
          <w:rFonts w:cs="Times New Roman"/>
          <w:noProof/>
        </w:rPr>
        <w:drawing>
          <wp:inline distT="0" distB="0" distL="0" distR="0" wp14:anchorId="213A3411" wp14:editId="7EBA99F8">
            <wp:extent cx="5760085" cy="3659247"/>
            <wp:effectExtent l="0" t="0" r="12065" b="1778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CC6149" w14:textId="474F1E31" w:rsidR="00AA5A18" w:rsidRPr="00455653" w:rsidRDefault="00455653" w:rsidP="00E72D46">
      <w:pPr>
        <w:spacing w:line="240" w:lineRule="auto"/>
        <w:rPr>
          <w:rFonts w:eastAsia="Times New Roman" w:cs="Times New Roman"/>
          <w:sz w:val="28"/>
          <w:szCs w:val="24"/>
        </w:rPr>
      </w:pPr>
      <w:r w:rsidRPr="00016B2A">
        <w:rPr>
          <w:rFonts w:cs="Times New Roman"/>
          <w:b/>
          <w:bCs/>
          <w:sz w:val="20"/>
          <w:szCs w:val="20"/>
        </w:rPr>
        <w:t>Fonte:</w:t>
      </w:r>
      <w:r w:rsidRPr="00016B2A">
        <w:rPr>
          <w:rFonts w:cs="Times New Roman"/>
          <w:sz w:val="20"/>
          <w:szCs w:val="20"/>
        </w:rPr>
        <w:t xml:space="preserve"> Secretaria de Avaliação e Gestão da Informação e Cadastro Único. Ministério do Desenvolvimento e Assistência Social, Família e Combate à Fome.  Elaboração Própria</w:t>
      </w:r>
      <w:r w:rsidRPr="00455653">
        <w:rPr>
          <w:rFonts w:cs="Times New Roman"/>
          <w:sz w:val="22"/>
        </w:rPr>
        <w:t>.</w:t>
      </w:r>
    </w:p>
    <w:p w14:paraId="41460A61" w14:textId="77777777" w:rsidR="00455653" w:rsidRDefault="00455653" w:rsidP="00EE758A">
      <w:pPr>
        <w:rPr>
          <w:rFonts w:eastAsia="Times New Roman" w:cs="Times New Roman"/>
          <w:color w:val="00000A"/>
          <w:szCs w:val="24"/>
        </w:rPr>
      </w:pPr>
    </w:p>
    <w:p w14:paraId="562AC161" w14:textId="1AED4BDD" w:rsidR="00CA021E" w:rsidRDefault="00455653" w:rsidP="00EE758A">
      <w:pPr>
        <w:rPr>
          <w:rFonts w:eastAsia="Times New Roman" w:cs="Times New Roman"/>
          <w:color w:val="00000A"/>
          <w:szCs w:val="24"/>
        </w:rPr>
      </w:pPr>
      <w:r>
        <w:rPr>
          <w:rFonts w:eastAsia="Times New Roman" w:cs="Times New Roman"/>
          <w:color w:val="00000A"/>
          <w:szCs w:val="24"/>
        </w:rPr>
        <w:tab/>
      </w:r>
      <w:r w:rsidR="00CA021E">
        <w:rPr>
          <w:rFonts w:eastAsia="Times New Roman" w:cs="Times New Roman"/>
          <w:color w:val="00000A"/>
          <w:szCs w:val="24"/>
        </w:rPr>
        <w:t xml:space="preserve">O gráfico </w:t>
      </w:r>
      <w:r w:rsidR="00604176">
        <w:rPr>
          <w:rFonts w:eastAsia="Times New Roman" w:cs="Times New Roman"/>
          <w:color w:val="00000A"/>
          <w:szCs w:val="24"/>
        </w:rPr>
        <w:t xml:space="preserve">4 </w:t>
      </w:r>
      <w:r w:rsidR="00CA021E">
        <w:rPr>
          <w:rFonts w:eastAsia="Times New Roman" w:cs="Times New Roman"/>
          <w:color w:val="00000A"/>
          <w:szCs w:val="24"/>
        </w:rPr>
        <w:t xml:space="preserve">ilustra o total acumulado e agregado por ano de cisternas entregues </w:t>
      </w:r>
      <w:r w:rsidR="00604176" w:rsidRPr="00CA021E">
        <w:rPr>
          <w:rFonts w:eastAsia="Times New Roman" w:cs="Times New Roman"/>
          <w:color w:val="00000A"/>
          <w:szCs w:val="24"/>
        </w:rPr>
        <w:t>pelo Governo Federal</w:t>
      </w:r>
      <w:r w:rsidR="00604176">
        <w:rPr>
          <w:rFonts w:eastAsia="Times New Roman" w:cs="Times New Roman"/>
          <w:color w:val="00000A"/>
          <w:szCs w:val="24"/>
        </w:rPr>
        <w:t xml:space="preserve"> </w:t>
      </w:r>
      <w:r w:rsidR="00CA021E">
        <w:rPr>
          <w:rFonts w:eastAsia="Times New Roman" w:cs="Times New Roman"/>
          <w:color w:val="00000A"/>
          <w:szCs w:val="24"/>
        </w:rPr>
        <w:t xml:space="preserve">durante os anos de 2012 a 2019. </w:t>
      </w:r>
      <w:r w:rsidR="00CA021E" w:rsidRPr="00CA021E">
        <w:rPr>
          <w:rFonts w:eastAsia="Times New Roman" w:cs="Times New Roman"/>
          <w:color w:val="00000A"/>
          <w:szCs w:val="24"/>
        </w:rPr>
        <w:t>De fato, desde 2015 vem sendo reduzido o número de cisternas por ano. Porém, a situação se agrava a partir de 2017, quando o total de</w:t>
      </w:r>
      <w:r w:rsidR="00CA021E">
        <w:rPr>
          <w:rFonts w:eastAsia="Times New Roman" w:cs="Times New Roman"/>
          <w:color w:val="00000A"/>
          <w:szCs w:val="24"/>
        </w:rPr>
        <w:t xml:space="preserve"> </w:t>
      </w:r>
      <w:r w:rsidR="00CA021E" w:rsidRPr="00CA021E">
        <w:rPr>
          <w:rFonts w:eastAsia="Times New Roman" w:cs="Times New Roman"/>
          <w:color w:val="00000A"/>
          <w:szCs w:val="24"/>
        </w:rPr>
        <w:t>cisternas entregues corresponde a menos de 50% do verificado em 2014, e piora ainda</w:t>
      </w:r>
      <w:r w:rsidR="00CA021E">
        <w:rPr>
          <w:rFonts w:eastAsia="Times New Roman" w:cs="Times New Roman"/>
          <w:color w:val="00000A"/>
          <w:szCs w:val="24"/>
        </w:rPr>
        <w:t xml:space="preserve"> </w:t>
      </w:r>
      <w:r w:rsidR="00CA021E" w:rsidRPr="00CA021E">
        <w:rPr>
          <w:rFonts w:eastAsia="Times New Roman" w:cs="Times New Roman"/>
          <w:color w:val="00000A"/>
          <w:szCs w:val="24"/>
        </w:rPr>
        <w:t xml:space="preserve">nos dois anos seguintes com apenas 1⁄4 em </w:t>
      </w:r>
      <w:r w:rsidR="00604176">
        <w:rPr>
          <w:rFonts w:eastAsia="Times New Roman" w:cs="Times New Roman"/>
          <w:color w:val="00000A"/>
          <w:szCs w:val="24"/>
        </w:rPr>
        <w:t xml:space="preserve">relação a </w:t>
      </w:r>
      <w:r w:rsidR="00CA021E" w:rsidRPr="00CA021E">
        <w:rPr>
          <w:rFonts w:eastAsia="Times New Roman" w:cs="Times New Roman"/>
          <w:color w:val="00000A"/>
          <w:szCs w:val="24"/>
        </w:rPr>
        <w:t>2014.</w:t>
      </w:r>
      <w:r w:rsidR="00402E2A">
        <w:rPr>
          <w:rFonts w:eastAsia="Times New Roman" w:cs="Times New Roman"/>
          <w:color w:val="00000A"/>
          <w:szCs w:val="24"/>
        </w:rPr>
        <w:t xml:space="preserve"> Vale destacar </w:t>
      </w:r>
      <w:r w:rsidR="004872C2">
        <w:rPr>
          <w:rFonts w:eastAsia="Times New Roman" w:cs="Times New Roman"/>
          <w:color w:val="00000A"/>
          <w:szCs w:val="24"/>
        </w:rPr>
        <w:t xml:space="preserve">também </w:t>
      </w:r>
      <w:r w:rsidR="00402E2A">
        <w:rPr>
          <w:rFonts w:eastAsia="Times New Roman" w:cs="Times New Roman"/>
          <w:color w:val="00000A"/>
          <w:szCs w:val="24"/>
        </w:rPr>
        <w:t xml:space="preserve">que </w:t>
      </w:r>
      <w:r w:rsidR="00402E2A">
        <w:t>essa tecnologia social tem o poder de mitigar os impactos das secas, reduzindo a dependência da população em relação a fontes de água distantes e muitas vezes escassas.</w:t>
      </w:r>
      <w:r w:rsidR="004872C2">
        <w:t xml:space="preserve"> A diminuição dos investimentos para construção de cisternas impacta diretamente na vida das famílias sertanejas representando um retrocesso nas políticas de segurança hídrica e no enfrentamento das desigualdades regionais.</w:t>
      </w:r>
    </w:p>
    <w:p w14:paraId="1EDAF02C" w14:textId="47394FDB" w:rsidR="00D838A5" w:rsidRPr="00E72D46" w:rsidRDefault="00803257" w:rsidP="00E72D46">
      <w:pPr>
        <w:rPr>
          <w:rFonts w:eastAsia="Times New Roman" w:cs="Times New Roman"/>
          <w:color w:val="000000"/>
          <w:szCs w:val="24"/>
        </w:rPr>
      </w:pPr>
      <w:r>
        <w:rPr>
          <w:rFonts w:eastAsia="Times New Roman" w:cs="Times New Roman"/>
          <w:color w:val="000000"/>
          <w:szCs w:val="24"/>
        </w:rPr>
        <w:tab/>
      </w:r>
      <w:r w:rsidR="00D20DF1" w:rsidRPr="00D20DF1">
        <w:rPr>
          <w:rFonts w:eastAsia="Times New Roman" w:cs="Times New Roman"/>
          <w:color w:val="000000"/>
          <w:szCs w:val="24"/>
        </w:rPr>
        <w:t>O Programa Oferta de Água (código 2051) do PPA 2012-2015 visava aumentar a oferta de água para combater a insegurança hídrica e garantir o abastecimento humano. No quadriênio seguinte (PPA 2016-2019) passou a ser nominado de Programa Recursos Hídricos (código 2084). O relatório de execução do referido Programa para o exercício de 2017, destacou que:</w:t>
      </w:r>
      <w:r w:rsidR="00E72D46">
        <w:rPr>
          <w:rFonts w:eastAsia="Times New Roman" w:cs="Times New Roman"/>
          <w:color w:val="000000"/>
          <w:szCs w:val="24"/>
        </w:rPr>
        <w:t xml:space="preserve"> “[...] </w:t>
      </w:r>
      <w:r w:rsidR="00D20DF1" w:rsidRPr="00E72D46">
        <w:rPr>
          <w:rFonts w:eastAsia="Times New Roman" w:cs="Times New Roman"/>
          <w:color w:val="000000"/>
          <w:szCs w:val="24"/>
        </w:rPr>
        <w:t xml:space="preserve">torna-se imprescindível a conclusão de obras estruturantes de </w:t>
      </w:r>
      <w:r w:rsidRPr="00E72D46">
        <w:rPr>
          <w:rFonts w:eastAsia="Times New Roman" w:cs="Times New Roman"/>
          <w:color w:val="000000"/>
          <w:szCs w:val="24"/>
        </w:rPr>
        <w:t>p</w:t>
      </w:r>
      <w:r w:rsidR="00D20DF1" w:rsidRPr="00E72D46">
        <w:rPr>
          <w:rFonts w:eastAsia="Times New Roman" w:cs="Times New Roman"/>
          <w:color w:val="000000"/>
          <w:szCs w:val="24"/>
        </w:rPr>
        <w:t>reservação e adução de água, [...] e garantir o bem-estar da população atendendo às necessidades do desenvolvimento socioeconômico</w:t>
      </w:r>
      <w:r w:rsidR="00E72D46">
        <w:rPr>
          <w:rFonts w:eastAsia="Times New Roman" w:cs="Times New Roman"/>
          <w:color w:val="000000"/>
          <w:szCs w:val="24"/>
        </w:rPr>
        <w:t>”</w:t>
      </w:r>
      <w:r w:rsidR="00D20DF1" w:rsidRPr="00E72D46">
        <w:rPr>
          <w:rFonts w:eastAsia="Times New Roman" w:cs="Times New Roman"/>
          <w:color w:val="000000"/>
          <w:szCs w:val="24"/>
        </w:rPr>
        <w:t xml:space="preserve"> (BRASIL, 2018a, p.263).</w:t>
      </w:r>
    </w:p>
    <w:p w14:paraId="2A6BAD9E" w14:textId="6D089080" w:rsidR="00BF2059" w:rsidRDefault="00D838A5" w:rsidP="00EE758A">
      <w:pPr>
        <w:rPr>
          <w:rFonts w:eastAsia="Times New Roman" w:cs="Times New Roman"/>
          <w:color w:val="000000"/>
          <w:szCs w:val="24"/>
        </w:rPr>
      </w:pPr>
      <w:r w:rsidRPr="00E72D46">
        <w:rPr>
          <w:rFonts w:eastAsia="Times New Roman" w:cs="Times New Roman"/>
          <w:sz w:val="28"/>
          <w:szCs w:val="24"/>
        </w:rPr>
        <w:tab/>
      </w:r>
      <w:r w:rsidR="00D20DF1" w:rsidRPr="00D20DF1">
        <w:rPr>
          <w:rFonts w:eastAsia="Times New Roman" w:cs="Times New Roman"/>
          <w:color w:val="000000"/>
          <w:szCs w:val="24"/>
        </w:rPr>
        <w:t xml:space="preserve">Dessa forma, foram estudados os objetivos 0479, que “propõe ampliar a oferta de água para usos múltiplos por meio de infraestruturas hídricas” (BRASIL, 2016b, p.697), e o 0480 que “visa garantir a operação e a funcionalidade das infraestruturas hídricas por meio de sua recuperação e manutenção com ações de recuperação que contemplam a reabilitação de estruturas danificadas” (BRASIL, 2017, p.343-344). </w:t>
      </w:r>
    </w:p>
    <w:p w14:paraId="503C9C21" w14:textId="404D5C80" w:rsidR="00D838A5" w:rsidRDefault="00BF2059" w:rsidP="00EE758A">
      <w:pPr>
        <w:rPr>
          <w:rFonts w:eastAsia="Times New Roman" w:cs="Times New Roman"/>
          <w:color w:val="000000"/>
          <w:szCs w:val="24"/>
        </w:rPr>
      </w:pPr>
      <w:r>
        <w:rPr>
          <w:rFonts w:eastAsia="Times New Roman" w:cs="Times New Roman"/>
          <w:color w:val="000000"/>
          <w:szCs w:val="24"/>
        </w:rPr>
        <w:tab/>
      </w:r>
      <w:r w:rsidR="00D20DF1" w:rsidRPr="00D20DF1">
        <w:rPr>
          <w:rFonts w:eastAsia="Times New Roman" w:cs="Times New Roman"/>
          <w:color w:val="000000"/>
          <w:szCs w:val="24"/>
        </w:rPr>
        <w:t xml:space="preserve">O relatório do PPA publicado em 2015 destaca que 23% do planejamento inicial já havia sido concluído, beneficiando 69 municípios do nordeste “em regiões com déficit hídrico por meio de obras estruturantes para a oferta de água, planejadas para resolver por longo período os problemas associados a esse déficit” (BRASIL, 2016b, p.697). Já com relação ao objetivo 0480, o relatório do PPA de 2019 salienta o desafio de garantir a funcionalidade das infraestruturas hídricas que passaram por </w:t>
      </w:r>
      <w:r w:rsidR="00D20DF1" w:rsidRPr="00D20DF1">
        <w:rPr>
          <w:rFonts w:eastAsia="Times New Roman" w:cs="Times New Roman"/>
          <w:color w:val="000000"/>
          <w:szCs w:val="24"/>
        </w:rPr>
        <w:lastRenderedPageBreak/>
        <w:t>manutenção é “viabilizar a sua sustentabilidade econômica, pela caracterização serviços prestados e pela recuperação dos custos, de forma que os empreendedores reúnam os meios para a operação e manutenção segura das barragens e sistemas adutores”</w:t>
      </w:r>
      <w:r w:rsidR="00207368">
        <w:rPr>
          <w:rFonts w:eastAsia="Times New Roman" w:cs="Times New Roman"/>
          <w:color w:val="000000"/>
          <w:szCs w:val="24"/>
        </w:rPr>
        <w:t xml:space="preserve"> </w:t>
      </w:r>
      <w:r w:rsidR="00D20DF1" w:rsidRPr="00D20DF1">
        <w:rPr>
          <w:rFonts w:eastAsia="Times New Roman" w:cs="Times New Roman"/>
          <w:color w:val="000000"/>
          <w:szCs w:val="24"/>
        </w:rPr>
        <w:t xml:space="preserve">(BRASIL, </w:t>
      </w:r>
      <w:r w:rsidR="00D20DF1" w:rsidRPr="00155934">
        <w:rPr>
          <w:rFonts w:eastAsia="Times New Roman" w:cs="Times New Roman"/>
          <w:color w:val="000000"/>
          <w:szCs w:val="24"/>
        </w:rPr>
        <w:t>2020a,</w:t>
      </w:r>
      <w:r w:rsidR="00D20DF1" w:rsidRPr="00D20DF1">
        <w:rPr>
          <w:rFonts w:eastAsia="Times New Roman" w:cs="Times New Roman"/>
          <w:color w:val="FF0000"/>
          <w:szCs w:val="24"/>
        </w:rPr>
        <w:t xml:space="preserve"> </w:t>
      </w:r>
      <w:r w:rsidR="00D20DF1" w:rsidRPr="00D20DF1">
        <w:rPr>
          <w:rFonts w:eastAsia="Times New Roman" w:cs="Times New Roman"/>
          <w:color w:val="000000"/>
          <w:szCs w:val="24"/>
        </w:rPr>
        <w:t>p.377).</w:t>
      </w:r>
    </w:p>
    <w:p w14:paraId="376DF2DA" w14:textId="418ABC38" w:rsidR="00D838A5" w:rsidRPr="00BF2059" w:rsidRDefault="00D838A5" w:rsidP="00EE758A">
      <w:pPr>
        <w:rPr>
          <w:rFonts w:eastAsia="Times New Roman" w:cs="Times New Roman"/>
          <w:color w:val="000000"/>
          <w:szCs w:val="24"/>
        </w:rPr>
      </w:pPr>
      <w:r>
        <w:rPr>
          <w:rFonts w:eastAsia="Times New Roman" w:cs="Times New Roman"/>
          <w:color w:val="000000"/>
          <w:szCs w:val="24"/>
        </w:rPr>
        <w:tab/>
      </w:r>
      <w:r w:rsidR="00D20DF1" w:rsidRPr="00D20DF1">
        <w:rPr>
          <w:rFonts w:eastAsia="Times New Roman" w:cs="Times New Roman"/>
          <w:color w:val="000000"/>
          <w:szCs w:val="24"/>
        </w:rPr>
        <w:t xml:space="preserve">Já a execução orçamentária para o objetivo 0479 recebeu valores muito superiores ao objetivo 0480. O motivo para essa disparidade na utilização do recurso está bastante claro nos </w:t>
      </w:r>
      <w:proofErr w:type="spellStart"/>
      <w:r w:rsidR="00D20DF1" w:rsidRPr="00D20DF1">
        <w:rPr>
          <w:rFonts w:eastAsia="Times New Roman" w:cs="Times New Roman"/>
          <w:color w:val="000000"/>
          <w:szCs w:val="24"/>
        </w:rPr>
        <w:t>PPAs</w:t>
      </w:r>
      <w:proofErr w:type="spellEnd"/>
      <w:r w:rsidR="00D20DF1" w:rsidRPr="00D20DF1">
        <w:rPr>
          <w:rFonts w:eastAsia="Times New Roman" w:cs="Times New Roman"/>
          <w:color w:val="000000"/>
          <w:szCs w:val="24"/>
        </w:rPr>
        <w:t>:</w:t>
      </w:r>
      <w:r w:rsidR="00BF2059">
        <w:rPr>
          <w:rFonts w:eastAsia="Times New Roman" w:cs="Times New Roman"/>
          <w:color w:val="000000"/>
          <w:szCs w:val="24"/>
        </w:rPr>
        <w:t xml:space="preserve"> “</w:t>
      </w:r>
      <w:r w:rsidR="00D20DF1" w:rsidRPr="00BF2059">
        <w:rPr>
          <w:rFonts w:eastAsia="Times New Roman" w:cs="Times New Roman"/>
          <w:color w:val="000000"/>
          <w:szCs w:val="24"/>
        </w:rPr>
        <w:t>O Governo tem dado prioridade à execução do PISF</w:t>
      </w:r>
      <w:r w:rsidR="00E5483B" w:rsidRPr="00BF2059">
        <w:rPr>
          <w:rStyle w:val="Refdenotaderodap"/>
          <w:rFonts w:eastAsia="Times New Roman" w:cs="Times New Roman"/>
          <w:color w:val="000000"/>
          <w:szCs w:val="24"/>
        </w:rPr>
        <w:footnoteReference w:id="5"/>
      </w:r>
      <w:r w:rsidR="00D20DF1" w:rsidRPr="00BF2059">
        <w:rPr>
          <w:rFonts w:eastAsia="Times New Roman" w:cs="Times New Roman"/>
          <w:color w:val="000000"/>
          <w:szCs w:val="24"/>
        </w:rPr>
        <w:t>, pois trata-se do empreendimento que garantirá segurança hídrica aos estados beneficiados. O empreendimento encontra-se 82,7% concluído até dezembro de 2015</w:t>
      </w:r>
      <w:r w:rsidR="00BF2059">
        <w:rPr>
          <w:rFonts w:eastAsia="Times New Roman" w:cs="Times New Roman"/>
          <w:color w:val="000000"/>
          <w:szCs w:val="24"/>
        </w:rPr>
        <w:t>”</w:t>
      </w:r>
      <w:r w:rsidR="00D20DF1" w:rsidRPr="00BF2059">
        <w:rPr>
          <w:rFonts w:eastAsia="Times New Roman" w:cs="Times New Roman"/>
          <w:color w:val="000000"/>
          <w:szCs w:val="24"/>
        </w:rPr>
        <w:t xml:space="preserve"> (BRASIL, 2016b, p.699). </w:t>
      </w:r>
    </w:p>
    <w:p w14:paraId="100A6D50" w14:textId="3E09D225" w:rsidR="00D838A5" w:rsidRDefault="00D838A5" w:rsidP="00EE758A">
      <w:pPr>
        <w:rPr>
          <w:rFonts w:eastAsia="Times New Roman" w:cs="Times New Roman"/>
          <w:szCs w:val="24"/>
        </w:rPr>
      </w:pPr>
      <w:r>
        <w:rPr>
          <w:rFonts w:eastAsia="Times New Roman" w:cs="Times New Roman"/>
          <w:szCs w:val="24"/>
        </w:rPr>
        <w:tab/>
      </w:r>
      <w:r w:rsidR="00803257">
        <w:rPr>
          <w:rFonts w:eastAsia="Times New Roman" w:cs="Times New Roman"/>
          <w:color w:val="000000"/>
          <w:szCs w:val="24"/>
        </w:rPr>
        <w:t xml:space="preserve">De fato, o </w:t>
      </w:r>
      <w:r w:rsidR="00D20DF1" w:rsidRPr="00D20DF1">
        <w:rPr>
          <w:rFonts w:eastAsia="Times New Roman" w:cs="Times New Roman"/>
          <w:color w:val="000000"/>
          <w:szCs w:val="24"/>
        </w:rPr>
        <w:t xml:space="preserve">Projeto de </w:t>
      </w:r>
      <w:r w:rsidR="00803257">
        <w:rPr>
          <w:rFonts w:eastAsia="Times New Roman" w:cs="Times New Roman"/>
          <w:color w:val="000000"/>
          <w:szCs w:val="24"/>
        </w:rPr>
        <w:t>Integração do Rio São Francisco (PISF) é</w:t>
      </w:r>
      <w:r w:rsidR="00D20DF1" w:rsidRPr="00D20DF1">
        <w:rPr>
          <w:rFonts w:eastAsia="Times New Roman" w:cs="Times New Roman"/>
          <w:color w:val="000000"/>
          <w:szCs w:val="24"/>
        </w:rPr>
        <w:t xml:space="preserve"> a principal obra de infraestrutura hídrica do país com 477 quilômetros de extensão dividida nos eixos leste e norte. O seu propósito é levar água para 12 milhões de pessoas em 390 municípios nos estados de Pernambuco, Ceará, Rio Grande do Norte e Paraíba, além de garantir o abastecimento por longo prazo de grandes centros urbanos da região e de centenas de pequenas</w:t>
      </w:r>
      <w:r w:rsidR="00803257">
        <w:rPr>
          <w:rFonts w:eastAsia="Times New Roman" w:cs="Times New Roman"/>
          <w:color w:val="000000"/>
          <w:szCs w:val="24"/>
        </w:rPr>
        <w:t xml:space="preserve"> e médias cidades inseridas no S</w:t>
      </w:r>
      <w:r w:rsidR="00D20DF1" w:rsidRPr="00D20DF1">
        <w:rPr>
          <w:rFonts w:eastAsia="Times New Roman" w:cs="Times New Roman"/>
          <w:color w:val="000000"/>
          <w:szCs w:val="24"/>
        </w:rPr>
        <w:t>emiárido (BRASIL, 2016b). Mesmo que as obras do PISF estejam relacionadas com o objetivo referente ao aumento de infraestrutura hídrica, as obras do objetivo que trata da manutenção das infraestruturas já existentes também estão ligadas ao PISF, reiterando a importância que o governo deu para essa iniciativa</w:t>
      </w:r>
      <w:r>
        <w:rPr>
          <w:rFonts w:eastAsia="Times New Roman" w:cs="Times New Roman"/>
          <w:color w:val="000000"/>
          <w:szCs w:val="24"/>
        </w:rPr>
        <w:t>.</w:t>
      </w:r>
    </w:p>
    <w:p w14:paraId="7B1060EA" w14:textId="1640E3F0" w:rsidR="00D838A5" w:rsidRDefault="00D838A5" w:rsidP="00EE758A">
      <w:pPr>
        <w:rPr>
          <w:rFonts w:eastAsia="Times New Roman" w:cs="Times New Roman"/>
          <w:szCs w:val="24"/>
        </w:rPr>
      </w:pPr>
      <w:r>
        <w:rPr>
          <w:rFonts w:eastAsia="Times New Roman" w:cs="Times New Roman"/>
          <w:color w:val="000000"/>
          <w:szCs w:val="24"/>
        </w:rPr>
        <w:tab/>
      </w:r>
      <w:r w:rsidR="00D20DF1" w:rsidRPr="00D20DF1">
        <w:rPr>
          <w:rFonts w:eastAsia="Times New Roman" w:cs="Times New Roman"/>
          <w:color w:val="000000"/>
          <w:szCs w:val="24"/>
        </w:rPr>
        <w:t>Ainda no âmbito desta meta, insere-se a operação e a manutenção do PISF e, também, as ações de recuperação dos reservatórios estratégicos para a integração do Rio São Francisco. Diante da constatação da situação de deterioração e inadequação de muitos açudes existente</w:t>
      </w:r>
      <w:r w:rsidR="00803257">
        <w:rPr>
          <w:rFonts w:eastAsia="Times New Roman" w:cs="Times New Roman"/>
          <w:color w:val="000000"/>
          <w:szCs w:val="24"/>
        </w:rPr>
        <w:t>s nos estados atendidos pelo PISF</w:t>
      </w:r>
      <w:r w:rsidR="00D20DF1" w:rsidRPr="00D20DF1">
        <w:rPr>
          <w:rFonts w:eastAsia="Times New Roman" w:cs="Times New Roman"/>
          <w:color w:val="000000"/>
          <w:szCs w:val="24"/>
        </w:rPr>
        <w:t xml:space="preserve"> e frente ao reconhecimento da importância de que tais estruturas estejam em condições apropriadas para o recebimento das águas transpostas, garantindo a maior efetividade possível à distribuição e ao aproveitamento dos recursos hídricos na região beneficiada. (BRASIL, </w:t>
      </w:r>
      <w:r w:rsidR="00D20DF1" w:rsidRPr="00155934">
        <w:rPr>
          <w:rFonts w:eastAsia="Times New Roman" w:cs="Times New Roman"/>
          <w:color w:val="000000"/>
          <w:szCs w:val="24"/>
        </w:rPr>
        <w:t>2017,</w:t>
      </w:r>
      <w:r w:rsidR="00D20DF1" w:rsidRPr="00D20DF1">
        <w:rPr>
          <w:rFonts w:eastAsia="Times New Roman" w:cs="Times New Roman"/>
          <w:color w:val="FF0000"/>
          <w:szCs w:val="24"/>
        </w:rPr>
        <w:t xml:space="preserve"> </w:t>
      </w:r>
      <w:r w:rsidR="00D20DF1" w:rsidRPr="00D20DF1">
        <w:rPr>
          <w:rFonts w:eastAsia="Times New Roman" w:cs="Times New Roman"/>
          <w:color w:val="000000"/>
          <w:szCs w:val="24"/>
        </w:rPr>
        <w:t>p.348).</w:t>
      </w:r>
    </w:p>
    <w:p w14:paraId="3E62DC75" w14:textId="77777777" w:rsidR="007D3554" w:rsidRPr="00D838A5" w:rsidRDefault="00D838A5" w:rsidP="00EE758A">
      <w:pPr>
        <w:rPr>
          <w:rFonts w:eastAsia="Times New Roman" w:cs="Times New Roman"/>
          <w:szCs w:val="24"/>
        </w:rPr>
      </w:pPr>
      <w:r>
        <w:rPr>
          <w:rFonts w:eastAsia="Times New Roman" w:cs="Times New Roman"/>
          <w:szCs w:val="24"/>
        </w:rPr>
        <w:tab/>
      </w:r>
      <w:r w:rsidR="00D20DF1" w:rsidRPr="00D20DF1">
        <w:rPr>
          <w:rFonts w:eastAsia="Times New Roman" w:cs="Times New Roman"/>
          <w:color w:val="000000"/>
          <w:szCs w:val="24"/>
        </w:rPr>
        <w:t xml:space="preserve">As obras referentes ao objetivo de revitalizar infraestruturas hídricas existentes que não estavam relacionadas ao PISF tiveram pouca ou nenhuma </w:t>
      </w:r>
      <w:r w:rsidR="00D20DF1" w:rsidRPr="00D20DF1">
        <w:rPr>
          <w:rFonts w:eastAsia="Times New Roman" w:cs="Times New Roman"/>
          <w:color w:val="000000"/>
          <w:szCs w:val="24"/>
        </w:rPr>
        <w:lastRenderedPageBreak/>
        <w:t>atenção. Esse fato é evidenciado pela insignificante execução orçamentária do objetivo e pela breve exposição das ações para esse objetivo, destacando no geral o que ainda será implementado. </w:t>
      </w:r>
    </w:p>
    <w:p w14:paraId="211224A6" w14:textId="77777777" w:rsidR="009527FF" w:rsidRDefault="009527FF" w:rsidP="00016B2A">
      <w:pPr>
        <w:pStyle w:val="Ttulo1"/>
      </w:pPr>
    </w:p>
    <w:p w14:paraId="71B03A42" w14:textId="77777777" w:rsidR="00BD2956" w:rsidRDefault="001277F9" w:rsidP="00016B2A">
      <w:pPr>
        <w:pStyle w:val="Ttulo1"/>
        <w:rPr>
          <w:rFonts w:cs="Times New Roman"/>
          <w:spacing w:val="-2"/>
          <w:szCs w:val="24"/>
        </w:rPr>
      </w:pPr>
      <w:r>
        <w:rPr>
          <w:rFonts w:cs="Times New Roman"/>
          <w:spacing w:val="-2"/>
          <w:szCs w:val="24"/>
        </w:rPr>
        <w:t xml:space="preserve">5 </w:t>
      </w:r>
      <w:r>
        <w:t>CONSIDERAÇÕES FINAIS</w:t>
      </w:r>
    </w:p>
    <w:p w14:paraId="5014B20C" w14:textId="77777777" w:rsidR="009527FF" w:rsidRDefault="009527FF" w:rsidP="00EE758A">
      <w:pPr>
        <w:ind w:firstLine="851"/>
        <w:rPr>
          <w:rFonts w:eastAsia="Times New Roman" w:cs="Times New Roman"/>
          <w:color w:val="000000"/>
        </w:rPr>
      </w:pPr>
    </w:p>
    <w:p w14:paraId="10B7FA4E" w14:textId="19290EC7" w:rsidR="00D838A5" w:rsidRPr="00D838A5" w:rsidRDefault="00D838A5" w:rsidP="00EE758A">
      <w:pPr>
        <w:ind w:firstLine="851"/>
        <w:rPr>
          <w:rFonts w:eastAsia="Arial" w:cs="Times New Roman"/>
          <w:spacing w:val="-2"/>
          <w:sz w:val="28"/>
          <w:szCs w:val="24"/>
        </w:rPr>
      </w:pPr>
      <w:r w:rsidRPr="00D838A5">
        <w:rPr>
          <w:rFonts w:eastAsia="Times New Roman" w:cs="Times New Roman"/>
          <w:color w:val="000000"/>
        </w:rPr>
        <w:t xml:space="preserve">O presente estudo verificou que os efeitos do ajuste fiscal não são os mesmos e nem possuem a mesma intensidade em todos os programas estudados, ou seja, possuem seletividade, já que algumas execuções orçamentárias se distinguiam das outras </w:t>
      </w:r>
      <w:r w:rsidR="00016B2A" w:rsidRPr="00D838A5">
        <w:rPr>
          <w:rFonts w:eastAsia="Times New Roman" w:cs="Times New Roman"/>
          <w:color w:val="000000"/>
        </w:rPr>
        <w:t>pela manutenção</w:t>
      </w:r>
      <w:r w:rsidRPr="00D838A5">
        <w:rPr>
          <w:rFonts w:eastAsia="Times New Roman" w:cs="Times New Roman"/>
          <w:color w:val="000000"/>
        </w:rPr>
        <w:t xml:space="preserve"> ou aumento dos valores financeiros efetivamente pagos. Isso expõe a forma como o contexto neoliberal lida com as diferentes políticas públicas de formas variadas, uma vez que as ações voltadas para o Semiárido, ao beneficiar também o agronegócio, fortalecem a perspectiva hegemônica de modernização da agricultura empresarial na região, em detrimento das demais políticas de convivência com o Semiárido que trariam mais benefícios para o segmento da agricultura familiar.</w:t>
      </w:r>
    </w:p>
    <w:p w14:paraId="7D0A2D6B" w14:textId="77777777" w:rsidR="003F0059" w:rsidRDefault="00D838A5" w:rsidP="00EE758A">
      <w:pPr>
        <w:ind w:firstLine="851"/>
        <w:rPr>
          <w:rFonts w:eastAsia="Times New Roman" w:cs="Times New Roman"/>
          <w:color w:val="000000"/>
        </w:rPr>
      </w:pPr>
      <w:r w:rsidRPr="00D838A5">
        <w:rPr>
          <w:rFonts w:eastAsia="Times New Roman" w:cs="Times New Roman"/>
          <w:color w:val="000000"/>
        </w:rPr>
        <w:t>Portanto, o orçamento público expresso na forma de fundo público é visto como muito atrativo para financiar essas ações de interesse do capital tendo como fim a supressão de direitos sociais, sem que haja diálogo prévio com os reais impactados. Cabe destacar também que o ajuste fiscal é visto como a única alternativa pelos governos neoliberais, quando na verdade existem outras possibilidades voltadas para a ampliação da receita, como o combate à sonegação fiscal, a lavagem de dinheiro, a implementação de impostos sobre heranças, doações e fortunas, além de uma maior progressividade sobre o imposto de renda. Entretanto, tais ações não são consideradas pelos impactos negativos que podem causar ao capital. Já os impactos à população sertaneja, não são devidamente considerados no neoliberalismo.</w:t>
      </w:r>
    </w:p>
    <w:p w14:paraId="0A7D4CB9" w14:textId="77777777" w:rsidR="00BD2956" w:rsidRDefault="001277F9" w:rsidP="00016B2A">
      <w:pPr>
        <w:pStyle w:val="Ttulo1"/>
      </w:pPr>
      <w:r>
        <w:t xml:space="preserve">REFERÊNCIAS </w:t>
      </w:r>
    </w:p>
    <w:p w14:paraId="0FD19BEE" w14:textId="77777777" w:rsidR="009527FF" w:rsidRDefault="009527FF" w:rsidP="00EE758A">
      <w:pPr>
        <w:pStyle w:val="NormalWeb"/>
        <w:spacing w:before="0" w:beforeAutospacing="0" w:after="0" w:afterAutospacing="0"/>
        <w:rPr>
          <w:color w:val="000000"/>
          <w:shd w:val="clear" w:color="auto" w:fill="FFFFFF"/>
        </w:rPr>
      </w:pPr>
    </w:p>
    <w:p w14:paraId="03F50996" w14:textId="77777777" w:rsidR="00CF37C9" w:rsidRDefault="00264505" w:rsidP="00EE758A">
      <w:pPr>
        <w:pStyle w:val="NormalWeb"/>
        <w:spacing w:before="0" w:beforeAutospacing="0" w:after="0" w:afterAutospacing="0"/>
        <w:rPr>
          <w:color w:val="000000"/>
          <w:shd w:val="clear" w:color="auto" w:fill="FFFFFF"/>
        </w:rPr>
      </w:pPr>
      <w:r w:rsidRPr="00264505">
        <w:rPr>
          <w:color w:val="000000"/>
          <w:shd w:val="clear" w:color="auto" w:fill="FFFFFF"/>
        </w:rPr>
        <w:t>AQUINO, J. R. &amp; SILVA, R. M. A. O Semiárido rural e a atuação do BNB: trajetória, panorama recente e desafios. In Valente Junior, A. S., Alves, M. O., &amp; Santos, C. R. C. dos (</w:t>
      </w:r>
      <w:proofErr w:type="spellStart"/>
      <w:r w:rsidRPr="00264505">
        <w:rPr>
          <w:color w:val="000000"/>
          <w:shd w:val="clear" w:color="auto" w:fill="FFFFFF"/>
        </w:rPr>
        <w:t>Orgs</w:t>
      </w:r>
      <w:proofErr w:type="spellEnd"/>
      <w:r w:rsidRPr="00264505">
        <w:rPr>
          <w:color w:val="000000"/>
          <w:shd w:val="clear" w:color="auto" w:fill="FFFFFF"/>
        </w:rPr>
        <w:t xml:space="preserve">.). </w:t>
      </w:r>
      <w:r w:rsidRPr="00264505">
        <w:rPr>
          <w:b/>
          <w:color w:val="000000"/>
          <w:shd w:val="clear" w:color="auto" w:fill="FFFFFF"/>
        </w:rPr>
        <w:t>Banco do Nordeste do Brasil: 70 anos de contribuição para o desenvolvimento regional</w:t>
      </w:r>
      <w:r w:rsidRPr="00264505">
        <w:rPr>
          <w:color w:val="000000"/>
          <w:shd w:val="clear" w:color="auto" w:fill="FFFFFF"/>
        </w:rPr>
        <w:t>. Fortaleza: Banco do Nordeste do Brasil, 2022. p. 64-103.</w:t>
      </w:r>
      <w:r w:rsidR="00CF37C9">
        <w:rPr>
          <w:color w:val="000000"/>
          <w:shd w:val="clear" w:color="auto" w:fill="FFFFFF"/>
        </w:rPr>
        <w:t xml:space="preserve"> </w:t>
      </w:r>
    </w:p>
    <w:p w14:paraId="4E6F4C05" w14:textId="77777777" w:rsidR="00B87BB4" w:rsidRDefault="00B87BB4" w:rsidP="00EE758A">
      <w:pPr>
        <w:pStyle w:val="NormalWeb"/>
        <w:spacing w:before="0" w:beforeAutospacing="0" w:after="0" w:afterAutospacing="0"/>
        <w:rPr>
          <w:color w:val="000000"/>
          <w:szCs w:val="22"/>
          <w:shd w:val="clear" w:color="auto" w:fill="FFFFFF"/>
        </w:rPr>
      </w:pPr>
    </w:p>
    <w:p w14:paraId="6A7D71B1" w14:textId="52753AD7" w:rsidR="00CF37C9" w:rsidRPr="00CF37C9" w:rsidRDefault="00CF37C9" w:rsidP="00EE758A">
      <w:pPr>
        <w:pStyle w:val="NormalWeb"/>
        <w:spacing w:before="0" w:beforeAutospacing="0" w:after="0" w:afterAutospacing="0"/>
        <w:rPr>
          <w:color w:val="000000"/>
          <w:sz w:val="28"/>
          <w:shd w:val="clear" w:color="auto" w:fill="FFFFFF"/>
        </w:rPr>
      </w:pPr>
      <w:r w:rsidRPr="00CF37C9">
        <w:rPr>
          <w:color w:val="000000"/>
          <w:szCs w:val="22"/>
          <w:shd w:val="clear" w:color="auto" w:fill="FFFFFF"/>
        </w:rPr>
        <w:lastRenderedPageBreak/>
        <w:t xml:space="preserve">ANDERSON, P. Balanço do neoliberalismo. </w:t>
      </w:r>
      <w:r w:rsidRPr="00F06F44">
        <w:rPr>
          <w:color w:val="000000"/>
          <w:szCs w:val="22"/>
          <w:shd w:val="clear" w:color="auto" w:fill="FFFFFF"/>
          <w:lang w:val="es-ES"/>
        </w:rPr>
        <w:t>In: SADER, Emir &amp; GENTILI, Pablo (</w:t>
      </w:r>
      <w:proofErr w:type="spellStart"/>
      <w:r w:rsidRPr="00F06F44">
        <w:rPr>
          <w:color w:val="000000"/>
          <w:szCs w:val="22"/>
          <w:shd w:val="clear" w:color="auto" w:fill="FFFFFF"/>
          <w:lang w:val="es-ES"/>
        </w:rPr>
        <w:t>orgs</w:t>
      </w:r>
      <w:proofErr w:type="spellEnd"/>
      <w:r w:rsidRPr="00F06F44">
        <w:rPr>
          <w:color w:val="000000"/>
          <w:szCs w:val="22"/>
          <w:shd w:val="clear" w:color="auto" w:fill="FFFFFF"/>
          <w:lang w:val="es-ES"/>
        </w:rPr>
        <w:t xml:space="preserve">.). </w:t>
      </w:r>
      <w:r w:rsidRPr="00CF37C9">
        <w:rPr>
          <w:b/>
          <w:bCs/>
          <w:color w:val="000000"/>
          <w:szCs w:val="22"/>
          <w:shd w:val="clear" w:color="auto" w:fill="FFFFFF"/>
        </w:rPr>
        <w:t>Pós-neoliberalismo</w:t>
      </w:r>
      <w:r w:rsidRPr="00CF37C9">
        <w:rPr>
          <w:color w:val="000000"/>
          <w:szCs w:val="22"/>
          <w:shd w:val="clear" w:color="auto" w:fill="FFFFFF"/>
        </w:rPr>
        <w:t>: as políticas sociais e o Estado democrático. Rio de Janeiro: Paz e Terra, 1995. p. 9-23</w:t>
      </w:r>
    </w:p>
    <w:p w14:paraId="1EC43EF3" w14:textId="77777777" w:rsidR="00B87BB4" w:rsidRDefault="00B87BB4" w:rsidP="00EE758A">
      <w:pPr>
        <w:pStyle w:val="NormalWeb"/>
        <w:spacing w:before="0" w:beforeAutospacing="0" w:after="0" w:afterAutospacing="0"/>
        <w:rPr>
          <w:color w:val="000000"/>
          <w:shd w:val="clear" w:color="auto" w:fill="FFFFFF"/>
        </w:rPr>
      </w:pPr>
    </w:p>
    <w:p w14:paraId="697F87F6" w14:textId="000AF821" w:rsidR="00CF37C9" w:rsidRPr="00CF37C9" w:rsidRDefault="00CF37C9" w:rsidP="00EE758A">
      <w:pPr>
        <w:pStyle w:val="NormalWeb"/>
        <w:spacing w:before="0" w:beforeAutospacing="0" w:after="0" w:afterAutospacing="0"/>
        <w:rPr>
          <w:color w:val="000000"/>
          <w:shd w:val="clear" w:color="auto" w:fill="FFFFFF"/>
        </w:rPr>
      </w:pPr>
      <w:r w:rsidRPr="00CF37C9">
        <w:rPr>
          <w:color w:val="000000"/>
          <w:shd w:val="clear" w:color="auto" w:fill="FFFFFF"/>
        </w:rPr>
        <w:t>ATHAYDE, P</w:t>
      </w:r>
      <w:r w:rsidR="00BF2059">
        <w:rPr>
          <w:color w:val="000000"/>
          <w:shd w:val="clear" w:color="auto" w:fill="FFFFFF"/>
        </w:rPr>
        <w:t xml:space="preserve">. </w:t>
      </w:r>
      <w:r w:rsidRPr="00CF37C9">
        <w:rPr>
          <w:color w:val="000000"/>
          <w:shd w:val="clear" w:color="auto" w:fill="FFFFFF"/>
        </w:rPr>
        <w:t xml:space="preserve"> F</w:t>
      </w:r>
      <w:r w:rsidR="00BF2059">
        <w:rPr>
          <w:color w:val="000000"/>
          <w:shd w:val="clear" w:color="auto" w:fill="FFFFFF"/>
        </w:rPr>
        <w:t>.</w:t>
      </w:r>
      <w:r w:rsidRPr="00CF37C9">
        <w:rPr>
          <w:color w:val="000000"/>
          <w:shd w:val="clear" w:color="auto" w:fill="FFFFFF"/>
        </w:rPr>
        <w:t xml:space="preserve"> A. A disputa pelo fundo público no âmbito do financiamento esportivo brasileiro. </w:t>
      </w:r>
      <w:r w:rsidRPr="00A02757">
        <w:rPr>
          <w:b/>
          <w:color w:val="000000"/>
          <w:shd w:val="clear" w:color="auto" w:fill="FFFFFF"/>
        </w:rPr>
        <w:t>Revista Brasileira de Ciências do Esporte</w:t>
      </w:r>
      <w:r w:rsidRPr="00CF37C9">
        <w:rPr>
          <w:color w:val="000000"/>
          <w:shd w:val="clear" w:color="auto" w:fill="FFFFFF"/>
        </w:rPr>
        <w:t>, v. 36, n. 2,</w:t>
      </w:r>
    </w:p>
    <w:p w14:paraId="5C8FE173" w14:textId="77777777" w:rsidR="00264505" w:rsidRDefault="00CF37C9" w:rsidP="00EE758A">
      <w:pPr>
        <w:tabs>
          <w:tab w:val="clear" w:pos="851"/>
        </w:tabs>
        <w:spacing w:line="240" w:lineRule="auto"/>
        <w:jc w:val="left"/>
        <w:rPr>
          <w:rFonts w:eastAsia="Times New Roman" w:cs="Times New Roman"/>
          <w:color w:val="000000"/>
          <w:szCs w:val="24"/>
          <w:shd w:val="clear" w:color="auto" w:fill="FFFFFF"/>
        </w:rPr>
      </w:pPr>
      <w:r w:rsidRPr="00CF37C9">
        <w:rPr>
          <w:rFonts w:eastAsia="Times New Roman" w:cs="Times New Roman"/>
          <w:color w:val="000000"/>
          <w:szCs w:val="24"/>
          <w:shd w:val="clear" w:color="auto" w:fill="FFFFFF"/>
        </w:rPr>
        <w:t>supl., p. S636-S651, abr./jun. 2014. </w:t>
      </w:r>
    </w:p>
    <w:p w14:paraId="69AFAFAA"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13F3003A"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693D8042" w14:textId="77777777" w:rsidR="00A02757" w:rsidRPr="00A02757" w:rsidRDefault="00A02757" w:rsidP="00EE758A">
      <w:pPr>
        <w:tabs>
          <w:tab w:val="clear" w:pos="851"/>
        </w:tabs>
        <w:spacing w:line="240" w:lineRule="auto"/>
        <w:jc w:val="left"/>
        <w:rPr>
          <w:rFonts w:eastAsia="Times New Roman" w:cs="Times New Roman"/>
          <w:color w:val="000000"/>
          <w:szCs w:val="24"/>
          <w:shd w:val="clear" w:color="auto" w:fill="FFFFFF"/>
        </w:rPr>
      </w:pPr>
      <w:r w:rsidRPr="00A02757">
        <w:rPr>
          <w:rFonts w:eastAsia="Times New Roman" w:cs="Times New Roman"/>
          <w:color w:val="000000"/>
          <w:szCs w:val="24"/>
          <w:shd w:val="clear" w:color="auto" w:fill="FFFFFF"/>
        </w:rPr>
        <w:t>BRASIL. Ministério do Planejamento, Orçamento e Gestão. Secretaria de Planejamento e</w:t>
      </w:r>
    </w:p>
    <w:p w14:paraId="776E503F" w14:textId="622AEF1C" w:rsidR="00A02757" w:rsidRPr="00A02757" w:rsidRDefault="00A02757" w:rsidP="00EE758A">
      <w:pPr>
        <w:tabs>
          <w:tab w:val="clear" w:pos="851"/>
        </w:tabs>
        <w:spacing w:line="240" w:lineRule="auto"/>
        <w:jc w:val="left"/>
        <w:rPr>
          <w:rFonts w:eastAsia="Times New Roman" w:cs="Times New Roman"/>
          <w:color w:val="000000"/>
          <w:szCs w:val="24"/>
          <w:shd w:val="clear" w:color="auto" w:fill="FFFFFF"/>
        </w:rPr>
      </w:pPr>
      <w:r w:rsidRPr="00A02757">
        <w:rPr>
          <w:rFonts w:eastAsia="Times New Roman" w:cs="Times New Roman"/>
          <w:color w:val="000000"/>
          <w:szCs w:val="24"/>
          <w:shd w:val="clear" w:color="auto" w:fill="FFFFFF"/>
        </w:rPr>
        <w:t xml:space="preserve">Investimentos Estratégicos. </w:t>
      </w:r>
      <w:r w:rsidRPr="00A02757">
        <w:rPr>
          <w:rFonts w:eastAsia="Times New Roman" w:cs="Times New Roman"/>
          <w:b/>
          <w:color w:val="000000"/>
          <w:szCs w:val="24"/>
          <w:shd w:val="clear" w:color="auto" w:fill="FFFFFF"/>
        </w:rPr>
        <w:t>Plano plurianual 2012-2015</w:t>
      </w:r>
      <w:r w:rsidRPr="00A02757">
        <w:rPr>
          <w:rFonts w:eastAsia="Times New Roman" w:cs="Times New Roman"/>
          <w:color w:val="000000"/>
          <w:szCs w:val="24"/>
          <w:shd w:val="clear" w:color="auto" w:fill="FFFFFF"/>
        </w:rPr>
        <w:t>: projeto de lei / Ministério do</w:t>
      </w:r>
    </w:p>
    <w:p w14:paraId="5E096CC8" w14:textId="77777777" w:rsidR="00A02757" w:rsidRPr="00A02757" w:rsidRDefault="00A02757" w:rsidP="00EE758A">
      <w:pPr>
        <w:tabs>
          <w:tab w:val="clear" w:pos="851"/>
        </w:tabs>
        <w:spacing w:line="240" w:lineRule="auto"/>
        <w:jc w:val="left"/>
        <w:rPr>
          <w:rFonts w:eastAsia="Times New Roman" w:cs="Times New Roman"/>
          <w:color w:val="000000"/>
          <w:szCs w:val="24"/>
          <w:shd w:val="clear" w:color="auto" w:fill="FFFFFF"/>
        </w:rPr>
      </w:pPr>
      <w:r w:rsidRPr="00A02757">
        <w:rPr>
          <w:rFonts w:eastAsia="Times New Roman" w:cs="Times New Roman"/>
          <w:color w:val="000000"/>
          <w:szCs w:val="24"/>
          <w:shd w:val="clear" w:color="auto" w:fill="FFFFFF"/>
        </w:rPr>
        <w:t>Planejamento, Orçamento e Gestão, Secretaria de Planejamento e Investimentos Estratégicos</w:t>
      </w:r>
    </w:p>
    <w:p w14:paraId="035FCD6A" w14:textId="2A9F2414" w:rsidR="00A02757" w:rsidRDefault="00A02757" w:rsidP="00EE758A">
      <w:pPr>
        <w:tabs>
          <w:tab w:val="clear" w:pos="851"/>
        </w:tabs>
        <w:spacing w:line="240" w:lineRule="auto"/>
        <w:jc w:val="left"/>
        <w:rPr>
          <w:rFonts w:eastAsia="Times New Roman" w:cs="Times New Roman"/>
          <w:color w:val="000000"/>
          <w:szCs w:val="24"/>
          <w:shd w:val="clear" w:color="auto" w:fill="FFFFFF"/>
        </w:rPr>
      </w:pPr>
      <w:r w:rsidRPr="00A02757">
        <w:rPr>
          <w:rFonts w:eastAsia="Times New Roman" w:cs="Times New Roman"/>
          <w:color w:val="000000"/>
          <w:szCs w:val="24"/>
          <w:shd w:val="clear" w:color="auto" w:fill="FFFFFF"/>
        </w:rPr>
        <w:t>Brasília: MP, 2011.</w:t>
      </w:r>
    </w:p>
    <w:p w14:paraId="6C5C6106"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71BE2248" w14:textId="4572804C" w:rsidR="00155934" w:rsidRPr="00155934" w:rsidRDefault="00155934" w:rsidP="00EE758A">
      <w:pPr>
        <w:tabs>
          <w:tab w:val="clear" w:pos="851"/>
        </w:tabs>
        <w:spacing w:line="240" w:lineRule="auto"/>
        <w:jc w:val="left"/>
        <w:rPr>
          <w:rFonts w:eastAsia="Times New Roman" w:cs="Times New Roman"/>
          <w:color w:val="000000"/>
          <w:szCs w:val="24"/>
          <w:shd w:val="clear" w:color="auto" w:fill="FFFFFF"/>
        </w:rPr>
      </w:pPr>
      <w:r w:rsidRPr="00155934">
        <w:rPr>
          <w:rFonts w:eastAsia="Times New Roman" w:cs="Times New Roman"/>
          <w:color w:val="000000"/>
          <w:szCs w:val="24"/>
          <w:shd w:val="clear" w:color="auto" w:fill="FFFFFF"/>
        </w:rPr>
        <w:t xml:space="preserve">BRASIL. Ministério do Planejamento, Orçamento e Gestão. </w:t>
      </w:r>
      <w:r w:rsidRPr="00155934">
        <w:rPr>
          <w:rFonts w:eastAsia="Times New Roman" w:cs="Times New Roman"/>
          <w:b/>
          <w:color w:val="000000"/>
          <w:szCs w:val="24"/>
          <w:shd w:val="clear" w:color="auto" w:fill="FFFFFF"/>
        </w:rPr>
        <w:t>Relatório Anual de Avaliação do</w:t>
      </w:r>
      <w:r>
        <w:rPr>
          <w:rFonts w:eastAsia="Times New Roman" w:cs="Times New Roman"/>
          <w:b/>
          <w:color w:val="000000"/>
          <w:szCs w:val="24"/>
          <w:shd w:val="clear" w:color="auto" w:fill="FFFFFF"/>
        </w:rPr>
        <w:t xml:space="preserve"> </w:t>
      </w:r>
      <w:r w:rsidRPr="00155934">
        <w:rPr>
          <w:rFonts w:eastAsia="Times New Roman" w:cs="Times New Roman"/>
          <w:b/>
          <w:color w:val="000000"/>
          <w:szCs w:val="24"/>
          <w:shd w:val="clear" w:color="auto" w:fill="FFFFFF"/>
        </w:rPr>
        <w:t>PPA 2012 -2015: Ano-base 2014</w:t>
      </w:r>
      <w:r w:rsidRPr="00155934">
        <w:rPr>
          <w:rFonts w:eastAsia="Times New Roman" w:cs="Times New Roman"/>
          <w:color w:val="000000"/>
          <w:szCs w:val="24"/>
          <w:shd w:val="clear" w:color="auto" w:fill="FFFFFF"/>
        </w:rPr>
        <w:t>. Volume I – Dimensão Estratégica. Brasília: MPOG, 2015a.</w:t>
      </w:r>
    </w:p>
    <w:p w14:paraId="2F03069C"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5DC26453" w14:textId="24B07F8C" w:rsidR="00155934" w:rsidRDefault="00155934" w:rsidP="00EE758A">
      <w:pPr>
        <w:tabs>
          <w:tab w:val="clear" w:pos="851"/>
        </w:tabs>
        <w:spacing w:line="240" w:lineRule="auto"/>
        <w:jc w:val="left"/>
        <w:rPr>
          <w:rFonts w:eastAsia="Times New Roman" w:cs="Times New Roman"/>
          <w:color w:val="000000"/>
          <w:szCs w:val="24"/>
          <w:shd w:val="clear" w:color="auto" w:fill="FFFFFF"/>
        </w:rPr>
      </w:pPr>
      <w:r w:rsidRPr="00155934">
        <w:rPr>
          <w:rFonts w:eastAsia="Times New Roman" w:cs="Times New Roman"/>
          <w:color w:val="000000"/>
          <w:szCs w:val="24"/>
          <w:shd w:val="clear" w:color="auto" w:fill="FFFFFF"/>
        </w:rPr>
        <w:t xml:space="preserve">BRASIL. Ministério do Planejamento, Orçamento e Gestão. </w:t>
      </w:r>
      <w:r w:rsidRPr="00155934">
        <w:rPr>
          <w:rFonts w:eastAsia="Times New Roman" w:cs="Times New Roman"/>
          <w:b/>
          <w:color w:val="000000"/>
          <w:szCs w:val="24"/>
          <w:shd w:val="clear" w:color="auto" w:fill="FFFFFF"/>
        </w:rPr>
        <w:t>Relatório Anual de Avaliação do</w:t>
      </w:r>
      <w:r>
        <w:rPr>
          <w:rFonts w:eastAsia="Times New Roman" w:cs="Times New Roman"/>
          <w:b/>
          <w:color w:val="000000"/>
          <w:szCs w:val="24"/>
          <w:shd w:val="clear" w:color="auto" w:fill="FFFFFF"/>
        </w:rPr>
        <w:t xml:space="preserve"> </w:t>
      </w:r>
      <w:r w:rsidRPr="00155934">
        <w:rPr>
          <w:rFonts w:eastAsia="Times New Roman" w:cs="Times New Roman"/>
          <w:b/>
          <w:color w:val="000000"/>
          <w:szCs w:val="24"/>
          <w:shd w:val="clear" w:color="auto" w:fill="FFFFFF"/>
        </w:rPr>
        <w:t>PPA 2012 -2015: Ano-base 2014</w:t>
      </w:r>
      <w:r w:rsidRPr="00155934">
        <w:rPr>
          <w:rFonts w:eastAsia="Times New Roman" w:cs="Times New Roman"/>
          <w:color w:val="000000"/>
          <w:szCs w:val="24"/>
          <w:shd w:val="clear" w:color="auto" w:fill="FFFFFF"/>
        </w:rPr>
        <w:t>. Volume II, Tomo I - Programas Sociais. Brasília: MPOG,</w:t>
      </w:r>
      <w:r>
        <w:rPr>
          <w:rFonts w:eastAsia="Times New Roman" w:cs="Times New Roman"/>
          <w:color w:val="000000"/>
          <w:szCs w:val="24"/>
          <w:shd w:val="clear" w:color="auto" w:fill="FFFFFF"/>
        </w:rPr>
        <w:t xml:space="preserve"> </w:t>
      </w:r>
      <w:r w:rsidRPr="00155934">
        <w:rPr>
          <w:rFonts w:eastAsia="Times New Roman" w:cs="Times New Roman"/>
          <w:color w:val="000000"/>
          <w:szCs w:val="24"/>
          <w:shd w:val="clear" w:color="auto" w:fill="FFFFFF"/>
        </w:rPr>
        <w:t>2015b.</w:t>
      </w:r>
    </w:p>
    <w:p w14:paraId="53A2385E" w14:textId="77777777" w:rsidR="006C711B" w:rsidRPr="00155934" w:rsidRDefault="006C711B" w:rsidP="00EE758A">
      <w:pPr>
        <w:tabs>
          <w:tab w:val="clear" w:pos="851"/>
        </w:tabs>
        <w:spacing w:line="240" w:lineRule="auto"/>
        <w:jc w:val="left"/>
        <w:rPr>
          <w:rFonts w:eastAsia="Times New Roman" w:cs="Times New Roman"/>
          <w:color w:val="000000"/>
          <w:szCs w:val="24"/>
          <w:shd w:val="clear" w:color="auto" w:fill="FFFFFF"/>
        </w:rPr>
      </w:pPr>
    </w:p>
    <w:p w14:paraId="11C1D201" w14:textId="77777777" w:rsidR="006C711B" w:rsidRDefault="006C711B" w:rsidP="006C711B">
      <w:pPr>
        <w:tabs>
          <w:tab w:val="clear" w:pos="851"/>
        </w:tabs>
        <w:spacing w:line="240" w:lineRule="auto"/>
        <w:jc w:val="left"/>
        <w:rPr>
          <w:rFonts w:cs="Times New Roman"/>
          <w:color w:val="000000"/>
          <w:szCs w:val="24"/>
        </w:rPr>
      </w:pPr>
      <w:r w:rsidRPr="00756367">
        <w:rPr>
          <w:rFonts w:eastAsia="Times New Roman" w:cs="Times New Roman"/>
          <w:color w:val="000000"/>
          <w:szCs w:val="24"/>
          <w:shd w:val="clear" w:color="auto" w:fill="FFFFFF"/>
        </w:rPr>
        <w:t>BRASIL.</w:t>
      </w:r>
      <w:r w:rsidRPr="00756367">
        <w:rPr>
          <w:rFonts w:eastAsia="Times New Roman" w:cs="Times New Roman"/>
          <w:b/>
          <w:color w:val="000000"/>
          <w:szCs w:val="24"/>
          <w:shd w:val="clear" w:color="auto" w:fill="FFFFFF"/>
        </w:rPr>
        <w:t xml:space="preserve"> Emenda Constitucional nº 95, de 15 de dezembro de 2016</w:t>
      </w:r>
      <w:r w:rsidRPr="00756367">
        <w:rPr>
          <w:rFonts w:eastAsia="Times New Roman" w:cs="Times New Roman"/>
          <w:color w:val="000000"/>
          <w:szCs w:val="24"/>
          <w:shd w:val="clear" w:color="auto" w:fill="FFFFFF"/>
        </w:rPr>
        <w:t>. Altera o Ato das</w:t>
      </w:r>
      <w:r>
        <w:rPr>
          <w:rFonts w:eastAsia="Times New Roman" w:cs="Times New Roman"/>
          <w:color w:val="000000"/>
          <w:szCs w:val="24"/>
          <w:shd w:val="clear" w:color="auto" w:fill="FFFFFF"/>
        </w:rPr>
        <w:t xml:space="preserve"> </w:t>
      </w:r>
      <w:r w:rsidRPr="00756367">
        <w:rPr>
          <w:rFonts w:eastAsia="Times New Roman" w:cs="Times New Roman"/>
          <w:color w:val="000000"/>
          <w:szCs w:val="24"/>
          <w:shd w:val="clear" w:color="auto" w:fill="FFFFFF"/>
        </w:rPr>
        <w:t>Disposições Constitucionais Transitórias, para instituir o Novo Regime Fiscal, e dá outras providências.</w:t>
      </w:r>
      <w:r>
        <w:rPr>
          <w:rFonts w:eastAsia="Times New Roman" w:cs="Times New Roman"/>
          <w:color w:val="000000"/>
          <w:szCs w:val="24"/>
          <w:shd w:val="clear" w:color="auto" w:fill="FFFFFF"/>
        </w:rPr>
        <w:t xml:space="preserve"> </w:t>
      </w:r>
      <w:r w:rsidRPr="00756367">
        <w:rPr>
          <w:rFonts w:eastAsia="Times New Roman" w:cs="Times New Roman"/>
          <w:color w:val="000000"/>
          <w:szCs w:val="24"/>
          <w:shd w:val="clear" w:color="auto" w:fill="FFFFFF"/>
        </w:rPr>
        <w:t xml:space="preserve"> Brasília</w:t>
      </w:r>
      <w:r>
        <w:rPr>
          <w:rFonts w:eastAsia="Times New Roman" w:cs="Times New Roman"/>
          <w:color w:val="000000"/>
          <w:szCs w:val="24"/>
          <w:shd w:val="clear" w:color="auto" w:fill="FFFFFF"/>
        </w:rPr>
        <w:t xml:space="preserve">: DOU, </w:t>
      </w:r>
      <w:r w:rsidRPr="00756367">
        <w:rPr>
          <w:rFonts w:eastAsia="Times New Roman" w:cs="Times New Roman"/>
          <w:color w:val="000000"/>
          <w:szCs w:val="24"/>
          <w:shd w:val="clear" w:color="auto" w:fill="FFFFFF"/>
        </w:rPr>
        <w:t xml:space="preserve">2016. </w:t>
      </w:r>
    </w:p>
    <w:p w14:paraId="22216A03"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558EB43F" w14:textId="1B358B7C" w:rsidR="00155934" w:rsidRPr="00155934" w:rsidRDefault="00155934" w:rsidP="00EE758A">
      <w:pPr>
        <w:tabs>
          <w:tab w:val="clear" w:pos="851"/>
        </w:tabs>
        <w:spacing w:line="240" w:lineRule="auto"/>
        <w:jc w:val="left"/>
        <w:rPr>
          <w:rFonts w:eastAsia="Times New Roman" w:cs="Times New Roman"/>
          <w:color w:val="000000"/>
          <w:szCs w:val="24"/>
          <w:shd w:val="clear" w:color="auto" w:fill="FFFFFF"/>
        </w:rPr>
      </w:pPr>
      <w:r w:rsidRPr="00155934">
        <w:rPr>
          <w:rFonts w:eastAsia="Times New Roman" w:cs="Times New Roman"/>
          <w:color w:val="000000"/>
          <w:szCs w:val="24"/>
          <w:shd w:val="clear" w:color="auto" w:fill="FFFFFF"/>
        </w:rPr>
        <w:t xml:space="preserve">BRASIL. Ministério do Planejamento, Orçamento e Gestão. </w:t>
      </w:r>
      <w:r w:rsidRPr="00155934">
        <w:rPr>
          <w:rFonts w:eastAsia="Times New Roman" w:cs="Times New Roman"/>
          <w:b/>
          <w:color w:val="000000"/>
          <w:szCs w:val="24"/>
          <w:shd w:val="clear" w:color="auto" w:fill="FFFFFF"/>
        </w:rPr>
        <w:t>Relatório Anual de Avaliação do</w:t>
      </w:r>
      <w:r>
        <w:rPr>
          <w:rFonts w:eastAsia="Times New Roman" w:cs="Times New Roman"/>
          <w:b/>
          <w:color w:val="000000"/>
          <w:szCs w:val="24"/>
          <w:shd w:val="clear" w:color="auto" w:fill="FFFFFF"/>
        </w:rPr>
        <w:t xml:space="preserve"> </w:t>
      </w:r>
      <w:r w:rsidRPr="00155934">
        <w:rPr>
          <w:rFonts w:eastAsia="Times New Roman" w:cs="Times New Roman"/>
          <w:b/>
          <w:color w:val="000000"/>
          <w:szCs w:val="24"/>
          <w:shd w:val="clear" w:color="auto" w:fill="FFFFFF"/>
        </w:rPr>
        <w:t>PPA 2012 -2015: Ano-base 2015</w:t>
      </w:r>
      <w:r w:rsidRPr="00155934">
        <w:rPr>
          <w:rFonts w:eastAsia="Times New Roman" w:cs="Times New Roman"/>
          <w:color w:val="000000"/>
          <w:szCs w:val="24"/>
          <w:shd w:val="clear" w:color="auto" w:fill="FFFFFF"/>
        </w:rPr>
        <w:t>. Volume II - Programas Temáticos. Brasília: MPOG, 2016b.</w:t>
      </w:r>
    </w:p>
    <w:p w14:paraId="0D1B09FA"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16CDB47E" w14:textId="094129D8" w:rsidR="00155934" w:rsidRPr="00155934" w:rsidRDefault="00155934" w:rsidP="00EE758A">
      <w:pPr>
        <w:tabs>
          <w:tab w:val="clear" w:pos="851"/>
        </w:tabs>
        <w:spacing w:line="240" w:lineRule="auto"/>
        <w:jc w:val="left"/>
        <w:rPr>
          <w:rFonts w:eastAsia="Times New Roman" w:cs="Times New Roman"/>
          <w:color w:val="000000"/>
          <w:szCs w:val="24"/>
          <w:shd w:val="clear" w:color="auto" w:fill="FFFFFF"/>
        </w:rPr>
      </w:pPr>
      <w:r w:rsidRPr="00155934">
        <w:rPr>
          <w:rFonts w:eastAsia="Times New Roman" w:cs="Times New Roman"/>
          <w:color w:val="000000"/>
          <w:szCs w:val="24"/>
          <w:shd w:val="clear" w:color="auto" w:fill="FFFFFF"/>
        </w:rPr>
        <w:t xml:space="preserve">BRASIL. Ministério do Planejamento, Desenvolvimento e Gestão. PPA 2016 – 2019: </w:t>
      </w:r>
      <w:r w:rsidRPr="00155934">
        <w:rPr>
          <w:rFonts w:eastAsia="Times New Roman" w:cs="Times New Roman"/>
          <w:b/>
          <w:color w:val="000000"/>
          <w:szCs w:val="24"/>
          <w:shd w:val="clear" w:color="auto" w:fill="FFFFFF"/>
        </w:rPr>
        <w:t xml:space="preserve">Relatório </w:t>
      </w:r>
      <w:r>
        <w:rPr>
          <w:rFonts w:eastAsia="Times New Roman" w:cs="Times New Roman"/>
          <w:b/>
          <w:color w:val="000000"/>
          <w:szCs w:val="24"/>
          <w:shd w:val="clear" w:color="auto" w:fill="FFFFFF"/>
        </w:rPr>
        <w:t>Anual d</w:t>
      </w:r>
      <w:r w:rsidRPr="00155934">
        <w:rPr>
          <w:rFonts w:eastAsia="Times New Roman" w:cs="Times New Roman"/>
          <w:b/>
          <w:color w:val="000000"/>
          <w:szCs w:val="24"/>
          <w:shd w:val="clear" w:color="auto" w:fill="FFFFFF"/>
        </w:rPr>
        <w:t>e Avaliação - Ano-Base 2016</w:t>
      </w:r>
      <w:r w:rsidRPr="00155934">
        <w:rPr>
          <w:rFonts w:eastAsia="Times New Roman" w:cs="Times New Roman"/>
          <w:color w:val="000000"/>
          <w:szCs w:val="24"/>
          <w:shd w:val="clear" w:color="auto" w:fill="FFFFFF"/>
        </w:rPr>
        <w:t>. Brasília: MPOG, 2017.</w:t>
      </w:r>
    </w:p>
    <w:p w14:paraId="615A6E2C"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397262A3" w14:textId="44CAF07F" w:rsidR="00155934" w:rsidRPr="00155934" w:rsidRDefault="00155934" w:rsidP="00EE758A">
      <w:pPr>
        <w:tabs>
          <w:tab w:val="clear" w:pos="851"/>
        </w:tabs>
        <w:spacing w:line="240" w:lineRule="auto"/>
        <w:jc w:val="left"/>
        <w:rPr>
          <w:rFonts w:eastAsia="Times New Roman" w:cs="Times New Roman"/>
          <w:color w:val="000000"/>
          <w:szCs w:val="24"/>
          <w:shd w:val="clear" w:color="auto" w:fill="FFFFFF"/>
        </w:rPr>
      </w:pPr>
      <w:r w:rsidRPr="00155934">
        <w:rPr>
          <w:rFonts w:eastAsia="Times New Roman" w:cs="Times New Roman"/>
          <w:color w:val="000000"/>
          <w:szCs w:val="24"/>
          <w:shd w:val="clear" w:color="auto" w:fill="FFFFFF"/>
        </w:rPr>
        <w:t xml:space="preserve">BRASIL. Ministério do Planejamento, Desenvolvimento e Gestão. PPA 2016 – 2019: </w:t>
      </w:r>
      <w:r>
        <w:rPr>
          <w:rFonts w:eastAsia="Times New Roman" w:cs="Times New Roman"/>
          <w:b/>
          <w:color w:val="000000"/>
          <w:szCs w:val="24"/>
          <w:shd w:val="clear" w:color="auto" w:fill="FFFFFF"/>
        </w:rPr>
        <w:t>Relatório Anual d</w:t>
      </w:r>
      <w:r w:rsidRPr="00155934">
        <w:rPr>
          <w:rFonts w:eastAsia="Times New Roman" w:cs="Times New Roman"/>
          <w:b/>
          <w:color w:val="000000"/>
          <w:szCs w:val="24"/>
          <w:shd w:val="clear" w:color="auto" w:fill="FFFFFF"/>
        </w:rPr>
        <w:t>e Avaliação</w:t>
      </w:r>
      <w:r w:rsidRPr="00155934">
        <w:rPr>
          <w:rFonts w:eastAsia="Times New Roman" w:cs="Times New Roman"/>
          <w:color w:val="000000"/>
          <w:szCs w:val="24"/>
          <w:shd w:val="clear" w:color="auto" w:fill="FFFFFF"/>
        </w:rPr>
        <w:t xml:space="preserve"> </w:t>
      </w:r>
      <w:r w:rsidRPr="00155934">
        <w:rPr>
          <w:rFonts w:eastAsia="Times New Roman" w:cs="Times New Roman"/>
          <w:b/>
          <w:color w:val="000000"/>
          <w:szCs w:val="24"/>
          <w:shd w:val="clear" w:color="auto" w:fill="FFFFFF"/>
        </w:rPr>
        <w:t>- Ano-Base 2017</w:t>
      </w:r>
      <w:r w:rsidRPr="00155934">
        <w:rPr>
          <w:rFonts w:eastAsia="Times New Roman" w:cs="Times New Roman"/>
          <w:color w:val="000000"/>
          <w:szCs w:val="24"/>
          <w:shd w:val="clear" w:color="auto" w:fill="FFFFFF"/>
        </w:rPr>
        <w:t>. Relatório Geral. Brasília: MPOG, 2018a.</w:t>
      </w:r>
    </w:p>
    <w:p w14:paraId="65416A38"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570F8D0A" w14:textId="0471812A" w:rsidR="00155934" w:rsidRPr="00155934" w:rsidRDefault="00155934" w:rsidP="00EE758A">
      <w:pPr>
        <w:tabs>
          <w:tab w:val="clear" w:pos="851"/>
        </w:tabs>
        <w:spacing w:line="240" w:lineRule="auto"/>
        <w:jc w:val="left"/>
        <w:rPr>
          <w:rFonts w:eastAsia="Times New Roman" w:cs="Times New Roman"/>
          <w:color w:val="000000"/>
          <w:szCs w:val="24"/>
          <w:shd w:val="clear" w:color="auto" w:fill="FFFFFF"/>
        </w:rPr>
      </w:pPr>
      <w:r w:rsidRPr="00155934">
        <w:rPr>
          <w:rFonts w:eastAsia="Times New Roman" w:cs="Times New Roman"/>
          <w:color w:val="000000"/>
          <w:szCs w:val="24"/>
          <w:shd w:val="clear" w:color="auto" w:fill="FFFFFF"/>
        </w:rPr>
        <w:t xml:space="preserve">BRASIL. Ministério da Economia. </w:t>
      </w:r>
      <w:r w:rsidRPr="00150231">
        <w:rPr>
          <w:rFonts w:eastAsia="Times New Roman" w:cs="Times New Roman"/>
          <w:b/>
          <w:color w:val="000000"/>
          <w:szCs w:val="24"/>
          <w:shd w:val="clear" w:color="auto" w:fill="FFFFFF"/>
        </w:rPr>
        <w:t>Relatório Anual de Avaliação PPA 2016 – 2019: exercício</w:t>
      </w:r>
      <w:r w:rsidR="00150231">
        <w:rPr>
          <w:rFonts w:eastAsia="Times New Roman" w:cs="Times New Roman"/>
          <w:b/>
          <w:color w:val="000000"/>
          <w:szCs w:val="24"/>
          <w:shd w:val="clear" w:color="auto" w:fill="FFFFFF"/>
        </w:rPr>
        <w:t xml:space="preserve"> </w:t>
      </w:r>
      <w:r w:rsidRPr="00150231">
        <w:rPr>
          <w:rFonts w:eastAsia="Times New Roman" w:cs="Times New Roman"/>
          <w:b/>
          <w:color w:val="000000"/>
          <w:szCs w:val="24"/>
          <w:shd w:val="clear" w:color="auto" w:fill="FFFFFF"/>
        </w:rPr>
        <w:t>2019</w:t>
      </w:r>
      <w:r w:rsidRPr="00155934">
        <w:rPr>
          <w:rFonts w:eastAsia="Times New Roman" w:cs="Times New Roman"/>
          <w:color w:val="000000"/>
          <w:szCs w:val="24"/>
          <w:shd w:val="clear" w:color="auto" w:fill="FFFFFF"/>
        </w:rPr>
        <w:t>. Avaliação dos Programas Temáticos. Brasília: Ministério da Economia, 2020a.</w:t>
      </w:r>
    </w:p>
    <w:p w14:paraId="4A042136"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1D15D863" w14:textId="49330315" w:rsidR="00155934" w:rsidRPr="00155934" w:rsidRDefault="00155934" w:rsidP="00EE758A">
      <w:pPr>
        <w:tabs>
          <w:tab w:val="clear" w:pos="851"/>
        </w:tabs>
        <w:spacing w:line="240" w:lineRule="auto"/>
        <w:jc w:val="left"/>
        <w:rPr>
          <w:rFonts w:eastAsia="Times New Roman" w:cs="Times New Roman"/>
          <w:color w:val="000000"/>
          <w:szCs w:val="24"/>
          <w:shd w:val="clear" w:color="auto" w:fill="FFFFFF"/>
        </w:rPr>
      </w:pPr>
      <w:r w:rsidRPr="00155934">
        <w:rPr>
          <w:rFonts w:eastAsia="Times New Roman" w:cs="Times New Roman"/>
          <w:color w:val="000000"/>
          <w:szCs w:val="24"/>
          <w:shd w:val="clear" w:color="auto" w:fill="FFFFFF"/>
        </w:rPr>
        <w:t xml:space="preserve">BRASIL. Ministério da Economia. </w:t>
      </w:r>
      <w:r w:rsidRPr="00150231">
        <w:rPr>
          <w:rFonts w:eastAsia="Times New Roman" w:cs="Times New Roman"/>
          <w:b/>
          <w:color w:val="000000"/>
          <w:szCs w:val="24"/>
          <w:shd w:val="clear" w:color="auto" w:fill="FFFFFF"/>
        </w:rPr>
        <w:t>Relatório Anual de Avaliação PPA 2016 – 2019: exercício</w:t>
      </w:r>
      <w:r w:rsidR="00150231">
        <w:rPr>
          <w:rFonts w:eastAsia="Times New Roman" w:cs="Times New Roman"/>
          <w:b/>
          <w:color w:val="000000"/>
          <w:szCs w:val="24"/>
          <w:shd w:val="clear" w:color="auto" w:fill="FFFFFF"/>
        </w:rPr>
        <w:t xml:space="preserve"> </w:t>
      </w:r>
      <w:r w:rsidRPr="00150231">
        <w:rPr>
          <w:rFonts w:eastAsia="Times New Roman" w:cs="Times New Roman"/>
          <w:b/>
          <w:color w:val="000000"/>
          <w:szCs w:val="24"/>
          <w:shd w:val="clear" w:color="auto" w:fill="FFFFFF"/>
        </w:rPr>
        <w:t>2019</w:t>
      </w:r>
      <w:r w:rsidRPr="00155934">
        <w:rPr>
          <w:rFonts w:eastAsia="Times New Roman" w:cs="Times New Roman"/>
          <w:color w:val="000000"/>
          <w:szCs w:val="24"/>
          <w:shd w:val="clear" w:color="auto" w:fill="FFFFFF"/>
        </w:rPr>
        <w:t>. Anexo I Evolução dos Indicadores. Brasília: Ministério da Economia, 2020b.</w:t>
      </w:r>
    </w:p>
    <w:p w14:paraId="1B7AE2C5" w14:textId="77777777" w:rsidR="00B87BB4" w:rsidRDefault="00B87BB4" w:rsidP="00EE758A">
      <w:pPr>
        <w:tabs>
          <w:tab w:val="clear" w:pos="851"/>
        </w:tabs>
        <w:spacing w:line="240" w:lineRule="auto"/>
        <w:jc w:val="left"/>
        <w:rPr>
          <w:rFonts w:eastAsia="Times New Roman" w:cs="Times New Roman"/>
          <w:color w:val="000000"/>
          <w:szCs w:val="24"/>
          <w:shd w:val="clear" w:color="auto" w:fill="FFFFFF"/>
        </w:rPr>
      </w:pPr>
    </w:p>
    <w:p w14:paraId="16C8E700" w14:textId="3D327619" w:rsidR="00CF37C9" w:rsidRPr="00CF37C9" w:rsidRDefault="00CF37C9" w:rsidP="00EE758A">
      <w:pPr>
        <w:tabs>
          <w:tab w:val="clear" w:pos="851"/>
        </w:tabs>
        <w:spacing w:line="240" w:lineRule="auto"/>
        <w:jc w:val="left"/>
        <w:rPr>
          <w:rFonts w:eastAsia="Times New Roman" w:cs="Times New Roman"/>
          <w:color w:val="000000"/>
          <w:sz w:val="28"/>
          <w:szCs w:val="24"/>
          <w:shd w:val="clear" w:color="auto" w:fill="FFFFFF"/>
        </w:rPr>
      </w:pPr>
      <w:r w:rsidRPr="00CF37C9">
        <w:rPr>
          <w:rFonts w:cs="Times New Roman"/>
          <w:color w:val="000000"/>
        </w:rPr>
        <w:lastRenderedPageBreak/>
        <w:t>MÉSZÁROS, I</w:t>
      </w:r>
      <w:r w:rsidR="00BF2059">
        <w:rPr>
          <w:rFonts w:cs="Times New Roman"/>
          <w:color w:val="000000"/>
        </w:rPr>
        <w:t>.</w:t>
      </w:r>
      <w:r w:rsidRPr="00CF37C9">
        <w:rPr>
          <w:rFonts w:cs="Times New Roman"/>
          <w:color w:val="000000"/>
        </w:rPr>
        <w:t xml:space="preserve">. </w:t>
      </w:r>
      <w:r w:rsidRPr="00CF37C9">
        <w:rPr>
          <w:rFonts w:cs="Times New Roman"/>
          <w:b/>
          <w:bCs/>
          <w:color w:val="000000"/>
        </w:rPr>
        <w:t>Para além do capital</w:t>
      </w:r>
      <w:r w:rsidRPr="00CF37C9">
        <w:rPr>
          <w:rFonts w:cs="Times New Roman"/>
          <w:color w:val="000000"/>
        </w:rPr>
        <w:t>: rumo a uma teoria da transição. São Paulo: Boitempo, 2002.</w:t>
      </w:r>
    </w:p>
    <w:p w14:paraId="2AC8A0CC" w14:textId="77777777" w:rsidR="00B87BB4" w:rsidRDefault="00B87BB4" w:rsidP="00EE758A">
      <w:pPr>
        <w:spacing w:line="240" w:lineRule="auto"/>
        <w:jc w:val="left"/>
        <w:rPr>
          <w:rFonts w:cs="Times New Roman"/>
          <w:color w:val="000000"/>
          <w:szCs w:val="24"/>
          <w:shd w:val="clear" w:color="auto" w:fill="FFFFFF"/>
        </w:rPr>
      </w:pPr>
    </w:p>
    <w:p w14:paraId="3452A5E5" w14:textId="53E97678" w:rsidR="00264505" w:rsidRDefault="007C1D10" w:rsidP="00EE758A">
      <w:pPr>
        <w:spacing w:line="240" w:lineRule="auto"/>
        <w:jc w:val="left"/>
        <w:rPr>
          <w:rFonts w:cs="Times New Roman"/>
          <w:color w:val="000000"/>
          <w:shd w:val="clear" w:color="auto" w:fill="FFFFFF"/>
        </w:rPr>
      </w:pPr>
      <w:r w:rsidRPr="00264505">
        <w:rPr>
          <w:rFonts w:cs="Times New Roman"/>
          <w:color w:val="000000"/>
          <w:szCs w:val="24"/>
          <w:shd w:val="clear" w:color="auto" w:fill="FFFFFF"/>
        </w:rPr>
        <w:t>PRATES, J.</w:t>
      </w:r>
      <w:r w:rsidR="00FA1ACC" w:rsidRPr="00264505">
        <w:rPr>
          <w:rFonts w:cs="Times New Roman"/>
          <w:color w:val="000000"/>
          <w:szCs w:val="24"/>
          <w:shd w:val="clear" w:color="auto" w:fill="FFFFFF"/>
        </w:rPr>
        <w:t xml:space="preserve"> </w:t>
      </w:r>
      <w:r w:rsidRPr="00264505">
        <w:rPr>
          <w:rFonts w:cs="Times New Roman"/>
          <w:color w:val="000000"/>
          <w:szCs w:val="24"/>
          <w:shd w:val="clear" w:color="auto" w:fill="FFFFFF"/>
        </w:rPr>
        <w:t>O método marxiano</w:t>
      </w:r>
      <w:r w:rsidRPr="00F01F5D">
        <w:rPr>
          <w:rFonts w:cs="Times New Roman"/>
          <w:color w:val="000000"/>
          <w:shd w:val="clear" w:color="auto" w:fill="FFFFFF"/>
        </w:rPr>
        <w:t xml:space="preserve"> de investigação e o enfoque misto na pesquisa social: uma relação necessária. </w:t>
      </w:r>
      <w:r w:rsidRPr="00FA1ACC">
        <w:rPr>
          <w:rFonts w:cs="Times New Roman"/>
          <w:b/>
          <w:color w:val="000000"/>
          <w:shd w:val="clear" w:color="auto" w:fill="FFFFFF"/>
        </w:rPr>
        <w:t>Textos &amp; Contextos</w:t>
      </w:r>
      <w:r w:rsidRPr="00F01F5D">
        <w:rPr>
          <w:rFonts w:cs="Times New Roman"/>
          <w:color w:val="000000"/>
          <w:shd w:val="clear" w:color="auto" w:fill="FFFFFF"/>
        </w:rPr>
        <w:t>, Porto Alegre, v. 11, n. 1, p. 116 - 128, jan./jul. 2012</w:t>
      </w:r>
      <w:r w:rsidR="00264505">
        <w:rPr>
          <w:rFonts w:cs="Times New Roman"/>
          <w:color w:val="000000"/>
          <w:shd w:val="clear" w:color="auto" w:fill="FFFFFF"/>
        </w:rPr>
        <w:t xml:space="preserve">. </w:t>
      </w:r>
    </w:p>
    <w:p w14:paraId="6DCD6C40" w14:textId="77777777" w:rsidR="00B87BB4" w:rsidRDefault="00B87BB4" w:rsidP="00EE758A">
      <w:pPr>
        <w:spacing w:line="240" w:lineRule="auto"/>
        <w:jc w:val="left"/>
        <w:rPr>
          <w:rFonts w:cs="Times New Roman"/>
          <w:color w:val="000000"/>
          <w:shd w:val="clear" w:color="auto" w:fill="FFFFFF"/>
        </w:rPr>
      </w:pPr>
    </w:p>
    <w:p w14:paraId="71056F56" w14:textId="4832FF99" w:rsidR="00D55AB0" w:rsidRPr="00D55AB0" w:rsidRDefault="00D55AB0" w:rsidP="00EE758A">
      <w:pPr>
        <w:spacing w:line="240" w:lineRule="auto"/>
        <w:jc w:val="left"/>
        <w:rPr>
          <w:rFonts w:cs="Times New Roman"/>
          <w:color w:val="000000"/>
          <w:sz w:val="28"/>
          <w:shd w:val="clear" w:color="auto" w:fill="FFFFFF"/>
        </w:rPr>
      </w:pPr>
      <w:r w:rsidRPr="00D55AB0">
        <w:rPr>
          <w:rFonts w:cs="Times New Roman"/>
          <w:color w:val="000000"/>
          <w:shd w:val="clear" w:color="auto" w:fill="FFFFFF"/>
        </w:rPr>
        <w:t>ROSSI, P</w:t>
      </w:r>
      <w:r w:rsidR="00BF2059">
        <w:rPr>
          <w:rFonts w:cs="Times New Roman"/>
          <w:color w:val="000000"/>
          <w:shd w:val="clear" w:color="auto" w:fill="FFFFFF"/>
        </w:rPr>
        <w:t>.;</w:t>
      </w:r>
      <w:r w:rsidRPr="00D55AB0">
        <w:rPr>
          <w:rFonts w:cs="Times New Roman"/>
          <w:color w:val="000000"/>
          <w:shd w:val="clear" w:color="auto" w:fill="FFFFFF"/>
        </w:rPr>
        <w:t xml:space="preserve"> DWEEK, E.</w:t>
      </w:r>
      <w:r w:rsidR="00BF2059">
        <w:rPr>
          <w:rFonts w:cs="Times New Roman"/>
          <w:color w:val="000000"/>
          <w:shd w:val="clear" w:color="auto" w:fill="FFFFFF"/>
        </w:rPr>
        <w:t>;</w:t>
      </w:r>
      <w:r w:rsidRPr="00D55AB0">
        <w:rPr>
          <w:rFonts w:cs="Times New Roman"/>
          <w:color w:val="000000"/>
          <w:shd w:val="clear" w:color="auto" w:fill="FFFFFF"/>
        </w:rPr>
        <w:t xml:space="preserve"> OLIVEIRA, A</w:t>
      </w:r>
      <w:r w:rsidR="00BF2059">
        <w:rPr>
          <w:rFonts w:cs="Times New Roman"/>
          <w:color w:val="000000"/>
          <w:shd w:val="clear" w:color="auto" w:fill="FFFFFF"/>
        </w:rPr>
        <w:t>.</w:t>
      </w:r>
      <w:r w:rsidRPr="00D55AB0">
        <w:rPr>
          <w:rFonts w:cs="Times New Roman"/>
          <w:color w:val="000000"/>
          <w:shd w:val="clear" w:color="auto" w:fill="FFFFFF"/>
        </w:rPr>
        <w:t xml:space="preserve"> L</w:t>
      </w:r>
      <w:r w:rsidR="00BF2059">
        <w:rPr>
          <w:rFonts w:cs="Times New Roman"/>
          <w:color w:val="000000"/>
          <w:shd w:val="clear" w:color="auto" w:fill="FFFFFF"/>
        </w:rPr>
        <w:t>.</w:t>
      </w:r>
      <w:r w:rsidRPr="00D55AB0">
        <w:rPr>
          <w:rFonts w:cs="Times New Roman"/>
          <w:color w:val="000000"/>
          <w:shd w:val="clear" w:color="auto" w:fill="FFFFFF"/>
        </w:rPr>
        <w:t xml:space="preserve"> M. </w:t>
      </w:r>
      <w:r w:rsidRPr="00D55AB0">
        <w:rPr>
          <w:rFonts w:cs="Times New Roman"/>
          <w:b/>
          <w:color w:val="000000"/>
          <w:shd w:val="clear" w:color="auto" w:fill="FFFFFF"/>
        </w:rPr>
        <w:t>Economia para poucos: impactos sociais da austeridade e alternativas para o Brasil</w:t>
      </w:r>
      <w:r w:rsidR="00BF2059">
        <w:rPr>
          <w:rFonts w:cs="Times New Roman"/>
          <w:b/>
          <w:color w:val="000000"/>
          <w:shd w:val="clear" w:color="auto" w:fill="FFFFFF"/>
        </w:rPr>
        <w:t>.</w:t>
      </w:r>
      <w:r w:rsidRPr="00D55AB0">
        <w:rPr>
          <w:rFonts w:cs="Times New Roman"/>
          <w:color w:val="000000"/>
          <w:shd w:val="clear" w:color="auto" w:fill="FFFFFF"/>
        </w:rPr>
        <w:t xml:space="preserve"> São Paulo</w:t>
      </w:r>
      <w:r w:rsidR="00BF2059">
        <w:rPr>
          <w:rFonts w:cs="Times New Roman"/>
          <w:color w:val="000000"/>
          <w:shd w:val="clear" w:color="auto" w:fill="FFFFFF"/>
        </w:rPr>
        <w:t>:</w:t>
      </w:r>
      <w:r w:rsidRPr="00D55AB0">
        <w:rPr>
          <w:rFonts w:cs="Times New Roman"/>
          <w:color w:val="000000"/>
          <w:shd w:val="clear" w:color="auto" w:fill="FFFFFF"/>
        </w:rPr>
        <w:t xml:space="preserve"> Autonomia Literária, 2018.</w:t>
      </w:r>
    </w:p>
    <w:p w14:paraId="7CBED1A7" w14:textId="77777777" w:rsidR="00B87BB4" w:rsidRDefault="00B87BB4" w:rsidP="00EE758A">
      <w:pPr>
        <w:tabs>
          <w:tab w:val="clear" w:pos="851"/>
        </w:tabs>
        <w:spacing w:line="240" w:lineRule="auto"/>
        <w:jc w:val="left"/>
        <w:rPr>
          <w:rFonts w:eastAsia="Times New Roman" w:cs="Times New Roman"/>
          <w:color w:val="000000"/>
          <w:shd w:val="clear" w:color="auto" w:fill="FFFFFF"/>
        </w:rPr>
      </w:pPr>
    </w:p>
    <w:p w14:paraId="61B31330" w14:textId="5C52B5A8" w:rsidR="00CF37C9" w:rsidRDefault="00CF37C9" w:rsidP="00EE758A">
      <w:pPr>
        <w:tabs>
          <w:tab w:val="clear" w:pos="851"/>
        </w:tabs>
        <w:spacing w:line="240" w:lineRule="auto"/>
        <w:jc w:val="left"/>
        <w:rPr>
          <w:rFonts w:eastAsia="Times New Roman" w:cs="Times New Roman"/>
          <w:color w:val="000000"/>
          <w:shd w:val="clear" w:color="auto" w:fill="FFFFFF"/>
        </w:rPr>
      </w:pPr>
      <w:r w:rsidRPr="00CF37C9">
        <w:rPr>
          <w:rFonts w:eastAsia="Times New Roman" w:cs="Times New Roman"/>
          <w:color w:val="000000"/>
          <w:shd w:val="clear" w:color="auto" w:fill="FFFFFF"/>
        </w:rPr>
        <w:t>SALVADOR, E</w:t>
      </w:r>
      <w:r w:rsidR="00BF2059">
        <w:rPr>
          <w:rFonts w:eastAsia="Times New Roman" w:cs="Times New Roman"/>
          <w:color w:val="000000"/>
          <w:shd w:val="clear" w:color="auto" w:fill="FFFFFF"/>
        </w:rPr>
        <w:t>.</w:t>
      </w:r>
      <w:r w:rsidRPr="00CF37C9">
        <w:rPr>
          <w:rFonts w:eastAsia="Times New Roman" w:cs="Times New Roman"/>
          <w:color w:val="000000"/>
          <w:shd w:val="clear" w:color="auto" w:fill="FFFFFF"/>
        </w:rPr>
        <w:t xml:space="preserve"> S. Fundo público e políticas sociais na crise do capitalismo. </w:t>
      </w:r>
      <w:r w:rsidRPr="00CF37C9">
        <w:rPr>
          <w:rFonts w:eastAsia="Times New Roman" w:cs="Times New Roman"/>
          <w:b/>
          <w:color w:val="000000"/>
          <w:shd w:val="clear" w:color="auto" w:fill="FFFFFF"/>
        </w:rPr>
        <w:t>Serv. Soc. Soc</w:t>
      </w:r>
      <w:r w:rsidRPr="00CF37C9">
        <w:rPr>
          <w:rFonts w:eastAsia="Times New Roman" w:cs="Times New Roman"/>
          <w:color w:val="000000"/>
          <w:shd w:val="clear" w:color="auto" w:fill="FFFFFF"/>
        </w:rPr>
        <w:t>., São Paulo, n. 104, p. 605-631, out./dez. 2010</w:t>
      </w:r>
      <w:r w:rsidR="00D55AB0">
        <w:rPr>
          <w:rFonts w:eastAsia="Times New Roman" w:cs="Times New Roman"/>
          <w:color w:val="000000"/>
          <w:shd w:val="clear" w:color="auto" w:fill="FFFFFF"/>
        </w:rPr>
        <w:t>.</w:t>
      </w:r>
    </w:p>
    <w:p w14:paraId="3F7DDDFE" w14:textId="77777777" w:rsidR="00B87BB4" w:rsidRDefault="00B87BB4" w:rsidP="00EE758A">
      <w:pPr>
        <w:tabs>
          <w:tab w:val="clear" w:pos="851"/>
        </w:tabs>
        <w:spacing w:line="240" w:lineRule="auto"/>
        <w:jc w:val="left"/>
        <w:rPr>
          <w:rFonts w:cs="Times New Roman"/>
          <w:color w:val="000000"/>
          <w:szCs w:val="24"/>
          <w:shd w:val="clear" w:color="auto" w:fill="FFFFFF"/>
        </w:rPr>
      </w:pPr>
    </w:p>
    <w:p w14:paraId="746059DC" w14:textId="4CA6A871" w:rsidR="00D55AB0" w:rsidRPr="00CF37C9" w:rsidRDefault="00D55AB0" w:rsidP="00EE758A">
      <w:pPr>
        <w:tabs>
          <w:tab w:val="clear" w:pos="851"/>
        </w:tabs>
        <w:spacing w:line="240" w:lineRule="auto"/>
        <w:jc w:val="left"/>
        <w:rPr>
          <w:rFonts w:eastAsia="Times New Roman" w:cs="Times New Roman"/>
          <w:szCs w:val="24"/>
        </w:rPr>
      </w:pPr>
      <w:r w:rsidRPr="00D55AB0">
        <w:rPr>
          <w:rFonts w:cs="Times New Roman"/>
          <w:color w:val="000000"/>
          <w:szCs w:val="24"/>
          <w:shd w:val="clear" w:color="auto" w:fill="FFFFFF"/>
        </w:rPr>
        <w:t>SALVADOR, E</w:t>
      </w:r>
      <w:r w:rsidR="00BF2059">
        <w:rPr>
          <w:rFonts w:cs="Times New Roman"/>
          <w:color w:val="000000"/>
          <w:szCs w:val="24"/>
          <w:shd w:val="clear" w:color="auto" w:fill="FFFFFF"/>
        </w:rPr>
        <w:t>.</w:t>
      </w:r>
      <w:r w:rsidRPr="00D55AB0">
        <w:rPr>
          <w:rFonts w:cs="Times New Roman"/>
          <w:color w:val="000000"/>
          <w:szCs w:val="24"/>
          <w:shd w:val="clear" w:color="auto" w:fill="FFFFFF"/>
        </w:rPr>
        <w:t xml:space="preserve"> S. O desmonte do financiamento da seguridade social em contexto de ajuste fiscal. </w:t>
      </w:r>
      <w:r w:rsidRPr="006B5841">
        <w:rPr>
          <w:rFonts w:cs="Times New Roman"/>
          <w:b/>
          <w:color w:val="000000"/>
          <w:szCs w:val="24"/>
          <w:shd w:val="clear" w:color="auto" w:fill="FFFFFF"/>
        </w:rPr>
        <w:t>Serv. Soc. Soc.,</w:t>
      </w:r>
      <w:r w:rsidRPr="00D55AB0">
        <w:rPr>
          <w:rFonts w:cs="Times New Roman"/>
          <w:color w:val="000000"/>
          <w:szCs w:val="24"/>
          <w:shd w:val="clear" w:color="auto" w:fill="FFFFFF"/>
        </w:rPr>
        <w:t xml:space="preserve"> São Paulo, n. 130, p. 426-446, set./dez. 2017.</w:t>
      </w:r>
      <w:r w:rsidR="00BF2059" w:rsidDel="00BF2059">
        <w:t xml:space="preserve"> </w:t>
      </w:r>
    </w:p>
    <w:p w14:paraId="5ABA2985" w14:textId="77777777" w:rsidR="00B87BB4" w:rsidRDefault="00B87BB4" w:rsidP="00EE758A">
      <w:pPr>
        <w:tabs>
          <w:tab w:val="clear" w:pos="851"/>
        </w:tabs>
        <w:spacing w:line="240" w:lineRule="auto"/>
        <w:jc w:val="left"/>
        <w:rPr>
          <w:rFonts w:cs="Times New Roman"/>
          <w:color w:val="000000"/>
          <w:shd w:val="clear" w:color="auto" w:fill="FFFFFF"/>
        </w:rPr>
      </w:pPr>
    </w:p>
    <w:p w14:paraId="2DF3FFD7" w14:textId="4181DD62" w:rsidR="00FA1ACC" w:rsidRPr="00FA1ACC" w:rsidRDefault="00FA1ACC" w:rsidP="00EE758A">
      <w:pPr>
        <w:tabs>
          <w:tab w:val="clear" w:pos="851"/>
        </w:tabs>
        <w:spacing w:line="240" w:lineRule="auto"/>
        <w:jc w:val="left"/>
        <w:rPr>
          <w:rFonts w:cs="Times New Roman"/>
          <w:color w:val="000000"/>
          <w:shd w:val="clear" w:color="auto" w:fill="FFFFFF"/>
        </w:rPr>
      </w:pPr>
      <w:r w:rsidRPr="00FA1ACC">
        <w:rPr>
          <w:rFonts w:cs="Times New Roman"/>
          <w:color w:val="000000"/>
          <w:shd w:val="clear" w:color="auto" w:fill="FFFFFF"/>
        </w:rPr>
        <w:t>SILVA, R</w:t>
      </w:r>
      <w:r w:rsidR="00BF2059">
        <w:rPr>
          <w:rFonts w:cs="Times New Roman"/>
          <w:color w:val="000000"/>
          <w:shd w:val="clear" w:color="auto" w:fill="FFFFFF"/>
        </w:rPr>
        <w:t>.</w:t>
      </w:r>
      <w:r w:rsidRPr="00FA1ACC">
        <w:rPr>
          <w:rFonts w:cs="Times New Roman"/>
          <w:color w:val="000000"/>
          <w:shd w:val="clear" w:color="auto" w:fill="FFFFFF"/>
        </w:rPr>
        <w:t xml:space="preserve"> M</w:t>
      </w:r>
      <w:r w:rsidR="00BF2059">
        <w:rPr>
          <w:rFonts w:cs="Times New Roman"/>
          <w:color w:val="000000"/>
          <w:shd w:val="clear" w:color="auto" w:fill="FFFFFF"/>
        </w:rPr>
        <w:t>.</w:t>
      </w:r>
      <w:r w:rsidRPr="00FA1ACC">
        <w:rPr>
          <w:rFonts w:cs="Times New Roman"/>
          <w:color w:val="000000"/>
          <w:shd w:val="clear" w:color="auto" w:fill="FFFFFF"/>
        </w:rPr>
        <w:t xml:space="preserve"> A. E</w:t>
      </w:r>
      <w:r w:rsidR="00BF2059">
        <w:rPr>
          <w:rFonts w:cs="Times New Roman"/>
          <w:color w:val="000000"/>
          <w:shd w:val="clear" w:color="auto" w:fill="FFFFFF"/>
        </w:rPr>
        <w:t>ntre dois paradigmas</w:t>
      </w:r>
      <w:r w:rsidRPr="00FA1ACC">
        <w:rPr>
          <w:rFonts w:cs="Times New Roman"/>
          <w:color w:val="000000"/>
          <w:shd w:val="clear" w:color="auto" w:fill="FFFFFF"/>
        </w:rPr>
        <w:t xml:space="preserve">: combate à seca e convivência com o </w:t>
      </w:r>
      <w:proofErr w:type="spellStart"/>
      <w:proofErr w:type="gramStart"/>
      <w:r w:rsidRPr="00FA1ACC">
        <w:rPr>
          <w:rFonts w:cs="Times New Roman"/>
          <w:color w:val="000000"/>
          <w:shd w:val="clear" w:color="auto" w:fill="FFFFFF"/>
        </w:rPr>
        <w:t>semi-árido</w:t>
      </w:r>
      <w:proofErr w:type="spellEnd"/>
      <w:proofErr w:type="gramEnd"/>
      <w:r w:rsidRPr="00FA1ACC">
        <w:rPr>
          <w:rFonts w:cs="Times New Roman"/>
          <w:color w:val="000000"/>
          <w:shd w:val="clear" w:color="auto" w:fill="FFFFFF"/>
        </w:rPr>
        <w:t xml:space="preserve">. </w:t>
      </w:r>
      <w:r w:rsidRPr="00FA1ACC">
        <w:rPr>
          <w:rFonts w:cs="Times New Roman"/>
          <w:b/>
          <w:color w:val="000000"/>
          <w:shd w:val="clear" w:color="auto" w:fill="FFFFFF"/>
        </w:rPr>
        <w:t>Sociedade e Estado, Brasília</w:t>
      </w:r>
      <w:r w:rsidRPr="00FA1ACC">
        <w:rPr>
          <w:rFonts w:cs="Times New Roman"/>
          <w:color w:val="000000"/>
          <w:shd w:val="clear" w:color="auto" w:fill="FFFFFF"/>
        </w:rPr>
        <w:t xml:space="preserve">, </w:t>
      </w:r>
      <w:proofErr w:type="gramStart"/>
      <w:r w:rsidRPr="00FA1ACC">
        <w:rPr>
          <w:rFonts w:cs="Times New Roman"/>
          <w:color w:val="000000"/>
          <w:shd w:val="clear" w:color="auto" w:fill="FFFFFF"/>
        </w:rPr>
        <w:t>v.18 ,</w:t>
      </w:r>
      <w:proofErr w:type="gramEnd"/>
      <w:r w:rsidRPr="00FA1ACC">
        <w:rPr>
          <w:rFonts w:cs="Times New Roman"/>
          <w:color w:val="000000"/>
          <w:shd w:val="clear" w:color="auto" w:fill="FFFFFF"/>
        </w:rPr>
        <w:t xml:space="preserve"> n.12 , p. 361-385, dez 2003.</w:t>
      </w:r>
    </w:p>
    <w:p w14:paraId="32D7C1C3" w14:textId="77777777" w:rsidR="00B87BB4" w:rsidRDefault="00B87BB4" w:rsidP="00EE758A">
      <w:pPr>
        <w:pStyle w:val="NormalWeb"/>
        <w:spacing w:before="0" w:beforeAutospacing="0" w:after="0" w:afterAutospacing="0"/>
        <w:rPr>
          <w:color w:val="000000"/>
          <w:szCs w:val="22"/>
          <w:shd w:val="clear" w:color="auto" w:fill="FFFFFF"/>
        </w:rPr>
      </w:pPr>
    </w:p>
    <w:p w14:paraId="21FE0FD5" w14:textId="189152E0" w:rsidR="00CF37C9" w:rsidRDefault="003B21F4" w:rsidP="00EE758A">
      <w:pPr>
        <w:pStyle w:val="NormalWeb"/>
        <w:spacing w:before="0" w:beforeAutospacing="0" w:after="0" w:afterAutospacing="0"/>
        <w:rPr>
          <w:color w:val="000000"/>
          <w:szCs w:val="22"/>
          <w:shd w:val="clear" w:color="auto" w:fill="FFFFFF"/>
        </w:rPr>
      </w:pPr>
      <w:r w:rsidRPr="003B21F4">
        <w:rPr>
          <w:color w:val="000000"/>
          <w:szCs w:val="22"/>
          <w:shd w:val="clear" w:color="auto" w:fill="FFFFFF"/>
        </w:rPr>
        <w:t>SILVA, R</w:t>
      </w:r>
      <w:r w:rsidR="00BF2059">
        <w:rPr>
          <w:color w:val="000000"/>
          <w:szCs w:val="22"/>
          <w:shd w:val="clear" w:color="auto" w:fill="FFFFFF"/>
        </w:rPr>
        <w:t>.</w:t>
      </w:r>
      <w:r w:rsidRPr="003B21F4">
        <w:rPr>
          <w:color w:val="000000"/>
          <w:szCs w:val="22"/>
          <w:shd w:val="clear" w:color="auto" w:fill="FFFFFF"/>
        </w:rPr>
        <w:t xml:space="preserve"> M</w:t>
      </w:r>
      <w:r w:rsidR="00BF2059">
        <w:rPr>
          <w:color w:val="000000"/>
          <w:szCs w:val="22"/>
          <w:shd w:val="clear" w:color="auto" w:fill="FFFFFF"/>
        </w:rPr>
        <w:t>.</w:t>
      </w:r>
      <w:r w:rsidRPr="003B21F4">
        <w:rPr>
          <w:color w:val="000000"/>
          <w:szCs w:val="22"/>
          <w:shd w:val="clear" w:color="auto" w:fill="FFFFFF"/>
        </w:rPr>
        <w:t xml:space="preserve"> A. </w:t>
      </w:r>
      <w:r w:rsidRPr="003B21F4">
        <w:rPr>
          <w:b/>
          <w:color w:val="000000"/>
          <w:szCs w:val="22"/>
          <w:shd w:val="clear" w:color="auto" w:fill="FFFFFF"/>
        </w:rPr>
        <w:t>Entre o Combate à Seca e a Convivência com o Semiárido: Transições paradigmáticas e sustentabilidade do desenvolvimento</w:t>
      </w:r>
      <w:r w:rsidRPr="003B21F4">
        <w:rPr>
          <w:color w:val="000000"/>
          <w:szCs w:val="22"/>
          <w:shd w:val="clear" w:color="auto" w:fill="FFFFFF"/>
        </w:rPr>
        <w:t>. Fortaleza: Banco do Nordeste, 2012.</w:t>
      </w:r>
      <w:r w:rsidR="00CF37C9">
        <w:rPr>
          <w:color w:val="000000"/>
          <w:szCs w:val="22"/>
          <w:shd w:val="clear" w:color="auto" w:fill="FFFFFF"/>
        </w:rPr>
        <w:t xml:space="preserve"> </w:t>
      </w:r>
    </w:p>
    <w:p w14:paraId="6A7DC936" w14:textId="77777777" w:rsidR="00B87BB4" w:rsidRDefault="00B87BB4" w:rsidP="00EE758A">
      <w:pPr>
        <w:pStyle w:val="NormalWeb"/>
        <w:spacing w:before="0" w:beforeAutospacing="0" w:after="0" w:afterAutospacing="0"/>
        <w:rPr>
          <w:color w:val="000000"/>
        </w:rPr>
      </w:pPr>
    </w:p>
    <w:p w14:paraId="0F0FF174" w14:textId="7757AE48" w:rsidR="00BD2956" w:rsidRPr="009527FF" w:rsidRDefault="00B84DD1" w:rsidP="009527FF">
      <w:pPr>
        <w:pStyle w:val="NormalWeb"/>
        <w:spacing w:before="0" w:beforeAutospacing="0" w:after="0" w:afterAutospacing="0"/>
        <w:rPr>
          <w:color w:val="000000"/>
          <w:shd w:val="clear" w:color="auto" w:fill="FFFFFF"/>
        </w:rPr>
      </w:pPr>
      <w:r w:rsidRPr="00F01F5D">
        <w:rPr>
          <w:color w:val="000000"/>
          <w:szCs w:val="22"/>
          <w:shd w:val="clear" w:color="auto" w:fill="FFFFFF"/>
        </w:rPr>
        <w:t xml:space="preserve">SILVA, Roberto </w:t>
      </w:r>
      <w:r w:rsidRPr="00F01F5D">
        <w:rPr>
          <w:i/>
          <w:iCs/>
          <w:color w:val="000000"/>
          <w:szCs w:val="22"/>
          <w:shd w:val="clear" w:color="auto" w:fill="FFFFFF"/>
        </w:rPr>
        <w:t>et al</w:t>
      </w:r>
      <w:r w:rsidRPr="00F01F5D">
        <w:rPr>
          <w:color w:val="000000"/>
          <w:szCs w:val="22"/>
          <w:shd w:val="clear" w:color="auto" w:fill="FFFFFF"/>
        </w:rPr>
        <w:t xml:space="preserve">. Características produtivas e socioambientais da agricultura familiar no Semiárido brasileiro: evidências a partir do censo agropecuário de 2017. </w:t>
      </w:r>
      <w:proofErr w:type="spellStart"/>
      <w:r w:rsidRPr="00F01F5D">
        <w:rPr>
          <w:b/>
          <w:bCs/>
          <w:color w:val="000000"/>
          <w:szCs w:val="22"/>
          <w:shd w:val="clear" w:color="auto" w:fill="FFFFFF"/>
        </w:rPr>
        <w:t>DeMA</w:t>
      </w:r>
      <w:proofErr w:type="spellEnd"/>
      <w:r w:rsidRPr="00F01F5D">
        <w:rPr>
          <w:color w:val="000000"/>
          <w:szCs w:val="22"/>
          <w:shd w:val="clear" w:color="auto" w:fill="FFFFFF"/>
        </w:rPr>
        <w:t>, Paraná, v. 55, p. 314-338, dez. 2020.</w:t>
      </w:r>
      <w:r>
        <w:rPr>
          <w:color w:val="000000"/>
          <w:shd w:val="clear" w:color="auto" w:fill="FFFFFF"/>
        </w:rPr>
        <w:t xml:space="preserve"> </w:t>
      </w:r>
    </w:p>
    <w:sectPr w:rsidR="00BD2956" w:rsidRPr="009527FF" w:rsidSect="000F04D0">
      <w:headerReference w:type="default" r:id="rId11"/>
      <w:foot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9A3F" w14:textId="77777777" w:rsidR="000F04D0" w:rsidRDefault="000F04D0">
      <w:pPr>
        <w:spacing w:line="240" w:lineRule="auto"/>
      </w:pPr>
      <w:r>
        <w:separator/>
      </w:r>
    </w:p>
  </w:endnote>
  <w:endnote w:type="continuationSeparator" w:id="0">
    <w:p w14:paraId="11106785" w14:textId="77777777" w:rsidR="000F04D0" w:rsidRDefault="000F0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33073D65" w14:textId="77777777" w:rsidR="00605786" w:rsidRDefault="00605786">
        <w:pPr>
          <w:pStyle w:val="Rodap"/>
          <w:jc w:val="right"/>
        </w:pPr>
        <w:r>
          <w:fldChar w:fldCharType="begin"/>
        </w:r>
        <w:r>
          <w:instrText>PAGE   \* MERGEFORMAT</w:instrText>
        </w:r>
        <w:r>
          <w:fldChar w:fldCharType="separate"/>
        </w:r>
        <w:r w:rsidR="006C711B">
          <w:rPr>
            <w:noProof/>
          </w:rPr>
          <w:t>15</w:t>
        </w:r>
        <w:r>
          <w:fldChar w:fldCharType="end"/>
        </w:r>
      </w:p>
    </w:sdtContent>
  </w:sdt>
  <w:p w14:paraId="37CB254E" w14:textId="77777777" w:rsidR="00605786" w:rsidRDefault="006057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1FDCF" w14:textId="77777777" w:rsidR="000F04D0" w:rsidRDefault="000F04D0">
      <w:r>
        <w:separator/>
      </w:r>
    </w:p>
  </w:footnote>
  <w:footnote w:type="continuationSeparator" w:id="0">
    <w:p w14:paraId="651C6215" w14:textId="77777777" w:rsidR="000F04D0" w:rsidRDefault="000F04D0">
      <w:r>
        <w:continuationSeparator/>
      </w:r>
    </w:p>
  </w:footnote>
  <w:footnote w:id="1">
    <w:p w14:paraId="653DAB0F" w14:textId="1C2100EA" w:rsidR="00605786" w:rsidRDefault="00605786" w:rsidP="00016B2A">
      <w:pPr>
        <w:pStyle w:val="Textodenotaderodap"/>
        <w:ind w:left="142" w:hanging="142"/>
      </w:pPr>
      <w:r w:rsidRPr="0089789D">
        <w:rPr>
          <w:rStyle w:val="Refdenotaderodap"/>
          <w:sz w:val="18"/>
          <w:szCs w:val="18"/>
        </w:rPr>
        <w:footnoteRef/>
      </w:r>
      <w:r w:rsidRPr="0089789D">
        <w:rPr>
          <w:sz w:val="18"/>
          <w:szCs w:val="18"/>
        </w:rPr>
        <w:t xml:space="preserve"> </w:t>
      </w:r>
      <w:r w:rsidRPr="0089789D">
        <w:rPr>
          <w:rFonts w:cs="Times New Roman"/>
          <w:color w:val="000000"/>
          <w:sz w:val="18"/>
          <w:szCs w:val="18"/>
        </w:rPr>
        <w:t>Graduanda em Serviço Social pela Universidade Federal do Rio Grande do Norte (UFRN) e integrante do</w:t>
      </w:r>
      <w:r w:rsidR="00016B2A">
        <w:rPr>
          <w:rFonts w:cs="Times New Roman"/>
          <w:color w:val="000000"/>
          <w:sz w:val="18"/>
          <w:szCs w:val="18"/>
        </w:rPr>
        <w:t xml:space="preserve"> </w:t>
      </w:r>
      <w:r w:rsidRPr="0089789D">
        <w:rPr>
          <w:rFonts w:cs="Times New Roman"/>
          <w:color w:val="000000"/>
          <w:sz w:val="18"/>
          <w:szCs w:val="18"/>
        </w:rPr>
        <w:t>Grupo de Estudos e Pesquisas em Questão Social, P</w:t>
      </w:r>
      <w:r w:rsidR="00CB56D0">
        <w:rPr>
          <w:rFonts w:cs="Times New Roman"/>
          <w:color w:val="000000"/>
          <w:sz w:val="18"/>
          <w:szCs w:val="18"/>
        </w:rPr>
        <w:t>olítica Social e Serviço Social</w:t>
      </w:r>
      <w:r w:rsidRPr="0089789D">
        <w:rPr>
          <w:rFonts w:cs="Times New Roman"/>
          <w:color w:val="000000"/>
          <w:sz w:val="18"/>
          <w:szCs w:val="18"/>
        </w:rPr>
        <w:t>. Email: luiza.santos.711@ufrn.edu.br</w:t>
      </w:r>
    </w:p>
  </w:footnote>
  <w:footnote w:id="2">
    <w:p w14:paraId="09D85BF5" w14:textId="37141850" w:rsidR="00605786" w:rsidRPr="0089789D" w:rsidRDefault="00605786" w:rsidP="00016B2A">
      <w:pPr>
        <w:pStyle w:val="Textodenotaderodap"/>
        <w:ind w:left="142" w:hanging="142"/>
        <w:rPr>
          <w:rFonts w:cs="Times New Roman"/>
        </w:rPr>
      </w:pPr>
      <w:r w:rsidRPr="0089789D">
        <w:rPr>
          <w:rStyle w:val="Refdenotaderodap"/>
          <w:rFonts w:cs="Times New Roman"/>
        </w:rPr>
        <w:footnoteRef/>
      </w:r>
      <w:r w:rsidRPr="0089789D">
        <w:rPr>
          <w:rFonts w:cs="Times New Roman"/>
        </w:rPr>
        <w:t xml:space="preserve"> </w:t>
      </w:r>
      <w:r w:rsidRPr="0089789D">
        <w:rPr>
          <w:rFonts w:cs="Times New Roman"/>
          <w:color w:val="000000"/>
          <w:sz w:val="18"/>
          <w:szCs w:val="18"/>
        </w:rPr>
        <w:t>Graduanda em Serviço Social pela Universidade Federal do Rio Grande do Norte (UFRN)</w:t>
      </w:r>
      <w:r>
        <w:rPr>
          <w:rFonts w:cs="Times New Roman"/>
          <w:color w:val="000000"/>
          <w:sz w:val="18"/>
          <w:szCs w:val="18"/>
        </w:rPr>
        <w:t xml:space="preserve"> </w:t>
      </w:r>
      <w:r w:rsidRPr="0089789D">
        <w:rPr>
          <w:rFonts w:cs="Times New Roman"/>
          <w:color w:val="000000"/>
          <w:sz w:val="18"/>
          <w:szCs w:val="18"/>
        </w:rPr>
        <w:t>e integrante do</w:t>
      </w:r>
      <w:r w:rsidR="00016B2A">
        <w:rPr>
          <w:rFonts w:cs="Times New Roman"/>
          <w:color w:val="000000"/>
          <w:sz w:val="18"/>
          <w:szCs w:val="18"/>
        </w:rPr>
        <w:t xml:space="preserve"> </w:t>
      </w:r>
      <w:r w:rsidRPr="0089789D">
        <w:rPr>
          <w:rFonts w:cs="Times New Roman"/>
          <w:color w:val="000000"/>
          <w:sz w:val="18"/>
          <w:szCs w:val="18"/>
        </w:rPr>
        <w:t>Grupo de Estudos e Pesquisas em Questão Social, Política Social e Serviço Social. Email: rithapontes@gmail.com</w:t>
      </w:r>
      <w:r w:rsidR="00016B2A">
        <w:rPr>
          <w:rFonts w:cs="Times New Roman"/>
          <w:color w:val="000000"/>
          <w:sz w:val="18"/>
          <w:szCs w:val="18"/>
        </w:rPr>
        <w:t>.</w:t>
      </w:r>
    </w:p>
  </w:footnote>
  <w:footnote w:id="3">
    <w:p w14:paraId="4C4C82FF" w14:textId="5B50F42D" w:rsidR="00605786" w:rsidRDefault="00605786" w:rsidP="00016B2A">
      <w:pPr>
        <w:pStyle w:val="Textodenotaderodap"/>
        <w:ind w:left="142" w:hanging="142"/>
      </w:pPr>
      <w:r w:rsidRPr="0089789D">
        <w:rPr>
          <w:rStyle w:val="Refdenotaderodap"/>
          <w:sz w:val="18"/>
        </w:rPr>
        <w:footnoteRef/>
      </w:r>
      <w:r w:rsidRPr="0089789D">
        <w:rPr>
          <w:sz w:val="18"/>
        </w:rPr>
        <w:t xml:space="preserve"> </w:t>
      </w:r>
      <w:r w:rsidRPr="00ED549E">
        <w:rPr>
          <w:sz w:val="18"/>
        </w:rPr>
        <w:t>Doutor em Desenvolvimento Sustentável</w:t>
      </w:r>
      <w:r>
        <w:rPr>
          <w:sz w:val="18"/>
        </w:rPr>
        <w:t>,</w:t>
      </w:r>
      <w:r w:rsidRPr="00ED549E">
        <w:rPr>
          <w:sz w:val="18"/>
        </w:rPr>
        <w:t xml:space="preserve"> </w:t>
      </w:r>
      <w:r>
        <w:rPr>
          <w:sz w:val="18"/>
        </w:rPr>
        <w:t xml:space="preserve">membro do </w:t>
      </w:r>
      <w:r w:rsidRPr="00ED549E">
        <w:rPr>
          <w:sz w:val="18"/>
        </w:rPr>
        <w:t>Grupo de</w:t>
      </w:r>
      <w:r>
        <w:rPr>
          <w:sz w:val="18"/>
        </w:rPr>
        <w:t xml:space="preserve"> </w:t>
      </w:r>
      <w:r w:rsidRPr="00ED549E">
        <w:rPr>
          <w:sz w:val="18"/>
        </w:rPr>
        <w:t>Estudos e Pesquisas em Questão Social, P</w:t>
      </w:r>
      <w:r>
        <w:rPr>
          <w:sz w:val="18"/>
        </w:rPr>
        <w:t>olítica Social e Serviço Social e</w:t>
      </w:r>
      <w:r w:rsidRPr="00ED549E">
        <w:rPr>
          <w:sz w:val="18"/>
        </w:rPr>
        <w:t xml:space="preserve"> </w:t>
      </w:r>
      <w:r>
        <w:rPr>
          <w:sz w:val="18"/>
        </w:rPr>
        <w:t>c</w:t>
      </w:r>
      <w:r w:rsidRPr="00ED549E">
        <w:rPr>
          <w:sz w:val="18"/>
        </w:rPr>
        <w:t>oordenador da pesquisa</w:t>
      </w:r>
      <w:r>
        <w:rPr>
          <w:sz w:val="18"/>
        </w:rPr>
        <w:t xml:space="preserve"> </w:t>
      </w:r>
      <w:r w:rsidRPr="00ED549E">
        <w:rPr>
          <w:sz w:val="18"/>
        </w:rPr>
        <w:t>“Resistências sertanejas no Semiárido brasileiro: a agricultura familiar entre mudanças climáticas,</w:t>
      </w:r>
      <w:r>
        <w:rPr>
          <w:sz w:val="18"/>
        </w:rPr>
        <w:t xml:space="preserve"> </w:t>
      </w:r>
      <w:r w:rsidRPr="00ED549E">
        <w:rPr>
          <w:sz w:val="18"/>
        </w:rPr>
        <w:t>ajuste fiscal e pandemi</w:t>
      </w:r>
      <w:r>
        <w:rPr>
          <w:sz w:val="18"/>
        </w:rPr>
        <w:t xml:space="preserve">a no século XXI (2010 a 2020)”. Email: </w:t>
      </w:r>
      <w:r w:rsidRPr="00ED549E">
        <w:rPr>
          <w:sz w:val="18"/>
        </w:rPr>
        <w:t>roberto.alves@ufrn.br</w:t>
      </w:r>
    </w:p>
  </w:footnote>
  <w:footnote w:id="4">
    <w:p w14:paraId="228D8050" w14:textId="550D7024" w:rsidR="00605786" w:rsidRPr="004D67E0" w:rsidRDefault="00605786" w:rsidP="00016B2A">
      <w:pPr>
        <w:pStyle w:val="NormalWeb"/>
        <w:spacing w:before="0" w:beforeAutospacing="0" w:after="0" w:afterAutospacing="0"/>
        <w:ind w:left="142" w:hanging="142"/>
        <w:jc w:val="both"/>
        <w:rPr>
          <w:sz w:val="18"/>
          <w:szCs w:val="18"/>
        </w:rPr>
      </w:pPr>
      <w:r w:rsidRPr="004D67E0">
        <w:rPr>
          <w:rStyle w:val="Refdenotaderodap"/>
          <w:sz w:val="18"/>
          <w:szCs w:val="18"/>
        </w:rPr>
        <w:footnoteRef/>
      </w:r>
      <w:r w:rsidRPr="004D67E0">
        <w:rPr>
          <w:sz w:val="18"/>
          <w:szCs w:val="18"/>
        </w:rPr>
        <w:t xml:space="preserve"> </w:t>
      </w:r>
      <w:r w:rsidRPr="004D67E0">
        <w:rPr>
          <w:color w:val="000000"/>
          <w:sz w:val="18"/>
          <w:szCs w:val="18"/>
        </w:rPr>
        <w:t> Estabelecido durante o governo FHC em 1999, a partir de recomendação do FMI, como solução do endividamento público, dos elevados índices inflacionários e da estagnação econômica dos países de baixo desenvolvimento. Assim, foram implementadas metas desses superávits para garantia do pagamento dos juros da dívida visando um compromisso com a estabilidade econômica e com algumas contrarreformas.</w:t>
      </w:r>
    </w:p>
  </w:footnote>
  <w:footnote w:id="5">
    <w:p w14:paraId="337BC827" w14:textId="5BA3D7EB" w:rsidR="00605786" w:rsidRPr="00530A4D" w:rsidRDefault="00605786">
      <w:pPr>
        <w:pStyle w:val="Textodenotaderodap"/>
        <w:rPr>
          <w:rFonts w:cs="Times New Roman"/>
        </w:rPr>
      </w:pPr>
      <w:r w:rsidRPr="00530A4D">
        <w:rPr>
          <w:rStyle w:val="Refdenotaderodap"/>
          <w:rFonts w:cs="Times New Roman"/>
          <w:sz w:val="18"/>
        </w:rPr>
        <w:footnoteRef/>
      </w:r>
      <w:r w:rsidRPr="00530A4D">
        <w:rPr>
          <w:rFonts w:cs="Times New Roman"/>
          <w:sz w:val="18"/>
        </w:rPr>
        <w:t xml:space="preserve"> </w:t>
      </w:r>
      <w:r w:rsidRPr="00530A4D">
        <w:rPr>
          <w:rFonts w:cs="Times New Roman"/>
          <w:color w:val="000000"/>
          <w:sz w:val="18"/>
        </w:rPr>
        <w:t>PISF é a sigla relativa a “Projeto de Integração do Rio São Francisco”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2076" w14:textId="77777777" w:rsidR="00605786" w:rsidRDefault="00605786">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53421D28" wp14:editId="2A65699D">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153011B5" w14:textId="77777777" w:rsidR="00605786" w:rsidRDefault="00605786">
    <w:pPr>
      <w:pStyle w:val="Cabealho"/>
      <w:jc w:val="center"/>
      <w:rPr>
        <w:szCs w:val="20"/>
      </w:rPr>
    </w:pPr>
  </w:p>
  <w:p w14:paraId="70241821" w14:textId="77777777" w:rsidR="00605786" w:rsidRDefault="00605786">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3218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16B2A"/>
    <w:rsid w:val="000264AF"/>
    <w:rsid w:val="00027FD4"/>
    <w:rsid w:val="00057241"/>
    <w:rsid w:val="0006670E"/>
    <w:rsid w:val="000B6AD9"/>
    <w:rsid w:val="000E6012"/>
    <w:rsid w:val="000E71B1"/>
    <w:rsid w:val="000F04D0"/>
    <w:rsid w:val="000F626D"/>
    <w:rsid w:val="001277F9"/>
    <w:rsid w:val="00127A73"/>
    <w:rsid w:val="00136273"/>
    <w:rsid w:val="00150231"/>
    <w:rsid w:val="001538D6"/>
    <w:rsid w:val="00155934"/>
    <w:rsid w:val="00165B96"/>
    <w:rsid w:val="00177795"/>
    <w:rsid w:val="00186DC9"/>
    <w:rsid w:val="001E02B6"/>
    <w:rsid w:val="001F4845"/>
    <w:rsid w:val="0020372B"/>
    <w:rsid w:val="002047DA"/>
    <w:rsid w:val="00207368"/>
    <w:rsid w:val="002330C8"/>
    <w:rsid w:val="002536A1"/>
    <w:rsid w:val="00264505"/>
    <w:rsid w:val="00264913"/>
    <w:rsid w:val="002834C9"/>
    <w:rsid w:val="0028391D"/>
    <w:rsid w:val="00284D01"/>
    <w:rsid w:val="0029277F"/>
    <w:rsid w:val="002E6AB4"/>
    <w:rsid w:val="002F23B1"/>
    <w:rsid w:val="0030231E"/>
    <w:rsid w:val="00303946"/>
    <w:rsid w:val="003150EE"/>
    <w:rsid w:val="00343551"/>
    <w:rsid w:val="0038235B"/>
    <w:rsid w:val="003A6A3F"/>
    <w:rsid w:val="003B21F4"/>
    <w:rsid w:val="003B7BB4"/>
    <w:rsid w:val="003D32DB"/>
    <w:rsid w:val="003E2F7F"/>
    <w:rsid w:val="003F0059"/>
    <w:rsid w:val="003F6CA4"/>
    <w:rsid w:val="003F7C83"/>
    <w:rsid w:val="00402E2A"/>
    <w:rsid w:val="004033E7"/>
    <w:rsid w:val="0040364A"/>
    <w:rsid w:val="00445C74"/>
    <w:rsid w:val="00455653"/>
    <w:rsid w:val="00465B55"/>
    <w:rsid w:val="004872C2"/>
    <w:rsid w:val="004D67E0"/>
    <w:rsid w:val="004F0CC2"/>
    <w:rsid w:val="004F3D85"/>
    <w:rsid w:val="004F5D45"/>
    <w:rsid w:val="005002E9"/>
    <w:rsid w:val="00501639"/>
    <w:rsid w:val="0052411B"/>
    <w:rsid w:val="00530A4D"/>
    <w:rsid w:val="00563179"/>
    <w:rsid w:val="0057742C"/>
    <w:rsid w:val="005819CE"/>
    <w:rsid w:val="00586C56"/>
    <w:rsid w:val="005924AE"/>
    <w:rsid w:val="005A59AA"/>
    <w:rsid w:val="005B4294"/>
    <w:rsid w:val="005B5D17"/>
    <w:rsid w:val="005D7039"/>
    <w:rsid w:val="005E42AF"/>
    <w:rsid w:val="005E5B08"/>
    <w:rsid w:val="005F008A"/>
    <w:rsid w:val="00604176"/>
    <w:rsid w:val="00605786"/>
    <w:rsid w:val="00616B2F"/>
    <w:rsid w:val="0064787A"/>
    <w:rsid w:val="00655DC9"/>
    <w:rsid w:val="00666E13"/>
    <w:rsid w:val="006737C0"/>
    <w:rsid w:val="006B5841"/>
    <w:rsid w:val="006C14C9"/>
    <w:rsid w:val="006C711B"/>
    <w:rsid w:val="006C778E"/>
    <w:rsid w:val="006E3F0A"/>
    <w:rsid w:val="006E7AA1"/>
    <w:rsid w:val="00707FE4"/>
    <w:rsid w:val="007111A1"/>
    <w:rsid w:val="00717AA7"/>
    <w:rsid w:val="00727CA0"/>
    <w:rsid w:val="00735977"/>
    <w:rsid w:val="00752BE2"/>
    <w:rsid w:val="00754A94"/>
    <w:rsid w:val="00756367"/>
    <w:rsid w:val="007B0E81"/>
    <w:rsid w:val="007C1D10"/>
    <w:rsid w:val="007D2E76"/>
    <w:rsid w:val="007D3554"/>
    <w:rsid w:val="007E0D79"/>
    <w:rsid w:val="007F612C"/>
    <w:rsid w:val="007F67E5"/>
    <w:rsid w:val="00802117"/>
    <w:rsid w:val="00803257"/>
    <w:rsid w:val="00816EC0"/>
    <w:rsid w:val="00856078"/>
    <w:rsid w:val="00856418"/>
    <w:rsid w:val="00867376"/>
    <w:rsid w:val="008872A9"/>
    <w:rsid w:val="008956FE"/>
    <w:rsid w:val="0089789D"/>
    <w:rsid w:val="008A33A1"/>
    <w:rsid w:val="008C3F87"/>
    <w:rsid w:val="008D3D52"/>
    <w:rsid w:val="008E307F"/>
    <w:rsid w:val="009010A6"/>
    <w:rsid w:val="0091635C"/>
    <w:rsid w:val="0094733B"/>
    <w:rsid w:val="009527FF"/>
    <w:rsid w:val="0096237D"/>
    <w:rsid w:val="0097354F"/>
    <w:rsid w:val="00987B9A"/>
    <w:rsid w:val="009A0569"/>
    <w:rsid w:val="009A6829"/>
    <w:rsid w:val="009B0264"/>
    <w:rsid w:val="009B4716"/>
    <w:rsid w:val="009C6A6D"/>
    <w:rsid w:val="009F40E1"/>
    <w:rsid w:val="009F6C8A"/>
    <w:rsid w:val="00A00A8D"/>
    <w:rsid w:val="00A02757"/>
    <w:rsid w:val="00A06F85"/>
    <w:rsid w:val="00A12657"/>
    <w:rsid w:val="00A2426E"/>
    <w:rsid w:val="00A25565"/>
    <w:rsid w:val="00A44B3F"/>
    <w:rsid w:val="00A5554A"/>
    <w:rsid w:val="00A80C99"/>
    <w:rsid w:val="00A91CA8"/>
    <w:rsid w:val="00A94010"/>
    <w:rsid w:val="00A94AE9"/>
    <w:rsid w:val="00AA5A18"/>
    <w:rsid w:val="00AD1852"/>
    <w:rsid w:val="00AE451A"/>
    <w:rsid w:val="00B32633"/>
    <w:rsid w:val="00B45CFF"/>
    <w:rsid w:val="00B47C9D"/>
    <w:rsid w:val="00B659CA"/>
    <w:rsid w:val="00B81FD8"/>
    <w:rsid w:val="00B84DD1"/>
    <w:rsid w:val="00B87BB4"/>
    <w:rsid w:val="00B92EC3"/>
    <w:rsid w:val="00B94C5B"/>
    <w:rsid w:val="00BB5A48"/>
    <w:rsid w:val="00BC5706"/>
    <w:rsid w:val="00BD1C34"/>
    <w:rsid w:val="00BD2956"/>
    <w:rsid w:val="00BE0388"/>
    <w:rsid w:val="00BF2059"/>
    <w:rsid w:val="00BF3CE1"/>
    <w:rsid w:val="00C04C87"/>
    <w:rsid w:val="00C1139B"/>
    <w:rsid w:val="00C22554"/>
    <w:rsid w:val="00C25DFC"/>
    <w:rsid w:val="00C32117"/>
    <w:rsid w:val="00C3648A"/>
    <w:rsid w:val="00C40B5D"/>
    <w:rsid w:val="00C46E16"/>
    <w:rsid w:val="00C93346"/>
    <w:rsid w:val="00CA021E"/>
    <w:rsid w:val="00CB56D0"/>
    <w:rsid w:val="00CC5D72"/>
    <w:rsid w:val="00CE0DC6"/>
    <w:rsid w:val="00CE3BF6"/>
    <w:rsid w:val="00CF37C9"/>
    <w:rsid w:val="00D050F8"/>
    <w:rsid w:val="00D20DF1"/>
    <w:rsid w:val="00D30C94"/>
    <w:rsid w:val="00D34CAC"/>
    <w:rsid w:val="00D37344"/>
    <w:rsid w:val="00D55AB0"/>
    <w:rsid w:val="00D67A0A"/>
    <w:rsid w:val="00D838A5"/>
    <w:rsid w:val="00D96C13"/>
    <w:rsid w:val="00DB456E"/>
    <w:rsid w:val="00DB765D"/>
    <w:rsid w:val="00DD5E0B"/>
    <w:rsid w:val="00E05CD1"/>
    <w:rsid w:val="00E37BF1"/>
    <w:rsid w:val="00E5483B"/>
    <w:rsid w:val="00E72D46"/>
    <w:rsid w:val="00EB0A81"/>
    <w:rsid w:val="00EC4CA8"/>
    <w:rsid w:val="00ED549E"/>
    <w:rsid w:val="00EE758A"/>
    <w:rsid w:val="00EF382F"/>
    <w:rsid w:val="00EF5FA7"/>
    <w:rsid w:val="00F00BDF"/>
    <w:rsid w:val="00F01D2A"/>
    <w:rsid w:val="00F01F5D"/>
    <w:rsid w:val="00F04F2A"/>
    <w:rsid w:val="00F06F44"/>
    <w:rsid w:val="00F34F3A"/>
    <w:rsid w:val="00F533A8"/>
    <w:rsid w:val="00F6009E"/>
    <w:rsid w:val="00F610C1"/>
    <w:rsid w:val="00F64981"/>
    <w:rsid w:val="00F7012C"/>
    <w:rsid w:val="00F71B2E"/>
    <w:rsid w:val="00F737EF"/>
    <w:rsid w:val="00F813A0"/>
    <w:rsid w:val="00FA1ACC"/>
    <w:rsid w:val="00FA5855"/>
    <w:rsid w:val="00FB3485"/>
    <w:rsid w:val="00FB3E3C"/>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CF6"/>
  <w15:docId w15:val="{BAEA5AF4-37E0-44DE-97ED-3EA743A9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B2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016B2A"/>
    <w:pPr>
      <w:keepNext/>
      <w:keepLines/>
      <w:pBdr>
        <w:bottom w:val="single" w:sz="18" w:space="1" w:color="auto"/>
      </w:pBdr>
      <w:spacing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016B2A"/>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16B2A"/>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016B2A"/>
    <w:rPr>
      <w:rFonts w:ascii="Roboto Lt" w:eastAsia="Arial" w:hAnsi="Roboto Lt" w:cstheme="majorBidi"/>
      <w:bCs/>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NormalWeb">
    <w:name w:val="Normal (Web)"/>
    <w:basedOn w:val="Normal"/>
    <w:uiPriority w:val="99"/>
    <w:unhideWhenUsed/>
    <w:rsid w:val="00F34F3A"/>
    <w:pPr>
      <w:tabs>
        <w:tab w:val="clear" w:pos="851"/>
      </w:tabs>
      <w:spacing w:before="100" w:beforeAutospacing="1" w:after="100" w:afterAutospacing="1" w:line="240" w:lineRule="auto"/>
      <w:jc w:val="left"/>
    </w:pPr>
    <w:rPr>
      <w:rFonts w:eastAsia="Times New Roman" w:cs="Times New Roman"/>
      <w:szCs w:val="24"/>
    </w:rPr>
  </w:style>
  <w:style w:type="paragraph" w:styleId="Textodenotaderodap">
    <w:name w:val="footnote text"/>
    <w:basedOn w:val="Normal"/>
    <w:link w:val="TextodenotaderodapChar"/>
    <w:uiPriority w:val="99"/>
    <w:semiHidden/>
    <w:unhideWhenUsed/>
    <w:rsid w:val="00F34F3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34F3A"/>
    <w:rPr>
      <w:rFonts w:ascii="Times New Roman" w:hAnsi="Times New Roman"/>
    </w:rPr>
  </w:style>
  <w:style w:type="character" w:styleId="Refdenotaderodap">
    <w:name w:val="footnote reference"/>
    <w:basedOn w:val="Fontepargpadro"/>
    <w:uiPriority w:val="99"/>
    <w:semiHidden/>
    <w:unhideWhenUsed/>
    <w:rsid w:val="00F34F3A"/>
    <w:rPr>
      <w:vertAlign w:val="superscript"/>
    </w:rPr>
  </w:style>
  <w:style w:type="character" w:customStyle="1" w:styleId="apple-tab-span">
    <w:name w:val="apple-tab-span"/>
    <w:basedOn w:val="Fontepargpadro"/>
    <w:rsid w:val="00D20DF1"/>
  </w:style>
  <w:style w:type="character" w:styleId="Refdecomentrio">
    <w:name w:val="annotation reference"/>
    <w:basedOn w:val="Fontepargpadro"/>
    <w:uiPriority w:val="99"/>
    <w:semiHidden/>
    <w:unhideWhenUsed/>
    <w:rsid w:val="00CF37C9"/>
    <w:rPr>
      <w:sz w:val="16"/>
      <w:szCs w:val="16"/>
    </w:rPr>
  </w:style>
  <w:style w:type="paragraph" w:styleId="Textodecomentrio">
    <w:name w:val="annotation text"/>
    <w:basedOn w:val="Normal"/>
    <w:link w:val="TextodecomentrioChar"/>
    <w:uiPriority w:val="99"/>
    <w:semiHidden/>
    <w:unhideWhenUsed/>
    <w:rsid w:val="00CF37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F37C9"/>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CF37C9"/>
    <w:rPr>
      <w:b/>
      <w:bCs/>
    </w:rPr>
  </w:style>
  <w:style w:type="character" w:customStyle="1" w:styleId="AssuntodocomentrioChar">
    <w:name w:val="Assunto do comentário Char"/>
    <w:basedOn w:val="TextodecomentrioChar"/>
    <w:link w:val="Assuntodocomentrio"/>
    <w:uiPriority w:val="99"/>
    <w:semiHidden/>
    <w:rsid w:val="00CF37C9"/>
    <w:rPr>
      <w:rFonts w:ascii="Times New Roman" w:hAnsi="Times New Roman"/>
      <w:b/>
      <w:bCs/>
    </w:rPr>
  </w:style>
  <w:style w:type="character" w:styleId="Hyperlink">
    <w:name w:val="Hyperlink"/>
    <w:basedOn w:val="Fontepargpadro"/>
    <w:uiPriority w:val="99"/>
    <w:unhideWhenUsed/>
    <w:rsid w:val="00CF37C9"/>
    <w:rPr>
      <w:color w:val="0000FF"/>
      <w:u w:val="single"/>
    </w:rPr>
  </w:style>
  <w:style w:type="paragraph" w:styleId="Ttulo">
    <w:name w:val="Title"/>
    <w:basedOn w:val="Normal"/>
    <w:next w:val="Normal"/>
    <w:link w:val="TtuloChar"/>
    <w:autoRedefine/>
    <w:uiPriority w:val="10"/>
    <w:qFormat/>
    <w:rsid w:val="00016B2A"/>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016B2A"/>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016B2A"/>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016B2A"/>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7342">
      <w:bodyDiv w:val="1"/>
      <w:marLeft w:val="0"/>
      <w:marRight w:val="0"/>
      <w:marTop w:val="0"/>
      <w:marBottom w:val="0"/>
      <w:divBdr>
        <w:top w:val="none" w:sz="0" w:space="0" w:color="auto"/>
        <w:left w:val="none" w:sz="0" w:space="0" w:color="auto"/>
        <w:bottom w:val="none" w:sz="0" w:space="0" w:color="auto"/>
        <w:right w:val="none" w:sz="0" w:space="0" w:color="auto"/>
      </w:divBdr>
    </w:div>
    <w:div w:id="346568301">
      <w:bodyDiv w:val="1"/>
      <w:marLeft w:val="0"/>
      <w:marRight w:val="0"/>
      <w:marTop w:val="0"/>
      <w:marBottom w:val="0"/>
      <w:divBdr>
        <w:top w:val="none" w:sz="0" w:space="0" w:color="auto"/>
        <w:left w:val="none" w:sz="0" w:space="0" w:color="auto"/>
        <w:bottom w:val="none" w:sz="0" w:space="0" w:color="auto"/>
        <w:right w:val="none" w:sz="0" w:space="0" w:color="auto"/>
      </w:divBdr>
    </w:div>
    <w:div w:id="488248551">
      <w:bodyDiv w:val="1"/>
      <w:marLeft w:val="0"/>
      <w:marRight w:val="0"/>
      <w:marTop w:val="0"/>
      <w:marBottom w:val="0"/>
      <w:divBdr>
        <w:top w:val="none" w:sz="0" w:space="0" w:color="auto"/>
        <w:left w:val="none" w:sz="0" w:space="0" w:color="auto"/>
        <w:bottom w:val="none" w:sz="0" w:space="0" w:color="auto"/>
        <w:right w:val="none" w:sz="0" w:space="0" w:color="auto"/>
      </w:divBdr>
    </w:div>
    <w:div w:id="490414423">
      <w:bodyDiv w:val="1"/>
      <w:marLeft w:val="0"/>
      <w:marRight w:val="0"/>
      <w:marTop w:val="0"/>
      <w:marBottom w:val="0"/>
      <w:divBdr>
        <w:top w:val="none" w:sz="0" w:space="0" w:color="auto"/>
        <w:left w:val="none" w:sz="0" w:space="0" w:color="auto"/>
        <w:bottom w:val="none" w:sz="0" w:space="0" w:color="auto"/>
        <w:right w:val="none" w:sz="0" w:space="0" w:color="auto"/>
      </w:divBdr>
    </w:div>
    <w:div w:id="498348805">
      <w:bodyDiv w:val="1"/>
      <w:marLeft w:val="0"/>
      <w:marRight w:val="0"/>
      <w:marTop w:val="0"/>
      <w:marBottom w:val="0"/>
      <w:divBdr>
        <w:top w:val="none" w:sz="0" w:space="0" w:color="auto"/>
        <w:left w:val="none" w:sz="0" w:space="0" w:color="auto"/>
        <w:bottom w:val="none" w:sz="0" w:space="0" w:color="auto"/>
        <w:right w:val="none" w:sz="0" w:space="0" w:color="auto"/>
      </w:divBdr>
    </w:div>
    <w:div w:id="499008700">
      <w:bodyDiv w:val="1"/>
      <w:marLeft w:val="0"/>
      <w:marRight w:val="0"/>
      <w:marTop w:val="0"/>
      <w:marBottom w:val="0"/>
      <w:divBdr>
        <w:top w:val="none" w:sz="0" w:space="0" w:color="auto"/>
        <w:left w:val="none" w:sz="0" w:space="0" w:color="auto"/>
        <w:bottom w:val="none" w:sz="0" w:space="0" w:color="auto"/>
        <w:right w:val="none" w:sz="0" w:space="0" w:color="auto"/>
      </w:divBdr>
    </w:div>
    <w:div w:id="788623489">
      <w:bodyDiv w:val="1"/>
      <w:marLeft w:val="0"/>
      <w:marRight w:val="0"/>
      <w:marTop w:val="0"/>
      <w:marBottom w:val="0"/>
      <w:divBdr>
        <w:top w:val="none" w:sz="0" w:space="0" w:color="auto"/>
        <w:left w:val="none" w:sz="0" w:space="0" w:color="auto"/>
        <w:bottom w:val="none" w:sz="0" w:space="0" w:color="auto"/>
        <w:right w:val="none" w:sz="0" w:space="0" w:color="auto"/>
      </w:divBdr>
    </w:div>
    <w:div w:id="1034383498">
      <w:bodyDiv w:val="1"/>
      <w:marLeft w:val="0"/>
      <w:marRight w:val="0"/>
      <w:marTop w:val="0"/>
      <w:marBottom w:val="0"/>
      <w:divBdr>
        <w:top w:val="none" w:sz="0" w:space="0" w:color="auto"/>
        <w:left w:val="none" w:sz="0" w:space="0" w:color="auto"/>
        <w:bottom w:val="none" w:sz="0" w:space="0" w:color="auto"/>
        <w:right w:val="none" w:sz="0" w:space="0" w:color="auto"/>
      </w:divBdr>
    </w:div>
    <w:div w:id="1231696742">
      <w:bodyDiv w:val="1"/>
      <w:marLeft w:val="0"/>
      <w:marRight w:val="0"/>
      <w:marTop w:val="0"/>
      <w:marBottom w:val="0"/>
      <w:divBdr>
        <w:top w:val="none" w:sz="0" w:space="0" w:color="auto"/>
        <w:left w:val="none" w:sz="0" w:space="0" w:color="auto"/>
        <w:bottom w:val="none" w:sz="0" w:space="0" w:color="auto"/>
        <w:right w:val="none" w:sz="0" w:space="0" w:color="auto"/>
      </w:divBdr>
    </w:div>
    <w:div w:id="1253658816">
      <w:bodyDiv w:val="1"/>
      <w:marLeft w:val="0"/>
      <w:marRight w:val="0"/>
      <w:marTop w:val="0"/>
      <w:marBottom w:val="0"/>
      <w:divBdr>
        <w:top w:val="none" w:sz="0" w:space="0" w:color="auto"/>
        <w:left w:val="none" w:sz="0" w:space="0" w:color="auto"/>
        <w:bottom w:val="none" w:sz="0" w:space="0" w:color="auto"/>
        <w:right w:val="none" w:sz="0" w:space="0" w:color="auto"/>
      </w:divBdr>
    </w:div>
    <w:div w:id="1317304024">
      <w:bodyDiv w:val="1"/>
      <w:marLeft w:val="0"/>
      <w:marRight w:val="0"/>
      <w:marTop w:val="0"/>
      <w:marBottom w:val="0"/>
      <w:divBdr>
        <w:top w:val="none" w:sz="0" w:space="0" w:color="auto"/>
        <w:left w:val="none" w:sz="0" w:space="0" w:color="auto"/>
        <w:bottom w:val="none" w:sz="0" w:space="0" w:color="auto"/>
        <w:right w:val="none" w:sz="0" w:space="0" w:color="auto"/>
      </w:divBdr>
    </w:div>
    <w:div w:id="1721052917">
      <w:bodyDiv w:val="1"/>
      <w:marLeft w:val="0"/>
      <w:marRight w:val="0"/>
      <w:marTop w:val="0"/>
      <w:marBottom w:val="0"/>
      <w:divBdr>
        <w:top w:val="none" w:sz="0" w:space="0" w:color="auto"/>
        <w:left w:val="none" w:sz="0" w:space="0" w:color="auto"/>
        <w:bottom w:val="none" w:sz="0" w:space="0" w:color="auto"/>
        <w:right w:val="none" w:sz="0" w:space="0" w:color="auto"/>
      </w:divBdr>
    </w:div>
    <w:div w:id="2004549842">
      <w:bodyDiv w:val="1"/>
      <w:marLeft w:val="0"/>
      <w:marRight w:val="0"/>
      <w:marTop w:val="0"/>
      <w:marBottom w:val="0"/>
      <w:divBdr>
        <w:top w:val="none" w:sz="0" w:space="0" w:color="auto"/>
        <w:left w:val="none" w:sz="0" w:space="0" w:color="auto"/>
        <w:bottom w:val="none" w:sz="0" w:space="0" w:color="auto"/>
        <w:right w:val="none" w:sz="0" w:space="0" w:color="auto"/>
      </w:divBdr>
    </w:div>
    <w:div w:id="203345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PESQUISA\PESQUISA%20-%20SEMIARIDO\IMPACTOS%20DO%20AJUSTE%20FISCAL%20NO%20SEMI&#193;RIDO%202014%20-%202019\PLANILHAS%20OR&#199;AMENT&#193;RIAS\GERAL%20IMPACTOS%20AJUSTE%20FISCAL%20PROGRAMAS%20INTERESSE%20DO%20SEMI&#193;RIDO%20-%20PARA%20ENP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ESQUISA\PESQUISA%20-%20SEMIARIDO\IMPACTOS%20DO%20AJUSTE%20FISCAL%20NO%20SEMI&#193;RIDO%202014%20-%202019\PLANILHAS%20OR&#199;AMENT&#193;RIAS\GERAL%20IMPACTOS%20AJUSTE%20FISCAL%20PROGRAMAS%20INTERESSE%20DO%20SEMI&#193;RIDO%20-%20PARA%20ENP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ESQUISA\PESQUISA%20-%20SEMIARIDO\IMPACTOS%20DO%20AJUSTE%20FISCAL%20NO%20SEMI&#193;RIDO%202014%20-%202019\PLANILHAS%20OR&#199;AMENT&#193;RIAS\DADOS%20CISTERNAS%20NO%20MDS%202004%20A%20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pt-BR" sz="1100">
                <a:latin typeface="Times New Roman" panose="02020603050405020304" pitchFamily="18" charset="0"/>
                <a:cs typeface="Times New Roman" panose="02020603050405020304" pitchFamily="18" charset="0"/>
              </a:rPr>
              <a:t>Gráfico 1 - Dotação orçamentária,</a:t>
            </a:r>
            <a:r>
              <a:rPr lang="pt-BR" sz="1100" baseline="0">
                <a:latin typeface="Times New Roman" panose="02020603050405020304" pitchFamily="18" charset="0"/>
                <a:cs typeface="Times New Roman" panose="02020603050405020304" pitchFamily="18" charset="0"/>
              </a:rPr>
              <a:t> valores empenhados e valores pagos no Programa 2012 - Agricultura Familiar nos Planos Plurianuais (2012-2015 e 2016-2019) do Governo Federal - 2014 a 2019 </a:t>
            </a:r>
            <a:r>
              <a:rPr lang="pt-BR" sz="1100">
                <a:latin typeface="Times New Roman" panose="02020603050405020304" pitchFamily="18" charset="0"/>
                <a:cs typeface="Times New Roman" panose="02020603050405020304" pitchFamily="18" charset="0"/>
              </a:rPr>
              <a:t> </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strRef>
              <c:f>'[GERAL IMPACTOS AJUSTE FISCAL PROGRAMAS INTERESSE DO SEMIÁRIDO - PARA ENPS.xlsx]PROGRAMA 2012'!$C$14</c:f>
              <c:strCache>
                <c:ptCount val="1"/>
                <c:pt idx="0">
                  <c:v>Dotação Atual (LOA)</c:v>
                </c:pt>
              </c:strCache>
            </c:strRef>
          </c:tx>
          <c:invertIfNegative val="0"/>
          <c:cat>
            <c:numRef>
              <c:f>'[GERAL IMPACTOS AJUSTE FISCAL PROGRAMAS INTERESSE DO SEMIÁRIDO - PARA ENPS.xlsx]PROGRAMA 2012'!$B$15:$B$20</c:f>
              <c:numCache>
                <c:formatCode>General</c:formatCode>
                <c:ptCount val="6"/>
                <c:pt idx="0">
                  <c:v>2014</c:v>
                </c:pt>
                <c:pt idx="1">
                  <c:v>2015</c:v>
                </c:pt>
                <c:pt idx="2">
                  <c:v>2016</c:v>
                </c:pt>
                <c:pt idx="3">
                  <c:v>2017</c:v>
                </c:pt>
                <c:pt idx="4">
                  <c:v>2018</c:v>
                </c:pt>
                <c:pt idx="5">
                  <c:v>2019</c:v>
                </c:pt>
              </c:numCache>
            </c:numRef>
          </c:cat>
          <c:val>
            <c:numRef>
              <c:f>'[GERAL IMPACTOS AJUSTE FISCAL PROGRAMAS INTERESSE DO SEMIÁRIDO - PARA ENPS.xlsx]PROGRAMA 2012'!$C$15:$C$20</c:f>
              <c:numCache>
                <c:formatCode>#,##0.00</c:formatCode>
                <c:ptCount val="6"/>
                <c:pt idx="0">
                  <c:v>3741101368.9338822</c:v>
                </c:pt>
                <c:pt idx="1">
                  <c:v>2560690383.9117742</c:v>
                </c:pt>
                <c:pt idx="2">
                  <c:v>2028374037.6573565</c:v>
                </c:pt>
                <c:pt idx="3">
                  <c:v>1764497821.7448275</c:v>
                </c:pt>
                <c:pt idx="4">
                  <c:v>1142123940.7346053</c:v>
                </c:pt>
                <c:pt idx="5">
                  <c:v>803944334</c:v>
                </c:pt>
              </c:numCache>
            </c:numRef>
          </c:val>
          <c:extLst>
            <c:ext xmlns:c16="http://schemas.microsoft.com/office/drawing/2014/chart" uri="{C3380CC4-5D6E-409C-BE32-E72D297353CC}">
              <c16:uniqueId val="{00000000-2815-4B9F-BDD1-9DD1A47E8DD2}"/>
            </c:ext>
          </c:extLst>
        </c:ser>
        <c:ser>
          <c:idx val="2"/>
          <c:order val="1"/>
          <c:tx>
            <c:strRef>
              <c:f>'[GERAL IMPACTOS AJUSTE FISCAL PROGRAMAS INTERESSE DO SEMIÁRIDO - PARA ENPS.xlsx]PROGRAMA 2012'!$D$14</c:f>
              <c:strCache>
                <c:ptCount val="1"/>
                <c:pt idx="0">
                  <c:v>Empenhado</c:v>
                </c:pt>
              </c:strCache>
            </c:strRef>
          </c:tx>
          <c:invertIfNegative val="0"/>
          <c:cat>
            <c:numRef>
              <c:f>'[GERAL IMPACTOS AJUSTE FISCAL PROGRAMAS INTERESSE DO SEMIÁRIDO - PARA ENPS.xlsx]PROGRAMA 2012'!$B$15:$B$20</c:f>
              <c:numCache>
                <c:formatCode>General</c:formatCode>
                <c:ptCount val="6"/>
                <c:pt idx="0">
                  <c:v>2014</c:v>
                </c:pt>
                <c:pt idx="1">
                  <c:v>2015</c:v>
                </c:pt>
                <c:pt idx="2">
                  <c:v>2016</c:v>
                </c:pt>
                <c:pt idx="3">
                  <c:v>2017</c:v>
                </c:pt>
                <c:pt idx="4">
                  <c:v>2018</c:v>
                </c:pt>
                <c:pt idx="5">
                  <c:v>2019</c:v>
                </c:pt>
              </c:numCache>
            </c:numRef>
          </c:cat>
          <c:val>
            <c:numRef>
              <c:f>'[GERAL IMPACTOS AJUSTE FISCAL PROGRAMAS INTERESSE DO SEMIÁRIDO - PARA ENPS.xlsx]PROGRAMA 2012'!$D$15:$D$20</c:f>
              <c:numCache>
                <c:formatCode>#,##0.00</c:formatCode>
                <c:ptCount val="6"/>
                <c:pt idx="0">
                  <c:v>2475937017.6513371</c:v>
                </c:pt>
                <c:pt idx="1">
                  <c:v>1337754072.5227318</c:v>
                </c:pt>
                <c:pt idx="2">
                  <c:v>1613666048.6525004</c:v>
                </c:pt>
                <c:pt idx="3">
                  <c:v>1019176211.4815326</c:v>
                </c:pt>
                <c:pt idx="4">
                  <c:v>807005042.0718137</c:v>
                </c:pt>
                <c:pt idx="5">
                  <c:v>783576373.03000009</c:v>
                </c:pt>
              </c:numCache>
            </c:numRef>
          </c:val>
          <c:extLst>
            <c:ext xmlns:c16="http://schemas.microsoft.com/office/drawing/2014/chart" uri="{C3380CC4-5D6E-409C-BE32-E72D297353CC}">
              <c16:uniqueId val="{00000001-2815-4B9F-BDD1-9DD1A47E8DD2}"/>
            </c:ext>
          </c:extLst>
        </c:ser>
        <c:ser>
          <c:idx val="3"/>
          <c:order val="2"/>
          <c:tx>
            <c:strRef>
              <c:f>'[GERAL IMPACTOS AJUSTE FISCAL PROGRAMAS INTERESSE DO SEMIÁRIDO - PARA ENPS.xlsx]PROGRAMA 2012'!$E$14</c:f>
              <c:strCache>
                <c:ptCount val="1"/>
                <c:pt idx="0">
                  <c:v>Pago</c:v>
                </c:pt>
              </c:strCache>
            </c:strRef>
          </c:tx>
          <c:invertIfNegative val="0"/>
          <c:cat>
            <c:numRef>
              <c:f>'[GERAL IMPACTOS AJUSTE FISCAL PROGRAMAS INTERESSE DO SEMIÁRIDO - PARA ENPS.xlsx]PROGRAMA 2012'!$B$15:$B$20</c:f>
              <c:numCache>
                <c:formatCode>General</c:formatCode>
                <c:ptCount val="6"/>
                <c:pt idx="0">
                  <c:v>2014</c:v>
                </c:pt>
                <c:pt idx="1">
                  <c:v>2015</c:v>
                </c:pt>
                <c:pt idx="2">
                  <c:v>2016</c:v>
                </c:pt>
                <c:pt idx="3">
                  <c:v>2017</c:v>
                </c:pt>
                <c:pt idx="4">
                  <c:v>2018</c:v>
                </c:pt>
                <c:pt idx="5">
                  <c:v>2019</c:v>
                </c:pt>
              </c:numCache>
            </c:numRef>
          </c:cat>
          <c:val>
            <c:numRef>
              <c:f>'[GERAL IMPACTOS AJUSTE FISCAL PROGRAMAS INTERESSE DO SEMIÁRIDO - PARA ENPS.xlsx]PROGRAMA 2012'!$E$15:$E$20</c:f>
              <c:numCache>
                <c:formatCode>#,##0.00</c:formatCode>
                <c:ptCount val="6"/>
                <c:pt idx="0">
                  <c:v>1540114361.3818376</c:v>
                </c:pt>
                <c:pt idx="1">
                  <c:v>724829263.65773129</c:v>
                </c:pt>
                <c:pt idx="2">
                  <c:v>1131401260.9030392</c:v>
                </c:pt>
                <c:pt idx="3">
                  <c:v>704922454.69164717</c:v>
                </c:pt>
                <c:pt idx="4">
                  <c:v>240724943.95259497</c:v>
                </c:pt>
                <c:pt idx="5">
                  <c:v>585010050.88999999</c:v>
                </c:pt>
              </c:numCache>
            </c:numRef>
          </c:val>
          <c:extLst>
            <c:ext xmlns:c16="http://schemas.microsoft.com/office/drawing/2014/chart" uri="{C3380CC4-5D6E-409C-BE32-E72D297353CC}">
              <c16:uniqueId val="{00000002-2815-4B9F-BDD1-9DD1A47E8DD2}"/>
            </c:ext>
          </c:extLst>
        </c:ser>
        <c:dLbls>
          <c:showLegendKey val="0"/>
          <c:showVal val="0"/>
          <c:showCatName val="0"/>
          <c:showSerName val="0"/>
          <c:showPercent val="0"/>
          <c:showBubbleSize val="0"/>
        </c:dLbls>
        <c:gapWidth val="150"/>
        <c:shape val="cylinder"/>
        <c:axId val="239544960"/>
        <c:axId val="239640960"/>
        <c:axId val="0"/>
      </c:bar3DChart>
      <c:catAx>
        <c:axId val="239544960"/>
        <c:scaling>
          <c:orientation val="minMax"/>
        </c:scaling>
        <c:delete val="0"/>
        <c:axPos val="b"/>
        <c:numFmt formatCode="General" sourceLinked="1"/>
        <c:majorTickMark val="out"/>
        <c:minorTickMark val="none"/>
        <c:tickLblPos val="nextTo"/>
        <c:crossAx val="239640960"/>
        <c:crosses val="autoZero"/>
        <c:auto val="1"/>
        <c:lblAlgn val="ctr"/>
        <c:lblOffset val="100"/>
        <c:noMultiLvlLbl val="0"/>
      </c:catAx>
      <c:valAx>
        <c:axId val="239640960"/>
        <c:scaling>
          <c:orientation val="minMax"/>
        </c:scaling>
        <c:delete val="0"/>
        <c:axPos val="l"/>
        <c:majorGridlines/>
        <c:numFmt formatCode="#,##0.00" sourceLinked="1"/>
        <c:majorTickMark val="out"/>
        <c:minorTickMark val="none"/>
        <c:tickLblPos val="nextTo"/>
        <c:crossAx val="239544960"/>
        <c:crosses val="autoZero"/>
        <c:crossBetween val="between"/>
        <c:dispUnits>
          <c:builtInUnit val="billions"/>
          <c:dispUnitsLbl/>
        </c:dispUnits>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pt-BR" sz="1100" b="1" i="0" baseline="0">
                <a:effectLst/>
                <a:latin typeface="Times New Roman" panose="02020603050405020304" pitchFamily="18" charset="0"/>
                <a:cs typeface="Times New Roman" panose="02020603050405020304" pitchFamily="18" charset="0"/>
              </a:rPr>
              <a:t>Gráfico 3 - Dotação orçamentária, valores empenhados e valores pagos no Programa 2069 - Segurança Alimentar e Nutricional nos Planos Plurianuais (2012-2015 e 2016-2019) do Governo Federal - 2014 a 2019  </a:t>
            </a:r>
            <a:endParaRPr lang="pt-BR" sz="1100">
              <a:effectLst/>
              <a:latin typeface="Times New Roman" panose="02020603050405020304" pitchFamily="18" charset="0"/>
              <a:cs typeface="Times New Roman" panose="02020603050405020304" pitchFamily="18" charset="0"/>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strRef>
              <c:f>'PROGRAMA 2069'!$C$14</c:f>
              <c:strCache>
                <c:ptCount val="1"/>
                <c:pt idx="0">
                  <c:v>Dotação Atual (LOA)</c:v>
                </c:pt>
              </c:strCache>
            </c:strRef>
          </c:tx>
          <c:invertIfNegative val="0"/>
          <c:cat>
            <c:numRef>
              <c:f>'PROGRAMA 2069'!$B$15:$B$20</c:f>
              <c:numCache>
                <c:formatCode>General</c:formatCode>
                <c:ptCount val="6"/>
                <c:pt idx="0">
                  <c:v>2014</c:v>
                </c:pt>
                <c:pt idx="1">
                  <c:v>2015</c:v>
                </c:pt>
                <c:pt idx="2">
                  <c:v>2016</c:v>
                </c:pt>
                <c:pt idx="3">
                  <c:v>2017</c:v>
                </c:pt>
                <c:pt idx="4">
                  <c:v>2018</c:v>
                </c:pt>
                <c:pt idx="5">
                  <c:v>2019</c:v>
                </c:pt>
              </c:numCache>
            </c:numRef>
          </c:cat>
          <c:val>
            <c:numRef>
              <c:f>'PROGRAMA 2069'!$C$15:$C$20</c:f>
              <c:numCache>
                <c:formatCode>#,##0.00</c:formatCode>
                <c:ptCount val="6"/>
                <c:pt idx="0">
                  <c:v>4790397615.6868095</c:v>
                </c:pt>
                <c:pt idx="1">
                  <c:v>1868945385.3489671</c:v>
                </c:pt>
                <c:pt idx="2">
                  <c:v>1013480711.5696794</c:v>
                </c:pt>
                <c:pt idx="3">
                  <c:v>756191056.50547326</c:v>
                </c:pt>
                <c:pt idx="4">
                  <c:v>657996941.3470583</c:v>
                </c:pt>
                <c:pt idx="5">
                  <c:v>454157245</c:v>
                </c:pt>
              </c:numCache>
            </c:numRef>
          </c:val>
          <c:extLst>
            <c:ext xmlns:c16="http://schemas.microsoft.com/office/drawing/2014/chart" uri="{C3380CC4-5D6E-409C-BE32-E72D297353CC}">
              <c16:uniqueId val="{00000000-C380-4387-A233-3E087C23EE58}"/>
            </c:ext>
          </c:extLst>
        </c:ser>
        <c:ser>
          <c:idx val="2"/>
          <c:order val="1"/>
          <c:tx>
            <c:strRef>
              <c:f>'PROGRAMA 2069'!$D$14</c:f>
              <c:strCache>
                <c:ptCount val="1"/>
                <c:pt idx="0">
                  <c:v>Empenhado</c:v>
                </c:pt>
              </c:strCache>
            </c:strRef>
          </c:tx>
          <c:invertIfNegative val="0"/>
          <c:cat>
            <c:numRef>
              <c:f>'PROGRAMA 2069'!$B$15:$B$20</c:f>
              <c:numCache>
                <c:formatCode>General</c:formatCode>
                <c:ptCount val="6"/>
                <c:pt idx="0">
                  <c:v>2014</c:v>
                </c:pt>
                <c:pt idx="1">
                  <c:v>2015</c:v>
                </c:pt>
                <c:pt idx="2">
                  <c:v>2016</c:v>
                </c:pt>
                <c:pt idx="3">
                  <c:v>2017</c:v>
                </c:pt>
                <c:pt idx="4">
                  <c:v>2018</c:v>
                </c:pt>
                <c:pt idx="5">
                  <c:v>2019</c:v>
                </c:pt>
              </c:numCache>
            </c:numRef>
          </c:cat>
          <c:val>
            <c:numRef>
              <c:f>'PROGRAMA 2069'!$D$15:$D$20</c:f>
              <c:numCache>
                <c:formatCode>#,##0.00</c:formatCode>
                <c:ptCount val="6"/>
                <c:pt idx="0">
                  <c:v>4028467757.7211671</c:v>
                </c:pt>
                <c:pt idx="1">
                  <c:v>1301176180.9926939</c:v>
                </c:pt>
                <c:pt idx="2">
                  <c:v>985952324.22116327</c:v>
                </c:pt>
                <c:pt idx="3">
                  <c:v>662660843.298908</c:v>
                </c:pt>
                <c:pt idx="4">
                  <c:v>645183212.6526612</c:v>
                </c:pt>
                <c:pt idx="5">
                  <c:v>450296414.71000004</c:v>
                </c:pt>
              </c:numCache>
            </c:numRef>
          </c:val>
          <c:extLst>
            <c:ext xmlns:c16="http://schemas.microsoft.com/office/drawing/2014/chart" uri="{C3380CC4-5D6E-409C-BE32-E72D297353CC}">
              <c16:uniqueId val="{00000001-C380-4387-A233-3E087C23EE58}"/>
            </c:ext>
          </c:extLst>
        </c:ser>
        <c:ser>
          <c:idx val="3"/>
          <c:order val="2"/>
          <c:tx>
            <c:strRef>
              <c:f>'PROGRAMA 2069'!$E$14</c:f>
              <c:strCache>
                <c:ptCount val="1"/>
                <c:pt idx="0">
                  <c:v>Pago</c:v>
                </c:pt>
              </c:strCache>
            </c:strRef>
          </c:tx>
          <c:invertIfNegative val="0"/>
          <c:cat>
            <c:numRef>
              <c:f>'PROGRAMA 2069'!$B$15:$B$20</c:f>
              <c:numCache>
                <c:formatCode>General</c:formatCode>
                <c:ptCount val="6"/>
                <c:pt idx="0">
                  <c:v>2014</c:v>
                </c:pt>
                <c:pt idx="1">
                  <c:v>2015</c:v>
                </c:pt>
                <c:pt idx="2">
                  <c:v>2016</c:v>
                </c:pt>
                <c:pt idx="3">
                  <c:v>2017</c:v>
                </c:pt>
                <c:pt idx="4">
                  <c:v>2018</c:v>
                </c:pt>
                <c:pt idx="5">
                  <c:v>2019</c:v>
                </c:pt>
              </c:numCache>
            </c:numRef>
          </c:cat>
          <c:val>
            <c:numRef>
              <c:f>'PROGRAMA 2069'!$E$15:$E$20</c:f>
              <c:numCache>
                <c:formatCode>#,##0.00</c:formatCode>
                <c:ptCount val="6"/>
                <c:pt idx="0">
                  <c:v>1554694675.3215346</c:v>
                </c:pt>
                <c:pt idx="1">
                  <c:v>593630157.19877553</c:v>
                </c:pt>
                <c:pt idx="2">
                  <c:v>462128414.60545278</c:v>
                </c:pt>
                <c:pt idx="3">
                  <c:v>292967806.13558698</c:v>
                </c:pt>
                <c:pt idx="4">
                  <c:v>291832187.39710414</c:v>
                </c:pt>
                <c:pt idx="5">
                  <c:v>188604812.68000004</c:v>
                </c:pt>
              </c:numCache>
            </c:numRef>
          </c:val>
          <c:extLst>
            <c:ext xmlns:c16="http://schemas.microsoft.com/office/drawing/2014/chart" uri="{C3380CC4-5D6E-409C-BE32-E72D297353CC}">
              <c16:uniqueId val="{00000002-C380-4387-A233-3E087C23EE58}"/>
            </c:ext>
          </c:extLst>
        </c:ser>
        <c:dLbls>
          <c:showLegendKey val="0"/>
          <c:showVal val="0"/>
          <c:showCatName val="0"/>
          <c:showSerName val="0"/>
          <c:showPercent val="0"/>
          <c:showBubbleSize val="0"/>
        </c:dLbls>
        <c:gapWidth val="150"/>
        <c:shape val="cylinder"/>
        <c:axId val="242834432"/>
        <c:axId val="248607488"/>
        <c:axId val="0"/>
      </c:bar3DChart>
      <c:catAx>
        <c:axId val="242834432"/>
        <c:scaling>
          <c:orientation val="minMax"/>
        </c:scaling>
        <c:delete val="0"/>
        <c:axPos val="b"/>
        <c:numFmt formatCode="General" sourceLinked="1"/>
        <c:majorTickMark val="out"/>
        <c:minorTickMark val="none"/>
        <c:tickLblPos val="nextTo"/>
        <c:crossAx val="248607488"/>
        <c:crosses val="autoZero"/>
        <c:auto val="1"/>
        <c:lblAlgn val="ctr"/>
        <c:lblOffset val="100"/>
        <c:noMultiLvlLbl val="0"/>
      </c:catAx>
      <c:valAx>
        <c:axId val="248607488"/>
        <c:scaling>
          <c:orientation val="minMax"/>
        </c:scaling>
        <c:delete val="0"/>
        <c:axPos val="l"/>
        <c:majorGridlines/>
        <c:numFmt formatCode="#,##0.00" sourceLinked="1"/>
        <c:majorTickMark val="out"/>
        <c:minorTickMark val="none"/>
        <c:tickLblPos val="nextTo"/>
        <c:crossAx val="242834432"/>
        <c:crosses val="autoZero"/>
        <c:crossBetween val="between"/>
        <c:dispUnits>
          <c:builtInUnit val="billions"/>
          <c:dispUnitsLbl/>
        </c:dispUnits>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pt-BR" sz="1100">
                <a:latin typeface="Times New Roman" pitchFamily="18" charset="0"/>
                <a:cs typeface="Times New Roman" pitchFamily="18" charset="0"/>
              </a:rPr>
              <a:t>Gráfico 4 - Número</a:t>
            </a:r>
            <a:r>
              <a:rPr lang="pt-BR" sz="1100" baseline="0">
                <a:latin typeface="Times New Roman" pitchFamily="18" charset="0"/>
                <a:cs typeface="Times New Roman" pitchFamily="18" charset="0"/>
              </a:rPr>
              <a:t> de Cisternas de Água entregues no Semiárido brasileiro pelo Governo Federal de 2014 a 2019 (total acumulado e agregado por ano)</a:t>
            </a:r>
            <a:endParaRPr lang="pt-BR" sz="1100">
              <a:latin typeface="Times New Roman" pitchFamily="18" charset="0"/>
              <a:cs typeface="Times New Roman" pitchFamily="18" charset="0"/>
            </a:endParaRPr>
          </a:p>
        </c:rich>
      </c:tx>
      <c:overlay val="0"/>
    </c:title>
    <c:autoTitleDeleted val="0"/>
    <c:plotArea>
      <c:layout/>
      <c:lineChart>
        <c:grouping val="standard"/>
        <c:varyColors val="0"/>
        <c:ser>
          <c:idx val="1"/>
          <c:order val="0"/>
          <c:tx>
            <c:strRef>
              <c:f>TABELA!$F$2</c:f>
              <c:strCache>
                <c:ptCount val="1"/>
                <c:pt idx="0">
                  <c:v>Total de Cisternas</c:v>
                </c:pt>
              </c:strCache>
            </c:strRef>
          </c:tx>
          <c:marker>
            <c:symbol val="none"/>
          </c:marker>
          <c:dLbls>
            <c:spPr>
              <a:noFill/>
              <a:ln>
                <a:noFill/>
              </a:ln>
              <a:effectLst/>
            </c:spPr>
            <c:txPr>
              <a:bodyPr/>
              <a:lstStyle/>
              <a:p>
                <a:pPr>
                  <a:defRPr sz="1100" b="1">
                    <a:latin typeface="Times New Roman" pitchFamily="18" charset="0"/>
                    <a:cs typeface="Times New Roman" pitchFamily="18" charset="0"/>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TABELA!$B$12:$B$19</c:f>
              <c:numCache>
                <c:formatCode>General</c:formatCode>
                <c:ptCount val="8"/>
                <c:pt idx="0">
                  <c:v>2012</c:v>
                </c:pt>
                <c:pt idx="1">
                  <c:v>2013</c:v>
                </c:pt>
                <c:pt idx="2">
                  <c:v>2014</c:v>
                </c:pt>
                <c:pt idx="3">
                  <c:v>2015</c:v>
                </c:pt>
                <c:pt idx="4">
                  <c:v>2016</c:v>
                </c:pt>
                <c:pt idx="5">
                  <c:v>2017</c:v>
                </c:pt>
                <c:pt idx="6">
                  <c:v>2018</c:v>
                </c:pt>
                <c:pt idx="7">
                  <c:v>2019</c:v>
                </c:pt>
              </c:numCache>
            </c:numRef>
          </c:cat>
          <c:val>
            <c:numRef>
              <c:f>TABELA!$F$12:$F$19</c:f>
              <c:numCache>
                <c:formatCode>#,##0</c:formatCode>
                <c:ptCount val="8"/>
                <c:pt idx="0">
                  <c:v>522424</c:v>
                </c:pt>
                <c:pt idx="1">
                  <c:v>664401</c:v>
                </c:pt>
                <c:pt idx="2">
                  <c:v>813510</c:v>
                </c:pt>
                <c:pt idx="3">
                  <c:v>929717</c:v>
                </c:pt>
                <c:pt idx="4">
                  <c:v>1006506</c:v>
                </c:pt>
                <c:pt idx="5">
                  <c:v>1062302</c:v>
                </c:pt>
                <c:pt idx="6">
                  <c:v>1094965</c:v>
                </c:pt>
                <c:pt idx="7">
                  <c:v>1126019</c:v>
                </c:pt>
              </c:numCache>
            </c:numRef>
          </c:val>
          <c:smooth val="0"/>
          <c:extLst>
            <c:ext xmlns:c16="http://schemas.microsoft.com/office/drawing/2014/chart" uri="{C3380CC4-5D6E-409C-BE32-E72D297353CC}">
              <c16:uniqueId val="{00000000-8486-46D5-8762-2E575B111AB4}"/>
            </c:ext>
          </c:extLst>
        </c:ser>
        <c:ser>
          <c:idx val="2"/>
          <c:order val="1"/>
          <c:tx>
            <c:strRef>
              <c:f>TABELA!$G$2</c:f>
              <c:strCache>
                <c:ptCount val="1"/>
                <c:pt idx="0">
                  <c:v>Agregadas no Ano</c:v>
                </c:pt>
              </c:strCache>
            </c:strRef>
          </c:tx>
          <c:marker>
            <c:symbol val="none"/>
          </c:marker>
          <c:dLbls>
            <c:spPr>
              <a:noFill/>
              <a:ln>
                <a:noFill/>
              </a:ln>
              <a:effectLst/>
            </c:spPr>
            <c:txPr>
              <a:bodyPr/>
              <a:lstStyle/>
              <a:p>
                <a:pPr>
                  <a:defRPr sz="1100" b="1">
                    <a:latin typeface="Times New Roman" pitchFamily="18" charset="0"/>
                    <a:cs typeface="Times New Roman" pitchFamily="18" charset="0"/>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TABELA!$B$12:$B$19</c:f>
              <c:numCache>
                <c:formatCode>General</c:formatCode>
                <c:ptCount val="8"/>
                <c:pt idx="0">
                  <c:v>2012</c:v>
                </c:pt>
                <c:pt idx="1">
                  <c:v>2013</c:v>
                </c:pt>
                <c:pt idx="2">
                  <c:v>2014</c:v>
                </c:pt>
                <c:pt idx="3">
                  <c:v>2015</c:v>
                </c:pt>
                <c:pt idx="4">
                  <c:v>2016</c:v>
                </c:pt>
                <c:pt idx="5">
                  <c:v>2017</c:v>
                </c:pt>
                <c:pt idx="6">
                  <c:v>2018</c:v>
                </c:pt>
                <c:pt idx="7">
                  <c:v>2019</c:v>
                </c:pt>
              </c:numCache>
            </c:numRef>
          </c:cat>
          <c:val>
            <c:numRef>
              <c:f>TABELA!$G$12:$G$19</c:f>
              <c:numCache>
                <c:formatCode>#,##0</c:formatCode>
                <c:ptCount val="8"/>
                <c:pt idx="0">
                  <c:v>80457</c:v>
                </c:pt>
                <c:pt idx="1">
                  <c:v>111539</c:v>
                </c:pt>
                <c:pt idx="2">
                  <c:v>106783</c:v>
                </c:pt>
                <c:pt idx="3">
                  <c:v>82133</c:v>
                </c:pt>
                <c:pt idx="4">
                  <c:v>61248</c:v>
                </c:pt>
                <c:pt idx="5">
                  <c:v>42388</c:v>
                </c:pt>
                <c:pt idx="6">
                  <c:v>24163</c:v>
                </c:pt>
                <c:pt idx="7">
                  <c:v>25709</c:v>
                </c:pt>
              </c:numCache>
            </c:numRef>
          </c:val>
          <c:smooth val="0"/>
          <c:extLst>
            <c:ext xmlns:c16="http://schemas.microsoft.com/office/drawing/2014/chart" uri="{C3380CC4-5D6E-409C-BE32-E72D297353CC}">
              <c16:uniqueId val="{00000001-8486-46D5-8762-2E575B111AB4}"/>
            </c:ext>
          </c:extLst>
        </c:ser>
        <c:dLbls>
          <c:showLegendKey val="0"/>
          <c:showVal val="0"/>
          <c:showCatName val="0"/>
          <c:showSerName val="0"/>
          <c:showPercent val="0"/>
          <c:showBubbleSize val="0"/>
        </c:dLbls>
        <c:smooth val="0"/>
        <c:axId val="249126272"/>
        <c:axId val="249140352"/>
      </c:lineChart>
      <c:catAx>
        <c:axId val="249126272"/>
        <c:scaling>
          <c:orientation val="minMax"/>
        </c:scaling>
        <c:delete val="0"/>
        <c:axPos val="b"/>
        <c:numFmt formatCode="General" sourceLinked="1"/>
        <c:majorTickMark val="out"/>
        <c:minorTickMark val="none"/>
        <c:tickLblPos val="nextTo"/>
        <c:txPr>
          <a:bodyPr/>
          <a:lstStyle/>
          <a:p>
            <a:pPr>
              <a:defRPr sz="1100" b="1">
                <a:latin typeface="Times New Roman" pitchFamily="18" charset="0"/>
                <a:cs typeface="Times New Roman" pitchFamily="18" charset="0"/>
              </a:defRPr>
            </a:pPr>
            <a:endParaRPr lang="pt-BR"/>
          </a:p>
        </c:txPr>
        <c:crossAx val="249140352"/>
        <c:crosses val="autoZero"/>
        <c:auto val="1"/>
        <c:lblAlgn val="ctr"/>
        <c:lblOffset val="100"/>
        <c:noMultiLvlLbl val="0"/>
      </c:catAx>
      <c:valAx>
        <c:axId val="249140352"/>
        <c:scaling>
          <c:orientation val="minMax"/>
        </c:scaling>
        <c:delete val="1"/>
        <c:axPos val="l"/>
        <c:majorGridlines/>
        <c:numFmt formatCode="#,##0" sourceLinked="1"/>
        <c:majorTickMark val="out"/>
        <c:minorTickMark val="none"/>
        <c:tickLblPos val="nextTo"/>
        <c:crossAx val="249126272"/>
        <c:crosses val="autoZero"/>
        <c:crossBetween val="between"/>
      </c:valAx>
    </c:plotArea>
    <c:legend>
      <c:legendPos val="b"/>
      <c:overlay val="0"/>
      <c:txPr>
        <a:bodyPr/>
        <a:lstStyle/>
        <a:p>
          <a:pPr>
            <a:defRPr sz="1050" b="1">
              <a:latin typeface="Times New Roman" pitchFamily="18" charset="0"/>
              <a:cs typeface="Times New Roman" pitchFamily="18" charset="0"/>
            </a:defRPr>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6F7EF-B543-4871-9134-3FA33228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5423</Words>
  <Characters>29287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2024-03-13T13:55:00Z</dcterms:created>
  <dcterms:modified xsi:type="dcterms:W3CDTF">2024-03-13T13:55:00Z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