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ECE1" w14:textId="5276537C" w:rsidR="007144E8" w:rsidRDefault="0034020A" w:rsidP="0034020A">
      <w:pPr>
        <w:jc w:val="center"/>
        <w:rPr>
          <w:rFonts w:eastAsia="Arial" w:cs="Times New Roman"/>
          <w:bCs/>
          <w:szCs w:val="24"/>
        </w:rPr>
      </w:pPr>
      <w:bookmarkStart w:id="0" w:name="_Hlk141602801"/>
      <w:r>
        <w:rPr>
          <w:rFonts w:eastAsia="Arial" w:cs="Times New Roman"/>
          <w:bCs/>
          <w:szCs w:val="24"/>
        </w:rPr>
        <w:t xml:space="preserve">GT </w:t>
      </w:r>
      <w:r w:rsidR="00626CE6">
        <w:rPr>
          <w:rFonts w:eastAsia="Arial" w:cs="Times New Roman"/>
          <w:bCs/>
          <w:szCs w:val="24"/>
        </w:rPr>
        <w:t>- CONTABILIDADE PARA USUÁRIOS EXTERNOS</w:t>
      </w:r>
    </w:p>
    <w:p w14:paraId="7C1018F4" w14:textId="64B22139" w:rsidR="00800F3D" w:rsidRDefault="00800F3D" w:rsidP="00626CE6">
      <w:pPr>
        <w:pStyle w:val="Ttulo"/>
      </w:pPr>
      <w:r w:rsidRPr="00800F3D">
        <w:t xml:space="preserve">POLÍTICAS PROEMINENTES DE DISTRIBUIÇÃO DE DIVIDENDOS: </w:t>
      </w:r>
      <w:r w:rsidR="00626CE6" w:rsidRPr="00800F3D">
        <w:t xml:space="preserve">uma análise das principais empresas pagadoras de dividendos </w:t>
      </w:r>
    </w:p>
    <w:p w14:paraId="6AAB87B4" w14:textId="1BA351DB" w:rsidR="00800F3D" w:rsidRDefault="00800F3D" w:rsidP="00626CE6">
      <w:pPr>
        <w:pStyle w:val="Subttulo"/>
        <w:rPr>
          <w:b/>
          <w:caps/>
        </w:rPr>
      </w:pPr>
      <w:r w:rsidRPr="00800F3D">
        <w:t xml:space="preserve">Lucas </w:t>
      </w:r>
      <w:proofErr w:type="spellStart"/>
      <w:r w:rsidRPr="00800F3D">
        <w:t>Starlim</w:t>
      </w:r>
      <w:proofErr w:type="spellEnd"/>
      <w:r w:rsidRPr="00800F3D">
        <w:t xml:space="preserve"> Teixeira Nascimento</w:t>
      </w:r>
      <w:r w:rsidR="00626CE6">
        <w:t xml:space="preserve">, </w:t>
      </w:r>
      <w:r>
        <w:t>Raimundo Marciano de Freitas Neto</w:t>
      </w:r>
    </w:p>
    <w:p w14:paraId="6DFEECE7" w14:textId="77777777" w:rsidR="007144E8" w:rsidRDefault="0034020A" w:rsidP="00626CE6">
      <w:pPr>
        <w:spacing w:after="240" w:line="240" w:lineRule="auto"/>
        <w:rPr>
          <w:rFonts w:eastAsia="Arial" w:cs="Times New Roman"/>
          <w:b/>
          <w:caps/>
          <w:szCs w:val="24"/>
        </w:rPr>
      </w:pPr>
      <w:r>
        <w:rPr>
          <w:rFonts w:eastAsia="Arial" w:cs="Times New Roman"/>
          <w:b/>
          <w:caps/>
          <w:szCs w:val="24"/>
        </w:rPr>
        <w:t>Resumo</w:t>
      </w:r>
    </w:p>
    <w:p w14:paraId="700F3F8F" w14:textId="740C572D" w:rsidR="00800F3D" w:rsidRPr="004348A8" w:rsidRDefault="00800F3D" w:rsidP="0034020A">
      <w:pPr>
        <w:spacing w:line="240" w:lineRule="auto"/>
        <w:rPr>
          <w:rFonts w:eastAsia="Arial" w:cs="Times New Roman"/>
          <w:sz w:val="22"/>
        </w:rPr>
      </w:pPr>
      <w:r w:rsidRPr="004348A8">
        <w:rPr>
          <w:rFonts w:eastAsia="Arial" w:cs="Times New Roman"/>
          <w:sz w:val="22"/>
        </w:rPr>
        <w:t xml:space="preserve">Os dividendos são um direito essencial dos acionistas. O cálculo e a distribuição destes dividendos devem obedecer a uma série de procedimentos e limites, e a maior parcela da complexidade que envolve o tema reside nestas regras, que são definidas por meio de assembleia geral e que tornam o estatuto social de cada companhia uma peça única. Este trabalho tem por objetivo analisar </w:t>
      </w:r>
      <w:r w:rsidR="00B02FEC" w:rsidRPr="004348A8">
        <w:rPr>
          <w:rFonts w:eastAsia="Arial" w:cs="Times New Roman"/>
          <w:sz w:val="22"/>
        </w:rPr>
        <w:t xml:space="preserve">a diferença entre o dividendo mínimo obrigatório e o dividendo declarado por companhias abertas listadas na bolsa brasileira. </w:t>
      </w:r>
      <w:r w:rsidRPr="004348A8">
        <w:rPr>
          <w:rFonts w:eastAsia="Arial" w:cs="Times New Roman"/>
          <w:sz w:val="22"/>
        </w:rPr>
        <w:t>Para atingi-lo, foi selecionado o índice IDIV da B3, e analisado o estatuto social de todas as empresas que o compõem. Além disso, foram coletados os valores referentes a distribuição de dividendos do período 2020 a 202</w:t>
      </w:r>
      <w:r w:rsidR="00677B9D" w:rsidRPr="004348A8">
        <w:rPr>
          <w:rFonts w:eastAsia="Arial" w:cs="Times New Roman"/>
          <w:sz w:val="22"/>
        </w:rPr>
        <w:t>1</w:t>
      </w:r>
      <w:r w:rsidRPr="004348A8">
        <w:rPr>
          <w:rFonts w:eastAsia="Arial" w:cs="Times New Roman"/>
          <w:sz w:val="22"/>
        </w:rPr>
        <w:t xml:space="preserve">, além de examinadas as demonstrações e outros documentos relevantes para a obtenção de dados referentes ao patrimônio líquido, distribuição de resultados e rentabilidade. A partir da análise dos dados obtidos, foi identificada a tendência de pagamento superior ao que consta como mínimo obrigatório no estatuto social dessas empresas. Para explicar a distribuição </w:t>
      </w:r>
      <w:r w:rsidR="0096546C">
        <w:rPr>
          <w:rFonts w:eastAsia="Arial" w:cs="Times New Roman"/>
          <w:sz w:val="22"/>
        </w:rPr>
        <w:t>em excesso ao mínimo</w:t>
      </w:r>
      <w:r w:rsidRPr="004348A8">
        <w:rPr>
          <w:rFonts w:eastAsia="Arial" w:cs="Times New Roman"/>
          <w:sz w:val="22"/>
        </w:rPr>
        <w:t>, estimações econométricas foram realizadas com indicadores financeiros, e os dados obtidos não demonstram que tais indicadores exerçam influência significativa a ponto de explicar tal situação.</w:t>
      </w:r>
    </w:p>
    <w:p w14:paraId="6DFEECEA" w14:textId="77777777" w:rsidR="007144E8" w:rsidRDefault="007144E8" w:rsidP="0034020A">
      <w:pPr>
        <w:spacing w:line="240" w:lineRule="auto"/>
        <w:rPr>
          <w:rFonts w:eastAsia="Arial" w:cs="Times New Roman"/>
          <w:szCs w:val="24"/>
        </w:rPr>
      </w:pPr>
    </w:p>
    <w:p w14:paraId="6DFEECEB" w14:textId="1ACE2535" w:rsidR="007144E8" w:rsidRPr="00681DD2" w:rsidRDefault="0034020A" w:rsidP="0034020A">
      <w:pPr>
        <w:spacing w:line="240" w:lineRule="auto"/>
        <w:rPr>
          <w:rFonts w:eastAsia="Arial" w:cs="Times New Roman"/>
          <w:color w:val="000000"/>
          <w:sz w:val="22"/>
        </w:rPr>
      </w:pPr>
      <w:r w:rsidRPr="00681DD2">
        <w:rPr>
          <w:rFonts w:eastAsia="Arial" w:cs="Times New Roman"/>
          <w:b/>
          <w:sz w:val="22"/>
        </w:rPr>
        <w:t xml:space="preserve">Palavras-chave: </w:t>
      </w:r>
      <w:r w:rsidR="00D60598" w:rsidRPr="00681DD2">
        <w:rPr>
          <w:rFonts w:eastAsia="Arial" w:cs="Times New Roman"/>
          <w:sz w:val="22"/>
        </w:rPr>
        <w:t>Distribuição de lucros</w:t>
      </w:r>
      <w:r w:rsidR="00800F3D" w:rsidRPr="00681DD2">
        <w:rPr>
          <w:rFonts w:eastAsia="Arial" w:cs="Times New Roman"/>
          <w:sz w:val="22"/>
        </w:rPr>
        <w:t>. Juros sobre o capital próprio.</w:t>
      </w:r>
      <w:r w:rsidR="00D60598" w:rsidRPr="00681DD2">
        <w:rPr>
          <w:rFonts w:eastAsia="Arial" w:cs="Times New Roman"/>
          <w:sz w:val="22"/>
        </w:rPr>
        <w:t xml:space="preserve"> Dividendo Mínimo Obrigatório.</w:t>
      </w:r>
      <w:r w:rsidR="00800F3D" w:rsidRPr="00681DD2">
        <w:rPr>
          <w:rFonts w:eastAsia="Arial" w:cs="Times New Roman"/>
          <w:sz w:val="22"/>
        </w:rPr>
        <w:t xml:space="preserve"> Estatuto Social.</w:t>
      </w:r>
    </w:p>
    <w:p w14:paraId="6DFEECEC" w14:textId="091558A6" w:rsidR="007144E8" w:rsidRPr="00626CE6" w:rsidRDefault="0034020A" w:rsidP="00626CE6">
      <w:pPr>
        <w:pStyle w:val="Ttulo1"/>
      </w:pPr>
      <w:r>
        <w:t>1 INTRODUÇÃO</w:t>
      </w:r>
    </w:p>
    <w:p w14:paraId="474631FC" w14:textId="5CC72100" w:rsidR="00D03375" w:rsidRPr="00026EAA" w:rsidRDefault="00336E24" w:rsidP="00026EAA">
      <w:pPr>
        <w:ind w:firstLine="851"/>
      </w:pPr>
      <w:r>
        <w:t xml:space="preserve">O dividendo mínimo obrigatório </w:t>
      </w:r>
      <w:r w:rsidR="00871A6C">
        <w:t xml:space="preserve">foi implantado como um mecanismo para fomentar a cultura de investimentos no mercado de capitais (GEBLCKE </w:t>
      </w:r>
      <w:r w:rsidR="00871A6C" w:rsidRPr="00D41C6E">
        <w:rPr>
          <w:i/>
          <w:iCs/>
        </w:rPr>
        <w:t>et al</w:t>
      </w:r>
      <w:r w:rsidR="00871A6C">
        <w:t>, 2018), sendo uma forma de remuneração dos investidores da companhia, juntamente com os juros sobre o capital próprio</w:t>
      </w:r>
      <w:r w:rsidR="00A81A91">
        <w:t xml:space="preserve"> (JCP)</w:t>
      </w:r>
      <w:r w:rsidR="00871A6C">
        <w:t xml:space="preserve">. </w:t>
      </w:r>
      <w:r w:rsidR="00D03375">
        <w:t>Esse</w:t>
      </w:r>
      <w:r w:rsidR="00D03375" w:rsidRPr="00800F3D">
        <w:t xml:space="preserve"> piso foi criado como um mecanismo para salvaguardar os acionistas minoritários do que se via no regime legal anterior</w:t>
      </w:r>
      <w:r w:rsidR="00D03375">
        <w:t xml:space="preserve"> a Lei das Sociedades Anônimas (LSA, Lei n. 6.404/1976)</w:t>
      </w:r>
      <w:r w:rsidR="00D03375" w:rsidRPr="00800F3D">
        <w:t xml:space="preserve">, pois </w:t>
      </w:r>
      <w:r w:rsidR="00845608">
        <w:t>os</w:t>
      </w:r>
      <w:r w:rsidR="00D03375" w:rsidRPr="00800F3D">
        <w:t xml:space="preserve"> </w:t>
      </w:r>
      <w:r w:rsidR="00026EAA">
        <w:t>acionistas</w:t>
      </w:r>
      <w:r w:rsidR="00D03375" w:rsidRPr="00800F3D">
        <w:t xml:space="preserve"> de companhias cujos estatutos sociais não estabeleciam de maneira precisa os dividendos</w:t>
      </w:r>
      <w:r w:rsidR="00845608">
        <w:t xml:space="preserve"> devidos</w:t>
      </w:r>
      <w:r w:rsidR="00D03375" w:rsidRPr="00800F3D">
        <w:t xml:space="preserve">, estavam sujeitos ao livre </w:t>
      </w:r>
      <w:r w:rsidR="00D03375" w:rsidRPr="00026EAA">
        <w:t xml:space="preserve">arbítrio de acionistas controladores, diante do </w:t>
      </w:r>
      <w:r w:rsidR="009A2315" w:rsidRPr="00026EAA">
        <w:t>poder deliberativo exercido por estes nas Assembleias Gerais.</w:t>
      </w:r>
    </w:p>
    <w:p w14:paraId="21F41F1E" w14:textId="08600CF0" w:rsidR="00026EAA" w:rsidRPr="00026EAA" w:rsidRDefault="009A2315" w:rsidP="00026EAA">
      <w:pPr>
        <w:ind w:firstLine="851"/>
      </w:pPr>
      <w:r w:rsidRPr="00026EAA">
        <w:t xml:space="preserve">Quando a lei entrou em vigor, no ano de 1976, as companhias cujos estatutos eram omissos sobre esse ponto tiveram de optar entre: se enquadrar no percentual de 50% como dividendo obrigatório ou diminuir o percentual convocando assembleia </w:t>
      </w:r>
      <w:r w:rsidRPr="00026EAA">
        <w:lastRenderedPageBreak/>
        <w:t>geral. Porém, se a companhia optasse por pagar menos do que 25% como dividendo obrigatório, passaria a existir um direito de retirada aos acionistas que decidissem retirar seu investimento por descontentamento devido a diminuição do provento. Em outras palavras, a empresa teria que pagar pelas ações dos sócios que quisessem se retirar da companhia, gerando assim um desembolso de caixa não satisfatório. Por este motivo, grande parte das companhias, para evitar esse ônus, optou por estipular um percentual de 25% do lucro líquido ajustado</w:t>
      </w:r>
      <w:r w:rsidR="00FD0E1B">
        <w:t xml:space="preserve"> (ROCHA, 2019)</w:t>
      </w:r>
      <w:r w:rsidRPr="00026EAA">
        <w:t>, se sucedendo assim até os dias atuais, como o que foi auferido por Vancin e Procianoy (2014).</w:t>
      </w:r>
    </w:p>
    <w:p w14:paraId="3ADDD612" w14:textId="77777777" w:rsidR="002F3F6E" w:rsidRDefault="00026EAA" w:rsidP="00026EAA">
      <w:pPr>
        <w:ind w:firstLine="851"/>
        <w:rPr>
          <w:rFonts w:eastAsia="Arial" w:cs="Times New Roman"/>
          <w:b/>
          <w:bCs/>
          <w:spacing w:val="-2"/>
          <w:szCs w:val="24"/>
        </w:rPr>
      </w:pPr>
      <w:r w:rsidRPr="00026EAA">
        <w:rPr>
          <w:rFonts w:eastAsia="Arial" w:cs="Times New Roman"/>
          <w:spacing w:val="-2"/>
          <w:szCs w:val="24"/>
        </w:rPr>
        <w:t xml:space="preserve">O artigo 202 da Lei 6.404/76, reguladora do tema, determina que o estatuto social indicará a porção dos lucros a ser destinada ao dividendo obrigatório. </w:t>
      </w:r>
      <w:r>
        <w:rPr>
          <w:rFonts w:eastAsia="Arial" w:cs="Times New Roman"/>
          <w:spacing w:val="-2"/>
          <w:szCs w:val="24"/>
        </w:rPr>
        <w:t xml:space="preserve">Dessa forma, </w:t>
      </w:r>
      <w:r w:rsidRPr="00800F3D">
        <w:rPr>
          <w:rFonts w:eastAsia="Arial" w:cs="Times New Roman"/>
          <w:spacing w:val="-2"/>
          <w:szCs w:val="24"/>
        </w:rPr>
        <w:t xml:space="preserve">não </w:t>
      </w:r>
      <w:r>
        <w:rPr>
          <w:rFonts w:eastAsia="Arial" w:cs="Times New Roman"/>
          <w:spacing w:val="-2"/>
          <w:szCs w:val="24"/>
        </w:rPr>
        <w:t xml:space="preserve">há </w:t>
      </w:r>
      <w:r w:rsidRPr="00800F3D">
        <w:rPr>
          <w:rFonts w:eastAsia="Arial" w:cs="Times New Roman"/>
          <w:spacing w:val="-2"/>
          <w:szCs w:val="24"/>
        </w:rPr>
        <w:t>obrigatoriedade de fixá-lo em 25% do lucro líquido ajustado</w:t>
      </w:r>
      <w:r>
        <w:rPr>
          <w:rFonts w:eastAsia="Arial" w:cs="Times New Roman"/>
          <w:spacing w:val="-2"/>
          <w:szCs w:val="24"/>
        </w:rPr>
        <w:t>, embora esse percentual seja recorrente e não haja impedimento normativo que as firmas adotem</w:t>
      </w:r>
      <w:r w:rsidRPr="00800F3D">
        <w:rPr>
          <w:rFonts w:eastAsia="Arial" w:cs="Times New Roman"/>
          <w:spacing w:val="-2"/>
          <w:szCs w:val="24"/>
        </w:rPr>
        <w:t xml:space="preserve"> política mais agressiva </w:t>
      </w:r>
      <w:r>
        <w:rPr>
          <w:rFonts w:eastAsia="Arial" w:cs="Times New Roman"/>
          <w:spacing w:val="-2"/>
          <w:szCs w:val="24"/>
        </w:rPr>
        <w:t xml:space="preserve">de </w:t>
      </w:r>
      <w:r w:rsidRPr="00800F3D">
        <w:rPr>
          <w:rFonts w:eastAsia="Arial" w:cs="Times New Roman"/>
          <w:spacing w:val="-2"/>
          <w:szCs w:val="24"/>
        </w:rPr>
        <w:t xml:space="preserve">distribuição de resultados </w:t>
      </w:r>
      <w:r>
        <w:rPr>
          <w:rFonts w:eastAsia="Arial" w:cs="Times New Roman"/>
          <w:spacing w:val="-2"/>
          <w:szCs w:val="24"/>
        </w:rPr>
        <w:t xml:space="preserve">por meio </w:t>
      </w:r>
      <w:r w:rsidRPr="00800F3D">
        <w:rPr>
          <w:rFonts w:eastAsia="Arial" w:cs="Times New Roman"/>
          <w:spacing w:val="-2"/>
          <w:szCs w:val="24"/>
        </w:rPr>
        <w:t xml:space="preserve">de pagamentos </w:t>
      </w:r>
      <w:r w:rsidR="002F3F6E">
        <w:rPr>
          <w:rFonts w:eastAsia="Arial" w:cs="Times New Roman"/>
          <w:spacing w:val="-2"/>
          <w:szCs w:val="24"/>
        </w:rPr>
        <w:t xml:space="preserve">adicionais </w:t>
      </w:r>
      <w:r w:rsidRPr="00800F3D">
        <w:rPr>
          <w:rFonts w:eastAsia="Arial" w:cs="Times New Roman"/>
          <w:spacing w:val="-2"/>
          <w:szCs w:val="24"/>
        </w:rPr>
        <w:t>ou intermediários (AIROLDI; NASCIMENTO, 2008).</w:t>
      </w:r>
      <w:r>
        <w:rPr>
          <w:rFonts w:eastAsia="Arial" w:cs="Times New Roman"/>
          <w:b/>
          <w:bCs/>
          <w:spacing w:val="-2"/>
          <w:szCs w:val="24"/>
        </w:rPr>
        <w:t xml:space="preserve"> </w:t>
      </w:r>
    </w:p>
    <w:p w14:paraId="4D437C08" w14:textId="724E2491" w:rsidR="00D03375" w:rsidRPr="00800F3D" w:rsidRDefault="00D03375" w:rsidP="00026EAA">
      <w:pPr>
        <w:ind w:firstLine="851"/>
        <w:rPr>
          <w:rFonts w:eastAsia="Arial" w:cs="Times New Roman"/>
          <w:b/>
          <w:bCs/>
          <w:spacing w:val="-2"/>
          <w:szCs w:val="24"/>
        </w:rPr>
      </w:pPr>
      <w:r w:rsidRPr="00800F3D">
        <w:rPr>
          <w:rFonts w:eastAsia="Arial" w:cs="Times New Roman"/>
          <w:spacing w:val="-2"/>
          <w:szCs w:val="24"/>
        </w:rPr>
        <w:t xml:space="preserve">Isso significa que é possível que a empresa fixe um percentual baixo, visando atender as próprias necessidades financeiras, de acordo com seus objetivos de desenvolvimento, gestão de capital e fluxo de caixa; bem como que ela pague uma porcentagem maior do que o estipulado no documento, com o objetivo de tornar seu capital mais atrativo para o investimento, considerando que muitos investidores de perfil conservador buscam o máximo de proventos possível. Ainda, é possível contrair um benefício fiscal ao usar o Juros sobre o Capital Próprio como parte dessa distribuição. </w:t>
      </w:r>
    </w:p>
    <w:p w14:paraId="716A92FB" w14:textId="66C12B0F" w:rsidR="00766621" w:rsidRDefault="00766621" w:rsidP="00026EAA">
      <w:pPr>
        <w:ind w:firstLine="851"/>
        <w:rPr>
          <w:rFonts w:eastAsia="Arial" w:cs="Times New Roman"/>
          <w:spacing w:val="-2"/>
          <w:szCs w:val="24"/>
        </w:rPr>
      </w:pPr>
      <w:r>
        <w:rPr>
          <w:rFonts w:eastAsia="Arial" w:cs="Times New Roman"/>
          <w:spacing w:val="-2"/>
          <w:szCs w:val="24"/>
        </w:rPr>
        <w:t xml:space="preserve">Dessa forma, propõe-se: qual a relação entre o dividendo mínimo obrigatório e o lucro efetivamente distribuído pelas empresas? </w:t>
      </w:r>
      <w:r w:rsidR="00D03375" w:rsidRPr="00800F3D">
        <w:rPr>
          <w:rFonts w:eastAsia="Arial" w:cs="Times New Roman"/>
          <w:spacing w:val="-2"/>
          <w:szCs w:val="24"/>
        </w:rPr>
        <w:t xml:space="preserve">Assim, o objetivo geral deste estudo é </w:t>
      </w:r>
      <w:r>
        <w:rPr>
          <w:rFonts w:eastAsia="Arial" w:cs="Times New Roman"/>
          <w:spacing w:val="-2"/>
          <w:szCs w:val="24"/>
        </w:rPr>
        <w:t>a verificação d</w:t>
      </w:r>
      <w:r w:rsidR="00D03375" w:rsidRPr="00800F3D">
        <w:rPr>
          <w:rFonts w:eastAsia="Arial" w:cs="Times New Roman"/>
          <w:spacing w:val="-2"/>
          <w:szCs w:val="24"/>
        </w:rPr>
        <w:t xml:space="preserve">a </w:t>
      </w:r>
      <w:r>
        <w:rPr>
          <w:rFonts w:eastAsia="Arial" w:cs="Times New Roman"/>
          <w:spacing w:val="-2"/>
          <w:szCs w:val="24"/>
        </w:rPr>
        <w:t xml:space="preserve">relação entre a </w:t>
      </w:r>
      <w:r w:rsidR="00D03375" w:rsidRPr="00800F3D">
        <w:rPr>
          <w:rFonts w:eastAsia="Arial" w:cs="Times New Roman"/>
          <w:spacing w:val="-2"/>
          <w:szCs w:val="24"/>
        </w:rPr>
        <w:t>distribuição d</w:t>
      </w:r>
      <w:r>
        <w:rPr>
          <w:rFonts w:eastAsia="Arial" w:cs="Times New Roman"/>
          <w:spacing w:val="-2"/>
          <w:szCs w:val="24"/>
        </w:rPr>
        <w:t xml:space="preserve">e </w:t>
      </w:r>
      <w:r w:rsidR="00D03375" w:rsidRPr="00800F3D">
        <w:rPr>
          <w:rFonts w:eastAsia="Arial" w:cs="Times New Roman"/>
          <w:spacing w:val="-2"/>
          <w:szCs w:val="24"/>
        </w:rPr>
        <w:t xml:space="preserve">dividendos e </w:t>
      </w:r>
      <w:r>
        <w:rPr>
          <w:rFonts w:eastAsia="Arial" w:cs="Times New Roman"/>
          <w:spacing w:val="-2"/>
          <w:szCs w:val="24"/>
        </w:rPr>
        <w:t>juros sobre capital próprio</w:t>
      </w:r>
      <w:r w:rsidR="00D03375" w:rsidRPr="00800F3D">
        <w:rPr>
          <w:rFonts w:eastAsia="Arial" w:cs="Times New Roman"/>
          <w:spacing w:val="-2"/>
          <w:szCs w:val="24"/>
        </w:rPr>
        <w:t xml:space="preserve"> das empresas </w:t>
      </w:r>
      <w:r>
        <w:rPr>
          <w:rFonts w:eastAsia="Arial" w:cs="Times New Roman"/>
          <w:spacing w:val="-2"/>
          <w:szCs w:val="24"/>
        </w:rPr>
        <w:t>listadas na bolsa brasileira</w:t>
      </w:r>
      <w:r w:rsidR="000F4525">
        <w:rPr>
          <w:rFonts w:eastAsia="Arial" w:cs="Times New Roman"/>
          <w:spacing w:val="-2"/>
          <w:szCs w:val="24"/>
        </w:rPr>
        <w:t xml:space="preserve"> com base no mínimo esperado, calculado com base no dispositivo estatutário, e o que foi de fato declarado aos acionistas</w:t>
      </w:r>
      <w:r>
        <w:rPr>
          <w:rFonts w:eastAsia="Arial" w:cs="Times New Roman"/>
          <w:spacing w:val="-2"/>
          <w:szCs w:val="24"/>
        </w:rPr>
        <w:t xml:space="preserve">. </w:t>
      </w:r>
    </w:p>
    <w:p w14:paraId="05B98762" w14:textId="59C5DC64" w:rsidR="00D03375" w:rsidRPr="00800F3D" w:rsidRDefault="00D03375" w:rsidP="00026EAA">
      <w:pPr>
        <w:ind w:firstLine="851"/>
        <w:rPr>
          <w:rFonts w:eastAsia="Arial" w:cs="Times New Roman"/>
          <w:b/>
          <w:bCs/>
          <w:spacing w:val="-2"/>
          <w:szCs w:val="24"/>
        </w:rPr>
      </w:pPr>
      <w:r w:rsidRPr="00800F3D">
        <w:rPr>
          <w:rFonts w:eastAsia="Arial" w:cs="Times New Roman"/>
          <w:spacing w:val="-2"/>
          <w:szCs w:val="24"/>
        </w:rPr>
        <w:t>O</w:t>
      </w:r>
      <w:r w:rsidR="00766621">
        <w:rPr>
          <w:rFonts w:eastAsia="Arial" w:cs="Times New Roman"/>
          <w:spacing w:val="-2"/>
          <w:szCs w:val="24"/>
        </w:rPr>
        <w:t xml:space="preserve"> presente</w:t>
      </w:r>
      <w:r w:rsidRPr="00800F3D">
        <w:rPr>
          <w:rFonts w:eastAsia="Arial" w:cs="Times New Roman"/>
          <w:spacing w:val="-2"/>
          <w:szCs w:val="24"/>
        </w:rPr>
        <w:t xml:space="preserve"> estudo é relevante no cenário de crescimento do mercado de capitais no Brasil: a possibilidade de mapeamento e análise da distribuição de dividendos se torna positiva por acompanhar o alinhamento entre expectativas de rentabilidade futura por meio de investimentos que promovem proventos, como o dividendo e o JCP, e o que de fato ocorre nas transações. </w:t>
      </w:r>
    </w:p>
    <w:p w14:paraId="398B5E6B" w14:textId="4B912815" w:rsidR="00D03375" w:rsidRDefault="00D03375" w:rsidP="00026EAA">
      <w:pPr>
        <w:ind w:firstLine="851"/>
        <w:rPr>
          <w:rFonts w:eastAsia="Arial" w:cs="Times New Roman"/>
          <w:b/>
          <w:bCs/>
          <w:spacing w:val="-2"/>
          <w:szCs w:val="24"/>
        </w:rPr>
      </w:pPr>
      <w:r w:rsidRPr="00800F3D">
        <w:rPr>
          <w:rFonts w:eastAsia="Arial" w:cs="Times New Roman"/>
          <w:spacing w:val="-2"/>
          <w:szCs w:val="24"/>
        </w:rPr>
        <w:lastRenderedPageBreak/>
        <w:t xml:space="preserve">As ações pagadoras de dividendos se encaixam no perfil majoritário de investimento do brasileiro, como constatado no artigo de Paiva </w:t>
      </w:r>
      <w:r w:rsidRPr="00D41C6E">
        <w:rPr>
          <w:rFonts w:eastAsia="Arial" w:cs="Times New Roman"/>
          <w:i/>
          <w:iCs/>
          <w:spacing w:val="-2"/>
          <w:szCs w:val="24"/>
        </w:rPr>
        <w:t>et al</w:t>
      </w:r>
      <w:r w:rsidRPr="00800F3D">
        <w:rPr>
          <w:rFonts w:eastAsia="Arial" w:cs="Times New Roman"/>
          <w:spacing w:val="-2"/>
          <w:szCs w:val="24"/>
        </w:rPr>
        <w:t>. (2020). Foi evidenciado que os investidores detêm pouco conhecimento sobre investimentos financeiros, pois não possuem envolvimento com o mercado financeiro, e prevalece o investidor com perfil conservador, que tem como prioridade a segurança antes da rentabilidade. Por isso, as ações que pagam dividendos oferecem vantagens aos acionistas, como o fato de serem isentos do Imposto de Renda, além de transmitir uma sensação de retorno concreto do montante investido. Por isso tal trabalho pleiteia contribuir para a formação de opinião de interessados, como investidores, contadores e acadêmicos voltados para a área de negócios</w:t>
      </w:r>
      <w:r w:rsidR="00766621">
        <w:rPr>
          <w:rFonts w:eastAsia="Arial" w:cs="Times New Roman"/>
          <w:spacing w:val="-2"/>
          <w:szCs w:val="24"/>
        </w:rPr>
        <w:t>.</w:t>
      </w:r>
    </w:p>
    <w:p w14:paraId="5E7B078E" w14:textId="77777777" w:rsidR="00800F3D" w:rsidRDefault="00800F3D" w:rsidP="0034020A">
      <w:pPr>
        <w:pStyle w:val="Ttulo1"/>
        <w:spacing w:before="0" w:after="0"/>
        <w:rPr>
          <w:rFonts w:eastAsia="Arial" w:cs="Times New Roman"/>
          <w:b w:val="0"/>
          <w:bCs w:val="0"/>
          <w:spacing w:val="-2"/>
          <w:szCs w:val="24"/>
        </w:rPr>
      </w:pPr>
    </w:p>
    <w:p w14:paraId="6DFEECEE" w14:textId="4DB2ED19" w:rsidR="007144E8" w:rsidRDefault="0034020A" w:rsidP="0034020A">
      <w:pPr>
        <w:pStyle w:val="Ttulo1"/>
        <w:spacing w:before="0" w:after="0"/>
      </w:pPr>
      <w:r>
        <w:t xml:space="preserve">2 REFERENCIAL TEÓRICO </w:t>
      </w:r>
    </w:p>
    <w:p w14:paraId="16490536" w14:textId="77777777" w:rsidR="00800F3D" w:rsidRPr="003B44B4" w:rsidRDefault="00800F3D" w:rsidP="0034020A">
      <w:pPr>
        <w:rPr>
          <w:rFonts w:cs="Times New Roman"/>
          <w:szCs w:val="24"/>
        </w:rPr>
      </w:pPr>
    </w:p>
    <w:p w14:paraId="6F4538E3" w14:textId="77777777" w:rsidR="00483E9E" w:rsidRDefault="00C216AC" w:rsidP="00E36B5A">
      <w:pPr>
        <w:ind w:firstLine="851"/>
        <w:rPr>
          <w:rFonts w:cs="Times New Roman"/>
          <w:i/>
          <w:szCs w:val="24"/>
        </w:rPr>
      </w:pPr>
      <w:r>
        <w:rPr>
          <w:rFonts w:cs="Times New Roman"/>
          <w:szCs w:val="24"/>
        </w:rPr>
        <w:t>A</w:t>
      </w:r>
      <w:r w:rsidRPr="003B44B4">
        <w:rPr>
          <w:rFonts w:cs="Times New Roman"/>
          <w:szCs w:val="24"/>
        </w:rPr>
        <w:t xml:space="preserve"> decisão de uma política de dividendos </w:t>
      </w:r>
      <w:r>
        <w:rPr>
          <w:rFonts w:cs="Times New Roman"/>
          <w:szCs w:val="24"/>
        </w:rPr>
        <w:t>envolve uma escolha a respeito d</w:t>
      </w:r>
      <w:r w:rsidRPr="003B44B4">
        <w:rPr>
          <w:rFonts w:cs="Times New Roman"/>
          <w:szCs w:val="24"/>
        </w:rPr>
        <w:t>o lucro líquido</w:t>
      </w:r>
      <w:r>
        <w:rPr>
          <w:rFonts w:cs="Times New Roman"/>
          <w:szCs w:val="24"/>
        </w:rPr>
        <w:t xml:space="preserve"> </w:t>
      </w:r>
      <w:r w:rsidRPr="003B44B4">
        <w:rPr>
          <w:rFonts w:cs="Times New Roman"/>
          <w:szCs w:val="24"/>
        </w:rPr>
        <w:t>da empresa:  retê-lo, visando ao reinvest</w:t>
      </w:r>
      <w:r>
        <w:rPr>
          <w:rFonts w:cs="Times New Roman"/>
          <w:szCs w:val="24"/>
        </w:rPr>
        <w:t>imento em sua própria atividade, ou distribuí-lo, n</w:t>
      </w:r>
      <w:r w:rsidRPr="003B44B4">
        <w:rPr>
          <w:rFonts w:cs="Times New Roman"/>
          <w:szCs w:val="24"/>
        </w:rPr>
        <w:t>a forma de dividendos em dinheiro aos acionistas</w:t>
      </w:r>
      <w:r>
        <w:rPr>
          <w:rFonts w:cs="Times New Roman"/>
          <w:szCs w:val="24"/>
        </w:rPr>
        <w:t xml:space="preserve"> (ASSAF NETO, 2006)</w:t>
      </w:r>
      <w:r w:rsidRPr="003B44B4">
        <w:rPr>
          <w:rFonts w:cs="Times New Roman"/>
          <w:szCs w:val="24"/>
        </w:rPr>
        <w:t xml:space="preserve">. </w:t>
      </w:r>
      <w:r w:rsidR="00143EE1">
        <w:rPr>
          <w:rFonts w:cs="Times New Roman"/>
          <w:szCs w:val="24"/>
        </w:rPr>
        <w:t xml:space="preserve">Com efeito, </w:t>
      </w:r>
      <w:r w:rsidRPr="003B44B4">
        <w:rPr>
          <w:rFonts w:cs="Times New Roman"/>
          <w:szCs w:val="24"/>
        </w:rPr>
        <w:t xml:space="preserve">o que se procura definir mais adequadamente é a </w:t>
      </w:r>
      <w:r w:rsidR="00143EE1">
        <w:rPr>
          <w:rFonts w:cs="Times New Roman"/>
          <w:szCs w:val="24"/>
        </w:rPr>
        <w:t>parcela</w:t>
      </w:r>
      <w:r w:rsidRPr="003B44B4">
        <w:rPr>
          <w:rFonts w:cs="Times New Roman"/>
          <w:szCs w:val="24"/>
        </w:rPr>
        <w:t xml:space="preserve"> do lucro líquido a ser distribuído aos acionistas, isto é, o índice de </w:t>
      </w:r>
      <w:proofErr w:type="spellStart"/>
      <w:r w:rsidRPr="00AE3FFA">
        <w:rPr>
          <w:rFonts w:cs="Times New Roman"/>
          <w:i/>
          <w:szCs w:val="24"/>
        </w:rPr>
        <w:t>payout</w:t>
      </w:r>
      <w:proofErr w:type="spellEnd"/>
      <w:r w:rsidRPr="00AE3FFA">
        <w:rPr>
          <w:rFonts w:cs="Times New Roman"/>
          <w:i/>
          <w:szCs w:val="24"/>
        </w:rPr>
        <w:t>.</w:t>
      </w:r>
      <w:r>
        <w:rPr>
          <w:rFonts w:cs="Times New Roman"/>
          <w:i/>
          <w:szCs w:val="24"/>
        </w:rPr>
        <w:t xml:space="preserve"> </w:t>
      </w:r>
    </w:p>
    <w:p w14:paraId="6BFBDC4B" w14:textId="77777777" w:rsidR="00483E9E" w:rsidRDefault="00143EE1" w:rsidP="00E36B5A">
      <w:pPr>
        <w:ind w:firstLine="851"/>
        <w:rPr>
          <w:rFonts w:cs="Times New Roman"/>
          <w:szCs w:val="24"/>
        </w:rPr>
      </w:pPr>
      <w:r>
        <w:rPr>
          <w:rFonts w:cs="Times New Roman"/>
          <w:szCs w:val="24"/>
        </w:rPr>
        <w:t>A definição do</w:t>
      </w:r>
      <w:r w:rsidR="00C216AC" w:rsidRPr="003B44B4">
        <w:rPr>
          <w:rFonts w:cs="Times New Roman"/>
          <w:szCs w:val="24"/>
        </w:rPr>
        <w:t xml:space="preserve"> montante de dividendos que será distribuído </w:t>
      </w:r>
      <w:r>
        <w:rPr>
          <w:rFonts w:cs="Times New Roman"/>
          <w:szCs w:val="24"/>
        </w:rPr>
        <w:t xml:space="preserve">envolve, por um lado, </w:t>
      </w:r>
      <w:r w:rsidR="00C216AC" w:rsidRPr="003B44B4">
        <w:rPr>
          <w:rFonts w:cs="Times New Roman"/>
          <w:szCs w:val="24"/>
        </w:rPr>
        <w:t xml:space="preserve">o retorno </w:t>
      </w:r>
      <w:r>
        <w:rPr>
          <w:rFonts w:cs="Times New Roman"/>
          <w:szCs w:val="24"/>
        </w:rPr>
        <w:t>a</w:t>
      </w:r>
      <w:r w:rsidR="00C216AC" w:rsidRPr="003B44B4">
        <w:rPr>
          <w:rFonts w:cs="Times New Roman"/>
          <w:szCs w:val="24"/>
        </w:rPr>
        <w:t>os acionistas</w:t>
      </w:r>
      <w:r>
        <w:rPr>
          <w:rFonts w:cs="Times New Roman"/>
          <w:szCs w:val="24"/>
        </w:rPr>
        <w:t>; e, por outro,</w:t>
      </w:r>
      <w:r w:rsidR="00C216AC" w:rsidRPr="003B44B4">
        <w:rPr>
          <w:rFonts w:cs="Times New Roman"/>
          <w:szCs w:val="24"/>
        </w:rPr>
        <w:t xml:space="preserve"> o financiamento dos investimentos futuros</w:t>
      </w:r>
      <w:r>
        <w:rPr>
          <w:rFonts w:cs="Times New Roman"/>
          <w:szCs w:val="24"/>
        </w:rPr>
        <w:t>.</w:t>
      </w:r>
      <w:r w:rsidR="00C216AC" w:rsidRPr="003B44B4">
        <w:rPr>
          <w:rFonts w:cs="Times New Roman"/>
          <w:szCs w:val="24"/>
        </w:rPr>
        <w:t xml:space="preserve"> </w:t>
      </w:r>
      <w:r w:rsidR="00E36B5A">
        <w:rPr>
          <w:rFonts w:cs="Times New Roman"/>
          <w:szCs w:val="24"/>
        </w:rPr>
        <w:t>De acordo com Airoldi e Nascimento (2008), a</w:t>
      </w:r>
      <w:r w:rsidR="00E36B5A" w:rsidRPr="003B44B4">
        <w:rPr>
          <w:rFonts w:cs="Times New Roman"/>
          <w:szCs w:val="24"/>
        </w:rPr>
        <w:t xml:space="preserve"> baixa disponibilidade de crédito de longo prazo para financiamentos de investimentos operacionais, gera </w:t>
      </w:r>
      <w:r w:rsidR="00E36B5A">
        <w:rPr>
          <w:rFonts w:cs="Times New Roman"/>
          <w:szCs w:val="24"/>
        </w:rPr>
        <w:t xml:space="preserve">considerável </w:t>
      </w:r>
      <w:r w:rsidR="00E36B5A" w:rsidRPr="003B44B4">
        <w:rPr>
          <w:rFonts w:cs="Times New Roman"/>
          <w:szCs w:val="24"/>
        </w:rPr>
        <w:t>retenção de recursos de caixa por parte das companhias</w:t>
      </w:r>
      <w:r w:rsidR="00E36B5A">
        <w:rPr>
          <w:rFonts w:cs="Times New Roman"/>
          <w:szCs w:val="24"/>
        </w:rPr>
        <w:t xml:space="preserve"> emergentes que operam no mercado brasileiro, e, portanto, autofinanciam seu crescimento</w:t>
      </w:r>
      <w:r w:rsidR="00E36B5A" w:rsidRPr="003B44B4">
        <w:rPr>
          <w:rFonts w:cs="Times New Roman"/>
          <w:szCs w:val="24"/>
        </w:rPr>
        <w:t>. Isso não ocorre com</w:t>
      </w:r>
      <w:r w:rsidR="00E36B5A">
        <w:rPr>
          <w:rFonts w:cs="Times New Roman"/>
          <w:szCs w:val="24"/>
        </w:rPr>
        <w:t xml:space="preserve"> algumas</w:t>
      </w:r>
      <w:r w:rsidR="00E36B5A" w:rsidRPr="003B44B4">
        <w:rPr>
          <w:rFonts w:cs="Times New Roman"/>
          <w:szCs w:val="24"/>
        </w:rPr>
        <w:t xml:space="preserve"> empresas consolidadas</w:t>
      </w:r>
      <w:r w:rsidR="00E36B5A">
        <w:rPr>
          <w:rFonts w:cs="Times New Roman"/>
          <w:szCs w:val="24"/>
        </w:rPr>
        <w:t xml:space="preserve">, que </w:t>
      </w:r>
      <w:r w:rsidR="00E36B5A" w:rsidRPr="003B44B4">
        <w:rPr>
          <w:rFonts w:cs="Times New Roman"/>
          <w:szCs w:val="24"/>
        </w:rPr>
        <w:t>já possuem grande arcabouço estrutural e tecnológico, e</w:t>
      </w:r>
      <w:r w:rsidR="00E36B5A">
        <w:rPr>
          <w:rFonts w:cs="Times New Roman"/>
          <w:szCs w:val="24"/>
        </w:rPr>
        <w:t xml:space="preserve"> podem</w:t>
      </w:r>
      <w:r w:rsidR="00E36B5A" w:rsidRPr="003B44B4">
        <w:rPr>
          <w:rFonts w:cs="Times New Roman"/>
          <w:szCs w:val="24"/>
        </w:rPr>
        <w:t xml:space="preserve"> faze</w:t>
      </w:r>
      <w:r w:rsidR="00E36B5A">
        <w:rPr>
          <w:rFonts w:cs="Times New Roman"/>
          <w:szCs w:val="24"/>
        </w:rPr>
        <w:t>r</w:t>
      </w:r>
      <w:r w:rsidR="00E36B5A" w:rsidRPr="003B44B4">
        <w:rPr>
          <w:rFonts w:cs="Times New Roman"/>
          <w:szCs w:val="24"/>
        </w:rPr>
        <w:t xml:space="preserve"> sua captação de recursos</w:t>
      </w:r>
      <w:r w:rsidR="00E36B5A">
        <w:rPr>
          <w:rFonts w:cs="Times New Roman"/>
          <w:szCs w:val="24"/>
        </w:rPr>
        <w:t xml:space="preserve"> via bolsa de valores</w:t>
      </w:r>
      <w:r w:rsidR="00E36B5A" w:rsidRPr="003B44B4">
        <w:rPr>
          <w:rFonts w:cs="Times New Roman"/>
          <w:szCs w:val="24"/>
        </w:rPr>
        <w:t xml:space="preserve"> para dar continuidade ao seu pleno desempenho, sinalizando ao mercado que tal decisão é tomada com base em critérios internos, sem obrigatoriedade legal.</w:t>
      </w:r>
      <w:r w:rsidR="00483E9E">
        <w:rPr>
          <w:rFonts w:cs="Times New Roman"/>
          <w:szCs w:val="24"/>
        </w:rPr>
        <w:t xml:space="preserve"> </w:t>
      </w:r>
    </w:p>
    <w:p w14:paraId="3DB3F458" w14:textId="2DC3563B" w:rsidR="00C216AC" w:rsidRPr="003B44B4" w:rsidRDefault="00483E9E" w:rsidP="00E36B5A">
      <w:pPr>
        <w:ind w:firstLine="851"/>
        <w:rPr>
          <w:rFonts w:cs="Times New Roman"/>
          <w:szCs w:val="24"/>
        </w:rPr>
      </w:pPr>
      <w:r>
        <w:rPr>
          <w:rFonts w:cs="Times New Roman"/>
          <w:szCs w:val="24"/>
        </w:rPr>
        <w:t xml:space="preserve">Ademais, o dividendo tem um poder sinalizador, que pode ser interpretado de diversas formas, seja negativamente, como uma dificuldade em gerar novos projetos </w:t>
      </w:r>
      <w:r>
        <w:rPr>
          <w:rFonts w:cs="Times New Roman"/>
          <w:szCs w:val="24"/>
        </w:rPr>
        <w:lastRenderedPageBreak/>
        <w:t>com valor presente líquido positivo; ou positivamente, como uma forma de corresponder às expectativas de remuneração dos investidores (GONZÁLES, 1998).</w:t>
      </w:r>
    </w:p>
    <w:p w14:paraId="3A676B97" w14:textId="66230C0D" w:rsidR="00800F3D" w:rsidRPr="003B44B4" w:rsidRDefault="00C216AC" w:rsidP="0034020A">
      <w:pPr>
        <w:ind w:firstLine="851"/>
        <w:rPr>
          <w:rFonts w:cs="Times New Roman"/>
          <w:szCs w:val="24"/>
        </w:rPr>
      </w:pPr>
      <w:r>
        <w:rPr>
          <w:rFonts w:cs="Times New Roman"/>
          <w:szCs w:val="24"/>
        </w:rPr>
        <w:t>É</w:t>
      </w:r>
      <w:r w:rsidR="00800F3D" w:rsidRPr="003B44B4">
        <w:rPr>
          <w:rFonts w:cs="Times New Roman"/>
          <w:szCs w:val="24"/>
        </w:rPr>
        <w:t xml:space="preserve"> importante salientar que no Brasil existem </w:t>
      </w:r>
      <w:r w:rsidR="00143EE1">
        <w:rPr>
          <w:rFonts w:cs="Times New Roman"/>
          <w:szCs w:val="24"/>
        </w:rPr>
        <w:t xml:space="preserve">particularidades: a existência do dividendo mínimo obrigatório e os </w:t>
      </w:r>
      <w:r w:rsidR="00800F3D" w:rsidRPr="003B44B4">
        <w:rPr>
          <w:rFonts w:cs="Times New Roman"/>
          <w:szCs w:val="24"/>
        </w:rPr>
        <w:t>aspectos tributários</w:t>
      </w:r>
      <w:r>
        <w:rPr>
          <w:rFonts w:cs="Times New Roman"/>
          <w:szCs w:val="24"/>
        </w:rPr>
        <w:t xml:space="preserve"> (</w:t>
      </w:r>
      <w:r w:rsidRPr="00C216AC">
        <w:rPr>
          <w:rFonts w:cs="Times New Roman"/>
          <w:szCs w:val="24"/>
        </w:rPr>
        <w:t>GALVÃO</w:t>
      </w:r>
      <w:r>
        <w:rPr>
          <w:rFonts w:cs="Times New Roman"/>
          <w:szCs w:val="24"/>
        </w:rPr>
        <w:t>;</w:t>
      </w:r>
      <w:r w:rsidRPr="00C216AC">
        <w:rPr>
          <w:rFonts w:cs="Times New Roman"/>
          <w:szCs w:val="24"/>
        </w:rPr>
        <w:t xml:space="preserve"> SANTOS</w:t>
      </w:r>
      <w:r>
        <w:rPr>
          <w:rFonts w:cs="Times New Roman"/>
          <w:szCs w:val="24"/>
        </w:rPr>
        <w:t>;</w:t>
      </w:r>
      <w:r w:rsidRPr="00C216AC">
        <w:rPr>
          <w:rFonts w:cs="Times New Roman"/>
          <w:szCs w:val="24"/>
        </w:rPr>
        <w:t xml:space="preserve"> ARAÚJO</w:t>
      </w:r>
      <w:r>
        <w:rPr>
          <w:rFonts w:cs="Times New Roman"/>
          <w:szCs w:val="24"/>
        </w:rPr>
        <w:t>,</w:t>
      </w:r>
      <w:r w:rsidRPr="00C216AC">
        <w:rPr>
          <w:rFonts w:cs="Times New Roman"/>
          <w:szCs w:val="24"/>
        </w:rPr>
        <w:t xml:space="preserve"> 2018</w:t>
      </w:r>
      <w:r>
        <w:rPr>
          <w:rFonts w:cs="Times New Roman"/>
          <w:szCs w:val="24"/>
        </w:rPr>
        <w:t>)</w:t>
      </w:r>
      <w:r w:rsidR="00800F3D" w:rsidRPr="003B44B4">
        <w:rPr>
          <w:rFonts w:cs="Times New Roman"/>
          <w:szCs w:val="24"/>
        </w:rPr>
        <w:t xml:space="preserve">. Isso </w:t>
      </w:r>
      <w:r w:rsidR="00800F3D">
        <w:rPr>
          <w:rFonts w:cs="Times New Roman"/>
          <w:szCs w:val="24"/>
        </w:rPr>
        <w:t xml:space="preserve">pode </w:t>
      </w:r>
      <w:r w:rsidR="00800F3D" w:rsidRPr="003B44B4">
        <w:rPr>
          <w:rFonts w:cs="Times New Roman"/>
          <w:szCs w:val="24"/>
        </w:rPr>
        <w:t>afeta</w:t>
      </w:r>
      <w:r w:rsidR="00800F3D">
        <w:rPr>
          <w:rFonts w:cs="Times New Roman"/>
          <w:szCs w:val="24"/>
        </w:rPr>
        <w:t>r</w:t>
      </w:r>
      <w:r w:rsidR="00800F3D" w:rsidRPr="003B44B4">
        <w:rPr>
          <w:rFonts w:cs="Times New Roman"/>
          <w:szCs w:val="24"/>
        </w:rPr>
        <w:t xml:space="preserve"> diretamente a relação dos investidores para com as empresas, já que os dividendos pagos ou creditados pelas pessoas jurídicas não </w:t>
      </w:r>
      <w:r w:rsidR="00BA360B">
        <w:rPr>
          <w:rFonts w:cs="Times New Roman"/>
          <w:szCs w:val="24"/>
        </w:rPr>
        <w:t>sofrem a incidência</w:t>
      </w:r>
      <w:r w:rsidR="00800F3D" w:rsidRPr="003B44B4">
        <w:rPr>
          <w:rFonts w:cs="Times New Roman"/>
          <w:szCs w:val="24"/>
        </w:rPr>
        <w:t xml:space="preserve"> do Imposto de Renda Retido na Fonte</w:t>
      </w:r>
      <w:r w:rsidR="00BA360B">
        <w:rPr>
          <w:rFonts w:cs="Times New Roman"/>
          <w:szCs w:val="24"/>
        </w:rPr>
        <w:t>. A título de ilustração, n</w:t>
      </w:r>
      <w:r w:rsidR="00800F3D" w:rsidRPr="003B44B4">
        <w:rPr>
          <w:rFonts w:cs="Times New Roman"/>
          <w:szCs w:val="24"/>
        </w:rPr>
        <w:t>os Estados Unidos</w:t>
      </w:r>
      <w:r w:rsidR="00BA360B">
        <w:rPr>
          <w:rFonts w:cs="Times New Roman"/>
          <w:szCs w:val="24"/>
        </w:rPr>
        <w:t xml:space="preserve"> há</w:t>
      </w:r>
      <w:r w:rsidR="00800F3D" w:rsidRPr="003B44B4">
        <w:rPr>
          <w:rFonts w:cs="Times New Roman"/>
          <w:szCs w:val="24"/>
        </w:rPr>
        <w:t xml:space="preserve"> tributação de dividendos</w:t>
      </w:r>
      <w:r w:rsidR="00BA360B">
        <w:rPr>
          <w:rFonts w:cs="Times New Roman"/>
          <w:szCs w:val="24"/>
        </w:rPr>
        <w:t xml:space="preserve"> e </w:t>
      </w:r>
      <w:proofErr w:type="spellStart"/>
      <w:r w:rsidR="00BA360B">
        <w:rPr>
          <w:rFonts w:cs="Times New Roman"/>
          <w:szCs w:val="24"/>
        </w:rPr>
        <w:t>esta</w:t>
      </w:r>
      <w:proofErr w:type="spellEnd"/>
      <w:r w:rsidR="00BA360B">
        <w:rPr>
          <w:rFonts w:cs="Times New Roman"/>
          <w:szCs w:val="24"/>
        </w:rPr>
        <w:t xml:space="preserve"> varia de acordo</w:t>
      </w:r>
      <w:r w:rsidR="00800F3D" w:rsidRPr="003B44B4">
        <w:rPr>
          <w:rFonts w:cs="Times New Roman"/>
          <w:szCs w:val="24"/>
        </w:rPr>
        <w:t xml:space="preserve"> </w:t>
      </w:r>
      <w:r w:rsidR="00BA360B">
        <w:rPr>
          <w:rFonts w:cs="Times New Roman"/>
          <w:szCs w:val="24"/>
        </w:rPr>
        <w:t xml:space="preserve">com a </w:t>
      </w:r>
      <w:r w:rsidR="00800F3D" w:rsidRPr="003B44B4">
        <w:rPr>
          <w:rFonts w:cs="Times New Roman"/>
          <w:szCs w:val="24"/>
        </w:rPr>
        <w:t>estrutura legal da empresa e o enquadramento da ação.</w:t>
      </w:r>
    </w:p>
    <w:p w14:paraId="12875499" w14:textId="5DA426DC" w:rsidR="00E36B5A" w:rsidRDefault="00800F3D" w:rsidP="0034020A">
      <w:pPr>
        <w:ind w:firstLine="709"/>
        <w:rPr>
          <w:rFonts w:cs="Times New Roman"/>
          <w:szCs w:val="24"/>
        </w:rPr>
      </w:pPr>
      <w:r w:rsidRPr="003B44B4">
        <w:rPr>
          <w:rFonts w:cs="Times New Roman"/>
          <w:szCs w:val="24"/>
        </w:rPr>
        <w:t xml:space="preserve">Estudos realizados por Vancin e Procianoy (2014) e Silva </w:t>
      </w:r>
      <w:r w:rsidRPr="00733353">
        <w:rPr>
          <w:rFonts w:cs="Times New Roman"/>
          <w:i/>
          <w:iCs/>
          <w:szCs w:val="24"/>
        </w:rPr>
        <w:t>et al.</w:t>
      </w:r>
      <w:r w:rsidRPr="003B44B4">
        <w:rPr>
          <w:rFonts w:cs="Times New Roman"/>
          <w:szCs w:val="24"/>
        </w:rPr>
        <w:t xml:space="preserve"> (201</w:t>
      </w:r>
      <w:r>
        <w:rPr>
          <w:rFonts w:cs="Times New Roman"/>
          <w:szCs w:val="24"/>
        </w:rPr>
        <w:t>6</w:t>
      </w:r>
      <w:r w:rsidRPr="003B44B4">
        <w:rPr>
          <w:rFonts w:cs="Times New Roman"/>
          <w:szCs w:val="24"/>
        </w:rPr>
        <w:t xml:space="preserve">) se destacam por terem sido desenvolvidos no Brasil, e serem alinhados com as particularidades observadas em nosso mercado, como a obrigatoriedade de determinação de pagamento mínimos de dividendos, a existência da distribuição de lucros via JCP, e a ocorrência de tributação sobre o JCP apenas. </w:t>
      </w:r>
    </w:p>
    <w:p w14:paraId="7914C22F" w14:textId="113949EA" w:rsidR="00800F3D" w:rsidRDefault="00800F3D" w:rsidP="0034020A">
      <w:pPr>
        <w:ind w:firstLine="709"/>
        <w:rPr>
          <w:rFonts w:cs="Times New Roman"/>
          <w:szCs w:val="24"/>
        </w:rPr>
      </w:pPr>
      <w:r w:rsidRPr="003B44B4">
        <w:rPr>
          <w:rFonts w:cs="Times New Roman"/>
          <w:szCs w:val="24"/>
        </w:rPr>
        <w:t xml:space="preserve">Vancin e Procianoy (2014) procuraram identificar os objetivos das empresas listadas na </w:t>
      </w:r>
      <w:proofErr w:type="spellStart"/>
      <w:r w:rsidRPr="003B44B4">
        <w:rPr>
          <w:rFonts w:cs="Times New Roman"/>
          <w:szCs w:val="24"/>
        </w:rPr>
        <w:t>BM&amp;FBovespa</w:t>
      </w:r>
      <w:proofErr w:type="spellEnd"/>
      <w:r w:rsidRPr="003B44B4">
        <w:rPr>
          <w:rFonts w:cs="Times New Roman"/>
          <w:szCs w:val="24"/>
        </w:rPr>
        <w:t xml:space="preserve"> </w:t>
      </w:r>
      <w:r w:rsidR="00E36B5A">
        <w:rPr>
          <w:rFonts w:cs="Times New Roman"/>
          <w:szCs w:val="24"/>
        </w:rPr>
        <w:t>em relação a distribuição de lucros</w:t>
      </w:r>
      <w:r w:rsidRPr="003B44B4">
        <w:rPr>
          <w:rFonts w:cs="Times New Roman"/>
          <w:szCs w:val="24"/>
        </w:rPr>
        <w:t>, analisando os fatores que as influencia</w:t>
      </w:r>
      <w:r w:rsidR="003717F9">
        <w:rPr>
          <w:rFonts w:cs="Times New Roman"/>
          <w:szCs w:val="24"/>
        </w:rPr>
        <w:t>ra</w:t>
      </w:r>
      <w:r w:rsidRPr="003B44B4">
        <w:rPr>
          <w:rFonts w:cs="Times New Roman"/>
          <w:szCs w:val="24"/>
        </w:rPr>
        <w:t>m a pagar um percentual acima do mínimo obrigatório</w:t>
      </w:r>
      <w:r w:rsidR="003717F9">
        <w:rPr>
          <w:rFonts w:cs="Times New Roman"/>
          <w:szCs w:val="24"/>
        </w:rPr>
        <w:t xml:space="preserve"> no período entre </w:t>
      </w:r>
      <w:r w:rsidRPr="003B44B4">
        <w:rPr>
          <w:rFonts w:cs="Times New Roman"/>
          <w:szCs w:val="24"/>
        </w:rPr>
        <w:t xml:space="preserve">2007 </w:t>
      </w:r>
      <w:proofErr w:type="gramStart"/>
      <w:r w:rsidRPr="003B44B4">
        <w:rPr>
          <w:rFonts w:cs="Times New Roman"/>
          <w:szCs w:val="24"/>
        </w:rPr>
        <w:t>a</w:t>
      </w:r>
      <w:proofErr w:type="gramEnd"/>
      <w:r w:rsidRPr="003B44B4">
        <w:rPr>
          <w:rFonts w:cs="Times New Roman"/>
          <w:szCs w:val="24"/>
        </w:rPr>
        <w:t xml:space="preserve"> 2012 e</w:t>
      </w:r>
      <w:r w:rsidR="003717F9">
        <w:rPr>
          <w:rFonts w:cs="Times New Roman"/>
          <w:szCs w:val="24"/>
        </w:rPr>
        <w:t xml:space="preserve"> levando em consideração</w:t>
      </w:r>
      <w:r w:rsidRPr="003B44B4">
        <w:rPr>
          <w:rFonts w:cs="Times New Roman"/>
          <w:szCs w:val="24"/>
        </w:rPr>
        <w:t xml:space="preserve"> os setores </w:t>
      </w:r>
      <w:r w:rsidR="003717F9">
        <w:rPr>
          <w:rFonts w:cs="Times New Roman"/>
          <w:szCs w:val="24"/>
        </w:rPr>
        <w:t>econômicos das mesmas.</w:t>
      </w:r>
      <w:r w:rsidRPr="003B44B4">
        <w:rPr>
          <w:rFonts w:cs="Times New Roman"/>
          <w:szCs w:val="24"/>
        </w:rPr>
        <w:t xml:space="preserve"> </w:t>
      </w:r>
      <w:r w:rsidR="003717F9">
        <w:rPr>
          <w:rFonts w:cs="Times New Roman"/>
          <w:szCs w:val="24"/>
        </w:rPr>
        <w:t xml:space="preserve">Os autores identificaram que </w:t>
      </w:r>
      <w:r w:rsidRPr="003B44B4">
        <w:rPr>
          <w:rFonts w:cs="Times New Roman"/>
          <w:szCs w:val="24"/>
        </w:rPr>
        <w:t xml:space="preserve">a maior parte das empresas analisadas adotam </w:t>
      </w:r>
      <w:r w:rsidR="003717F9">
        <w:rPr>
          <w:rFonts w:cs="Times New Roman"/>
          <w:szCs w:val="24"/>
        </w:rPr>
        <w:t xml:space="preserve">o mínimo de </w:t>
      </w:r>
      <w:r w:rsidRPr="003B44B4">
        <w:rPr>
          <w:rFonts w:cs="Times New Roman"/>
          <w:szCs w:val="24"/>
        </w:rPr>
        <w:t>25% do Lucro Líquido Ajustado</w:t>
      </w:r>
      <w:r w:rsidR="003717F9">
        <w:rPr>
          <w:rFonts w:cs="Times New Roman"/>
          <w:szCs w:val="24"/>
        </w:rPr>
        <w:t xml:space="preserve"> </w:t>
      </w:r>
      <w:r w:rsidRPr="003B44B4">
        <w:rPr>
          <w:rFonts w:cs="Times New Roman"/>
          <w:szCs w:val="24"/>
        </w:rPr>
        <w:t xml:space="preserve">e distribuem dividendos acima do mínimo estabelecido, além de </w:t>
      </w:r>
      <w:r w:rsidR="003717F9">
        <w:rPr>
          <w:rFonts w:cs="Times New Roman"/>
          <w:szCs w:val="24"/>
        </w:rPr>
        <w:t>ter sido observado diferentes padrões de comportamento entre os setores da economia.</w:t>
      </w:r>
    </w:p>
    <w:p w14:paraId="61FA75D6" w14:textId="1A23545E" w:rsidR="00347ECA" w:rsidRDefault="00347ECA" w:rsidP="004D3F46">
      <w:pPr>
        <w:ind w:firstLine="851"/>
        <w:rPr>
          <w:rFonts w:cs="Times New Roman"/>
          <w:szCs w:val="24"/>
        </w:rPr>
      </w:pPr>
      <w:r>
        <w:rPr>
          <w:rFonts w:cs="Times New Roman"/>
          <w:szCs w:val="24"/>
        </w:rPr>
        <w:t>Ainda conforme Vancin e Procianoy (2014), é</w:t>
      </w:r>
      <w:r w:rsidRPr="007D06C9">
        <w:rPr>
          <w:rFonts w:cs="Times New Roman"/>
          <w:szCs w:val="24"/>
        </w:rPr>
        <w:t xml:space="preserve"> possível que </w:t>
      </w:r>
      <w:r>
        <w:rPr>
          <w:rFonts w:cs="Times New Roman"/>
          <w:szCs w:val="24"/>
        </w:rPr>
        <w:t xml:space="preserve">o </w:t>
      </w:r>
      <w:r w:rsidRPr="007D06C9">
        <w:rPr>
          <w:rFonts w:cs="Times New Roman"/>
          <w:szCs w:val="24"/>
        </w:rPr>
        <w:t>critério legal te</w:t>
      </w:r>
      <w:r>
        <w:rPr>
          <w:rFonts w:cs="Times New Roman"/>
          <w:szCs w:val="24"/>
        </w:rPr>
        <w:t>nha</w:t>
      </w:r>
      <w:r w:rsidRPr="007D06C9">
        <w:rPr>
          <w:rFonts w:cs="Times New Roman"/>
          <w:szCs w:val="24"/>
        </w:rPr>
        <w:t xml:space="preserve"> acarretado uma compreensão geral de </w:t>
      </w:r>
      <w:proofErr w:type="spellStart"/>
      <w:r w:rsidRPr="007D06C9">
        <w:rPr>
          <w:rFonts w:cs="Times New Roman"/>
          <w:i/>
          <w:iCs/>
          <w:szCs w:val="24"/>
        </w:rPr>
        <w:t>payout</w:t>
      </w:r>
      <w:proofErr w:type="spellEnd"/>
      <w:r w:rsidRPr="007D06C9">
        <w:rPr>
          <w:rFonts w:cs="Times New Roman"/>
          <w:szCs w:val="24"/>
        </w:rPr>
        <w:t xml:space="preserve"> mínimo obrigatório de 25%. Apesar disto, a compreensão da obrigatoriedade de qualquer percentual, tendo exceção ao caso de omissão, pode não se encaixar como motivação plausível nas empresas que iniciaram suas atividades após o ano em que a </w:t>
      </w:r>
      <w:r>
        <w:rPr>
          <w:rFonts w:cs="Times New Roman"/>
          <w:szCs w:val="24"/>
        </w:rPr>
        <w:t>L</w:t>
      </w:r>
      <w:r w:rsidRPr="007D06C9">
        <w:rPr>
          <w:rFonts w:cs="Times New Roman"/>
          <w:szCs w:val="24"/>
        </w:rPr>
        <w:t xml:space="preserve">ei das S.A. entrou em vigor (1976), ou nas que existiam antes dessa data e apresentavam em seus estatutos um </w:t>
      </w:r>
      <w:proofErr w:type="spellStart"/>
      <w:r w:rsidRPr="007D06C9">
        <w:rPr>
          <w:rFonts w:cs="Times New Roman"/>
          <w:i/>
          <w:iCs/>
          <w:szCs w:val="24"/>
        </w:rPr>
        <w:t>payout</w:t>
      </w:r>
      <w:proofErr w:type="spellEnd"/>
      <w:r w:rsidRPr="007D06C9">
        <w:rPr>
          <w:rFonts w:cs="Times New Roman"/>
          <w:szCs w:val="24"/>
        </w:rPr>
        <w:t xml:space="preserve"> mínimo. Também não é vedado às empresas a modificação do percentual de dividendos após a inserção dos 25% como mínimo.</w:t>
      </w:r>
      <w:r>
        <w:rPr>
          <w:rFonts w:cs="Times New Roman"/>
          <w:szCs w:val="24"/>
        </w:rPr>
        <w:t xml:space="preserve"> Como explicado por </w:t>
      </w:r>
      <w:r w:rsidR="00D41C6E">
        <w:rPr>
          <w:rFonts w:cs="Times New Roman"/>
          <w:szCs w:val="24"/>
        </w:rPr>
        <w:t>Galvão</w:t>
      </w:r>
      <w:r>
        <w:rPr>
          <w:rFonts w:cs="Times New Roman"/>
          <w:szCs w:val="24"/>
        </w:rPr>
        <w:t xml:space="preserve"> </w:t>
      </w:r>
      <w:r w:rsidRPr="005558DA">
        <w:rPr>
          <w:rFonts w:cs="Times New Roman"/>
          <w:i/>
          <w:iCs/>
          <w:szCs w:val="24"/>
        </w:rPr>
        <w:t>et al</w:t>
      </w:r>
      <w:r w:rsidR="00D41C6E">
        <w:rPr>
          <w:rFonts w:cs="Times New Roman"/>
          <w:i/>
          <w:iCs/>
          <w:szCs w:val="24"/>
        </w:rPr>
        <w:t>.</w:t>
      </w:r>
      <w:r>
        <w:rPr>
          <w:rFonts w:cs="Times New Roman"/>
          <w:szCs w:val="24"/>
        </w:rPr>
        <w:t xml:space="preserve"> (2018),</w:t>
      </w:r>
      <w:r w:rsidRPr="007D06C9">
        <w:rPr>
          <w:rFonts w:cs="Times New Roman"/>
          <w:szCs w:val="24"/>
        </w:rPr>
        <w:t xml:space="preserve"> </w:t>
      </w:r>
      <w:r w:rsidR="004D3F46">
        <w:rPr>
          <w:rFonts w:cs="Times New Roman"/>
          <w:szCs w:val="24"/>
        </w:rPr>
        <w:t xml:space="preserve">a Lei das Sociedades Anônimas determina que os administradores poderão perceber </w:t>
      </w:r>
      <w:r w:rsidR="004D3F46">
        <w:rPr>
          <w:rFonts w:cs="Times New Roman"/>
          <w:szCs w:val="24"/>
        </w:rPr>
        <w:lastRenderedPageBreak/>
        <w:t>participação nos lucros apenas se o estatuto social da companhia prever um dividendo mínimo obrigatório de 25% do Lucro Líquido</w:t>
      </w:r>
      <w:r w:rsidRPr="007D06C9">
        <w:rPr>
          <w:rFonts w:cs="Times New Roman"/>
          <w:szCs w:val="24"/>
        </w:rPr>
        <w:t xml:space="preserve">, </w:t>
      </w:r>
      <w:r w:rsidR="004D3F46">
        <w:rPr>
          <w:rFonts w:cs="Times New Roman"/>
          <w:szCs w:val="24"/>
        </w:rPr>
        <w:t xml:space="preserve">o que </w:t>
      </w:r>
      <w:r w:rsidRPr="007D06C9">
        <w:rPr>
          <w:rFonts w:cs="Times New Roman"/>
          <w:szCs w:val="24"/>
        </w:rPr>
        <w:t>pode ser uma influência direta para a adoção deste percentual.</w:t>
      </w:r>
    </w:p>
    <w:p w14:paraId="6DFEECF2" w14:textId="77777777" w:rsidR="007144E8" w:rsidRDefault="007144E8" w:rsidP="0034020A">
      <w:pPr>
        <w:pStyle w:val="Ttulo1"/>
        <w:spacing w:before="0" w:after="0" w:line="360" w:lineRule="auto"/>
      </w:pPr>
    </w:p>
    <w:p w14:paraId="6DFEECF3" w14:textId="53F204D7" w:rsidR="007144E8" w:rsidRDefault="0034020A" w:rsidP="0034020A">
      <w:pPr>
        <w:pStyle w:val="Ttulo1"/>
        <w:spacing w:before="0" w:after="0" w:line="360" w:lineRule="auto"/>
      </w:pPr>
      <w:r>
        <w:t>3 PROCEDIMENTOS METODOLÓGICOS</w:t>
      </w:r>
    </w:p>
    <w:p w14:paraId="3DD89D89" w14:textId="514E9556" w:rsidR="00161512" w:rsidRPr="00161512" w:rsidRDefault="00841E42" w:rsidP="0034020A">
      <w:r>
        <w:tab/>
      </w:r>
      <w:r w:rsidR="00C44790">
        <w:t xml:space="preserve">  </w:t>
      </w:r>
    </w:p>
    <w:p w14:paraId="3038A392" w14:textId="67DC5E29" w:rsidR="00800F3D" w:rsidRPr="00630A4D" w:rsidRDefault="00800F3D" w:rsidP="0034020A">
      <w:pPr>
        <w:tabs>
          <w:tab w:val="clear" w:pos="851"/>
        </w:tabs>
        <w:ind w:firstLine="851"/>
        <w:rPr>
          <w:rFonts w:cs="Times New Roman"/>
          <w:color w:val="FF0000"/>
          <w:szCs w:val="24"/>
        </w:rPr>
      </w:pPr>
      <w:r w:rsidRPr="00630A4D">
        <w:rPr>
          <w:rFonts w:cs="Times New Roman"/>
          <w:szCs w:val="24"/>
        </w:rPr>
        <w:t xml:space="preserve">Trata-se de </w:t>
      </w:r>
      <w:r>
        <w:rPr>
          <w:rFonts w:cs="Times New Roman"/>
          <w:szCs w:val="24"/>
        </w:rPr>
        <w:t>uma</w:t>
      </w:r>
      <w:r w:rsidRPr="00630A4D">
        <w:rPr>
          <w:rFonts w:cs="Times New Roman"/>
          <w:szCs w:val="24"/>
        </w:rPr>
        <w:t xml:space="preserve"> análise estatutária </w:t>
      </w:r>
      <w:r>
        <w:rPr>
          <w:rFonts w:cs="Times New Roman"/>
          <w:szCs w:val="24"/>
        </w:rPr>
        <w:t>p</w:t>
      </w:r>
      <w:r w:rsidRPr="0061323D">
        <w:rPr>
          <w:rFonts w:cs="Times New Roman"/>
          <w:szCs w:val="24"/>
        </w:rPr>
        <w:t>ara avaliar a magnitude das variações</w:t>
      </w:r>
      <w:r w:rsidR="004C343B">
        <w:rPr>
          <w:rFonts w:cs="Times New Roman"/>
          <w:szCs w:val="24"/>
        </w:rPr>
        <w:t xml:space="preserve"> entre o normativo e o realizado</w:t>
      </w:r>
      <w:r w:rsidRPr="0061323D">
        <w:rPr>
          <w:rFonts w:cs="Times New Roman"/>
          <w:szCs w:val="24"/>
        </w:rPr>
        <w:t xml:space="preserve">, </w:t>
      </w:r>
      <w:r>
        <w:rPr>
          <w:rFonts w:cs="Times New Roman"/>
          <w:szCs w:val="24"/>
        </w:rPr>
        <w:t xml:space="preserve">apoiada pela </w:t>
      </w:r>
      <w:r w:rsidR="004C343B">
        <w:rPr>
          <w:rFonts w:cs="Times New Roman"/>
          <w:szCs w:val="24"/>
        </w:rPr>
        <w:t xml:space="preserve">obtenção de dados nas </w:t>
      </w:r>
      <w:r w:rsidRPr="0061323D">
        <w:rPr>
          <w:rFonts w:cs="Times New Roman"/>
          <w:szCs w:val="24"/>
        </w:rPr>
        <w:t>demonstrações contábeis padronizadas das empresas listadas no índice IDIV</w:t>
      </w:r>
      <w:r w:rsidR="004C343B">
        <w:rPr>
          <w:rFonts w:cs="Times New Roman"/>
          <w:szCs w:val="24"/>
        </w:rPr>
        <w:t>, com o intuito d</w:t>
      </w:r>
      <w:r w:rsidRPr="0061323D">
        <w:rPr>
          <w:rFonts w:cs="Times New Roman"/>
          <w:szCs w:val="24"/>
        </w:rPr>
        <w:t>e expor informações sobre a distribuição de proventos realizada por elas</w:t>
      </w:r>
      <w:r>
        <w:rPr>
          <w:rFonts w:cs="Times New Roman"/>
          <w:szCs w:val="24"/>
        </w:rPr>
        <w:t>.</w:t>
      </w:r>
      <w:r w:rsidRPr="0061323D">
        <w:rPr>
          <w:rFonts w:cs="Times New Roman"/>
          <w:szCs w:val="24"/>
        </w:rPr>
        <w:t xml:space="preserve"> </w:t>
      </w:r>
      <w:r>
        <w:rPr>
          <w:rFonts w:cs="Times New Roman"/>
          <w:szCs w:val="24"/>
        </w:rPr>
        <w:t>F</w:t>
      </w:r>
      <w:r w:rsidRPr="0061323D">
        <w:rPr>
          <w:rFonts w:cs="Times New Roman"/>
          <w:szCs w:val="24"/>
        </w:rPr>
        <w:t xml:space="preserve">oram abordados </w:t>
      </w:r>
      <w:r>
        <w:rPr>
          <w:rFonts w:cs="Times New Roman"/>
          <w:szCs w:val="24"/>
        </w:rPr>
        <w:t>os proventos</w:t>
      </w:r>
      <w:r w:rsidRPr="0061323D">
        <w:rPr>
          <w:rFonts w:cs="Times New Roman"/>
          <w:szCs w:val="24"/>
        </w:rPr>
        <w:t xml:space="preserve"> referentes a 52 ações consideradas como melhores pagadoras de dividendos da bolsa brasileira (B3), sendo coletados os dados anuais dos exercícios findos em 31/12/2020 e 31/12/2021</w:t>
      </w:r>
      <w:r>
        <w:rPr>
          <w:rFonts w:cs="Times New Roman"/>
          <w:szCs w:val="24"/>
        </w:rPr>
        <w:t>,</w:t>
      </w:r>
      <w:r w:rsidRPr="0061323D">
        <w:rPr>
          <w:rFonts w:cs="Times New Roman"/>
          <w:szCs w:val="24"/>
        </w:rPr>
        <w:t xml:space="preserve"> com a intenção de obter </w:t>
      </w:r>
      <w:r>
        <w:rPr>
          <w:rFonts w:cs="Times New Roman"/>
          <w:szCs w:val="24"/>
        </w:rPr>
        <w:t>os valores</w:t>
      </w:r>
      <w:r w:rsidRPr="0061323D">
        <w:rPr>
          <w:rFonts w:cs="Times New Roman"/>
          <w:szCs w:val="24"/>
        </w:rPr>
        <w:t xml:space="preserve"> anuais da controladora. Existe uma exceção por fatores de calendários fiscais da ação AGRO3, que executa seu calendário de maneira a iniciar o ano de apuração a partir de 1/07 até o dia 30/06 do ano subsequente, e</w:t>
      </w:r>
      <w:r>
        <w:rPr>
          <w:rFonts w:cs="Times New Roman"/>
          <w:szCs w:val="24"/>
        </w:rPr>
        <w:t>,</w:t>
      </w:r>
      <w:r w:rsidRPr="0061323D">
        <w:rPr>
          <w:rFonts w:cs="Times New Roman"/>
          <w:szCs w:val="24"/>
        </w:rPr>
        <w:t xml:space="preserve"> por este motivo</w:t>
      </w:r>
      <w:r>
        <w:rPr>
          <w:rFonts w:cs="Times New Roman"/>
          <w:szCs w:val="24"/>
        </w:rPr>
        <w:t>,</w:t>
      </w:r>
      <w:r w:rsidRPr="0061323D">
        <w:rPr>
          <w:rFonts w:cs="Times New Roman"/>
          <w:szCs w:val="24"/>
        </w:rPr>
        <w:t xml:space="preserve"> ela foi excluída da análise.</w:t>
      </w:r>
    </w:p>
    <w:p w14:paraId="07E7D868" w14:textId="77777777" w:rsidR="00800F3D" w:rsidRPr="0061323D" w:rsidRDefault="00800F3D" w:rsidP="0034020A">
      <w:pPr>
        <w:ind w:firstLine="851"/>
        <w:rPr>
          <w:rFonts w:cs="Times New Roman"/>
          <w:szCs w:val="24"/>
        </w:rPr>
      </w:pPr>
      <w:r w:rsidRPr="0061323D">
        <w:rPr>
          <w:rFonts w:cs="Times New Roman"/>
          <w:szCs w:val="24"/>
        </w:rPr>
        <w:t>É importante levar em consideração que o período principal de análise proposto (2021) e seu comparativo (2020) se seguem em meio a congruência do Corona Vírus, o que gerou algumas anormalidades no que tange a previsibilidade, expectativas e variação do resultado obtido pelas corporações.</w:t>
      </w:r>
    </w:p>
    <w:p w14:paraId="6465C261" w14:textId="77777777" w:rsidR="00800F3D" w:rsidRPr="0061323D" w:rsidRDefault="00800F3D" w:rsidP="0034020A">
      <w:pPr>
        <w:ind w:firstLine="851"/>
        <w:rPr>
          <w:rFonts w:cs="Times New Roman"/>
          <w:szCs w:val="24"/>
        </w:rPr>
      </w:pPr>
      <w:r w:rsidRPr="0061323D">
        <w:rPr>
          <w:rFonts w:cs="Times New Roman"/>
          <w:szCs w:val="24"/>
        </w:rPr>
        <w:t>A coleta foi feita tomando como base os documentos disponibilizados na Central de Resultados de cada empresa listada no índice, totalizando 52 ações alocadas em 45 empresas. A documentação utilizada é denominada de maneira abreviada de “ITR/DFP/IAN”, advindas do sistema (CVMWIN) que é utilizado para gerar os arquivos que contêm as informações periódicas de formulários Informações Trimestrais (ITR), Demonstrações Financeiras Padronizadas (DFP) e Informações Anuais (IAN).</w:t>
      </w:r>
    </w:p>
    <w:p w14:paraId="2EDEF0B6" w14:textId="77777777" w:rsidR="00800F3D" w:rsidRPr="0061323D" w:rsidRDefault="00800F3D" w:rsidP="0034020A">
      <w:pPr>
        <w:ind w:firstLine="851"/>
        <w:rPr>
          <w:rFonts w:cs="Times New Roman"/>
          <w:szCs w:val="24"/>
        </w:rPr>
      </w:pPr>
      <w:r w:rsidRPr="0061323D">
        <w:rPr>
          <w:rFonts w:cs="Times New Roman"/>
          <w:szCs w:val="24"/>
        </w:rPr>
        <w:t xml:space="preserve">O padrão de coleta utilizado toma as Demonstrações de Mutações do Patrimônio Líquido (DMPL), e as Demonstrações de Valor Adicionado (DVA) como fonte para assinalar os valores relativos ao dividendo proposto do exercício, e notas </w:t>
      </w:r>
      <w:r w:rsidRPr="0061323D">
        <w:rPr>
          <w:rFonts w:cs="Times New Roman"/>
          <w:szCs w:val="24"/>
        </w:rPr>
        <w:lastRenderedPageBreak/>
        <w:t>explicativas de destinação de lucros, notas referentes a dividendos, e constituição de reservas, para alcançar o valor do lucro líquido ajustado de cada empresa.</w:t>
      </w:r>
    </w:p>
    <w:p w14:paraId="39C5380E" w14:textId="65FF388B" w:rsidR="00800F3D" w:rsidRDefault="00800F3D" w:rsidP="0034020A">
      <w:pPr>
        <w:ind w:firstLine="851"/>
        <w:rPr>
          <w:rFonts w:cs="Times New Roman"/>
          <w:szCs w:val="24"/>
        </w:rPr>
      </w:pPr>
      <w:r w:rsidRPr="0061323D">
        <w:rPr>
          <w:rFonts w:cs="Times New Roman"/>
          <w:szCs w:val="24"/>
        </w:rPr>
        <w:t>Na existência de divergência entre os valores propostos na D</w:t>
      </w:r>
      <w:r w:rsidR="004C343B">
        <w:rPr>
          <w:rFonts w:cs="Times New Roman"/>
          <w:szCs w:val="24"/>
        </w:rPr>
        <w:t xml:space="preserve">emonstração das </w:t>
      </w:r>
      <w:r w:rsidRPr="0061323D">
        <w:rPr>
          <w:rFonts w:cs="Times New Roman"/>
          <w:szCs w:val="24"/>
        </w:rPr>
        <w:t>M</w:t>
      </w:r>
      <w:r w:rsidR="004C343B">
        <w:rPr>
          <w:rFonts w:cs="Times New Roman"/>
          <w:szCs w:val="24"/>
        </w:rPr>
        <w:t xml:space="preserve">utações do </w:t>
      </w:r>
      <w:r w:rsidRPr="0061323D">
        <w:rPr>
          <w:rFonts w:cs="Times New Roman"/>
          <w:szCs w:val="24"/>
        </w:rPr>
        <w:t>P</w:t>
      </w:r>
      <w:r w:rsidR="004C343B">
        <w:rPr>
          <w:rFonts w:cs="Times New Roman"/>
          <w:szCs w:val="24"/>
        </w:rPr>
        <w:t xml:space="preserve">atrimônio </w:t>
      </w:r>
      <w:r w:rsidRPr="0061323D">
        <w:rPr>
          <w:rFonts w:cs="Times New Roman"/>
          <w:szCs w:val="24"/>
        </w:rPr>
        <w:t>L</w:t>
      </w:r>
      <w:r w:rsidR="004C343B">
        <w:rPr>
          <w:rFonts w:cs="Times New Roman"/>
          <w:szCs w:val="24"/>
        </w:rPr>
        <w:t>íquido,</w:t>
      </w:r>
      <w:r w:rsidRPr="0061323D">
        <w:rPr>
          <w:rFonts w:cs="Times New Roman"/>
          <w:szCs w:val="24"/>
        </w:rPr>
        <w:t xml:space="preserve"> em comparação </w:t>
      </w:r>
      <w:r w:rsidR="004C343B">
        <w:rPr>
          <w:rFonts w:cs="Times New Roman"/>
          <w:szCs w:val="24"/>
        </w:rPr>
        <w:t>com a</w:t>
      </w:r>
      <w:r w:rsidRPr="0061323D">
        <w:rPr>
          <w:rFonts w:cs="Times New Roman"/>
          <w:szCs w:val="24"/>
        </w:rPr>
        <w:t xml:space="preserve"> D</w:t>
      </w:r>
      <w:r w:rsidR="004C343B">
        <w:rPr>
          <w:rFonts w:cs="Times New Roman"/>
          <w:szCs w:val="24"/>
        </w:rPr>
        <w:t xml:space="preserve">emonstração do </w:t>
      </w:r>
      <w:r w:rsidRPr="0061323D">
        <w:rPr>
          <w:rFonts w:cs="Times New Roman"/>
          <w:szCs w:val="24"/>
        </w:rPr>
        <w:t>V</w:t>
      </w:r>
      <w:r w:rsidR="004C343B">
        <w:rPr>
          <w:rFonts w:cs="Times New Roman"/>
          <w:szCs w:val="24"/>
        </w:rPr>
        <w:t xml:space="preserve">alor </w:t>
      </w:r>
      <w:r w:rsidRPr="0061323D">
        <w:rPr>
          <w:rFonts w:cs="Times New Roman"/>
          <w:szCs w:val="24"/>
        </w:rPr>
        <w:t>A</w:t>
      </w:r>
      <w:r w:rsidR="004C343B">
        <w:rPr>
          <w:rFonts w:cs="Times New Roman"/>
          <w:szCs w:val="24"/>
        </w:rPr>
        <w:t>dicionado</w:t>
      </w:r>
      <w:r w:rsidRPr="0061323D">
        <w:rPr>
          <w:rFonts w:cs="Times New Roman"/>
          <w:szCs w:val="24"/>
        </w:rPr>
        <w:t>, foi adotada a medida de utilizar o valor com maior similaridade ao que se constava nas notas explicativas que foram utilizadas para a base de cálculo dos dividendos. Na ausência ou impossibilidade de informações confiáveis sobre o lucro líquido ajustado de algumas empresas, foi adotada a medida de diminuir de seu lucro líquido a porcentagem relativa à constituição de sua</w:t>
      </w:r>
      <w:r>
        <w:rPr>
          <w:rFonts w:cs="Times New Roman"/>
          <w:szCs w:val="24"/>
        </w:rPr>
        <w:t xml:space="preserve"> reserva legal (5%) e apenas ess</w:t>
      </w:r>
      <w:r w:rsidRPr="0061323D">
        <w:rPr>
          <w:rFonts w:cs="Times New Roman"/>
          <w:szCs w:val="24"/>
        </w:rPr>
        <w:t>a. As ações que sofreram este ajuste são: Itausa (ITSA4), Eletrobras (ELET6 e ELET3), CPFL Energia (CPFE3), CEMIG (CMIG3), e Bradespar (BRAP4). Isso configura uma limitação ao trabalho, pois a base de cálculo dos dividendos pode sofrer outros ajustes, como a formação ou reversão de reservas de contingência. Nas demais empresas, a metodologia Resumida de Cálculo do Lucro Líquido Ajustado, ba</w:t>
      </w:r>
      <w:r>
        <w:rPr>
          <w:rFonts w:cs="Times New Roman"/>
          <w:szCs w:val="24"/>
        </w:rPr>
        <w:t>seado na Lei n. 6.404 (1976) conforme a Tabela 1.</w:t>
      </w:r>
      <w:r w:rsidRPr="0061323D">
        <w:rPr>
          <w:rFonts w:cs="Times New Roman"/>
          <w:szCs w:val="24"/>
        </w:rPr>
        <w:t xml:space="preserve"> </w:t>
      </w:r>
    </w:p>
    <w:p w14:paraId="64D5421D" w14:textId="6F909423" w:rsidR="00800F3D" w:rsidRPr="00626CE6" w:rsidRDefault="00626CE6" w:rsidP="00CB1D1A">
      <w:pPr>
        <w:pStyle w:val="Legenda"/>
        <w:keepNext/>
        <w:spacing w:after="0"/>
        <w:jc w:val="center"/>
        <w:rPr>
          <w:rFonts w:ascii="Roboto Lt" w:hAnsi="Roboto Lt" w:cs="Times New Roman"/>
          <w:i w:val="0"/>
          <w:color w:val="auto"/>
          <w:sz w:val="22"/>
          <w:szCs w:val="22"/>
        </w:rPr>
      </w:pPr>
      <w:bookmarkStart w:id="1" w:name="_Toc120217948"/>
      <w:bookmarkStart w:id="2" w:name="_Toc121217938"/>
      <w:r w:rsidRPr="00626CE6">
        <w:rPr>
          <w:rFonts w:ascii="Roboto Lt" w:hAnsi="Roboto Lt" w:cs="Times New Roman"/>
          <w:b/>
          <w:bCs/>
          <w:i w:val="0"/>
          <w:color w:val="auto"/>
          <w:sz w:val="22"/>
          <w:szCs w:val="22"/>
        </w:rPr>
        <w:t xml:space="preserve">Tabela </w:t>
      </w:r>
      <w:r w:rsidR="00800F3D" w:rsidRPr="00626CE6">
        <w:rPr>
          <w:rFonts w:ascii="Roboto Lt" w:hAnsi="Roboto Lt" w:cs="Times New Roman"/>
          <w:b/>
          <w:bCs/>
          <w:i w:val="0"/>
          <w:color w:val="auto"/>
          <w:sz w:val="22"/>
          <w:szCs w:val="22"/>
        </w:rPr>
        <w:fldChar w:fldCharType="begin"/>
      </w:r>
      <w:r w:rsidR="00800F3D" w:rsidRPr="00626CE6">
        <w:rPr>
          <w:rFonts w:ascii="Roboto Lt" w:hAnsi="Roboto Lt" w:cs="Times New Roman"/>
          <w:b/>
          <w:bCs/>
          <w:i w:val="0"/>
          <w:color w:val="auto"/>
          <w:sz w:val="22"/>
          <w:szCs w:val="22"/>
        </w:rPr>
        <w:instrText xml:space="preserve"> SEQ Tabela \* ARABIC </w:instrText>
      </w:r>
      <w:r w:rsidR="00800F3D" w:rsidRPr="00626CE6">
        <w:rPr>
          <w:rFonts w:ascii="Roboto Lt" w:hAnsi="Roboto Lt" w:cs="Times New Roman"/>
          <w:b/>
          <w:bCs/>
          <w:i w:val="0"/>
          <w:color w:val="auto"/>
          <w:sz w:val="22"/>
          <w:szCs w:val="22"/>
        </w:rPr>
        <w:fldChar w:fldCharType="separate"/>
      </w:r>
      <w:r w:rsidR="00141B1C">
        <w:rPr>
          <w:rFonts w:ascii="Roboto Lt" w:hAnsi="Roboto Lt" w:cs="Times New Roman"/>
          <w:b/>
          <w:bCs/>
          <w:i w:val="0"/>
          <w:noProof/>
          <w:color w:val="auto"/>
          <w:sz w:val="22"/>
          <w:szCs w:val="22"/>
        </w:rPr>
        <w:t>1</w:t>
      </w:r>
      <w:r w:rsidR="00800F3D" w:rsidRPr="00626CE6">
        <w:rPr>
          <w:rFonts w:ascii="Roboto Lt" w:hAnsi="Roboto Lt" w:cs="Times New Roman"/>
          <w:b/>
          <w:bCs/>
          <w:i w:val="0"/>
          <w:color w:val="auto"/>
          <w:sz w:val="22"/>
          <w:szCs w:val="22"/>
        </w:rPr>
        <w:fldChar w:fldCharType="end"/>
      </w:r>
      <w:r w:rsidR="00800F3D" w:rsidRPr="00626CE6">
        <w:rPr>
          <w:rFonts w:ascii="Roboto Lt" w:hAnsi="Roboto Lt" w:cs="Times New Roman"/>
          <w:i w:val="0"/>
          <w:color w:val="auto"/>
          <w:sz w:val="22"/>
          <w:szCs w:val="22"/>
        </w:rPr>
        <w:t xml:space="preserve"> – Operação de ajustes do Lucro Resultado do Exercício</w:t>
      </w:r>
      <w:bookmarkEnd w:id="1"/>
      <w:bookmarkEnd w:id="2"/>
    </w:p>
    <w:tbl>
      <w:tblPr>
        <w:tblStyle w:val="TabelaSimples5"/>
        <w:tblW w:w="0" w:type="auto"/>
        <w:jc w:val="center"/>
        <w:tblLook w:val="04A0" w:firstRow="1" w:lastRow="0" w:firstColumn="1" w:lastColumn="0" w:noHBand="0" w:noVBand="1"/>
      </w:tblPr>
      <w:tblGrid>
        <w:gridCol w:w="5812"/>
      </w:tblGrid>
      <w:tr w:rsidR="00800F3D" w:rsidRPr="00CB1D1A" w14:paraId="5C49CA02" w14:textId="77777777" w:rsidTr="00AE24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12" w:type="dxa"/>
            <w:tcBorders>
              <w:top w:val="single" w:sz="4" w:space="0" w:color="auto"/>
              <w:bottom w:val="single" w:sz="4" w:space="0" w:color="auto"/>
            </w:tcBorders>
            <w:vAlign w:val="center"/>
          </w:tcPr>
          <w:p w14:paraId="645642B3" w14:textId="77777777" w:rsidR="00800F3D" w:rsidRPr="00CB1D1A" w:rsidRDefault="00800F3D" w:rsidP="0034020A">
            <w:pPr>
              <w:jc w:val="left"/>
              <w:rPr>
                <w:rFonts w:cs="Times New Roman"/>
                <w:bCs/>
                <w:i w:val="0"/>
                <w:sz w:val="22"/>
              </w:rPr>
            </w:pPr>
            <w:r w:rsidRPr="00CB1D1A">
              <w:rPr>
                <w:rFonts w:cs="Times New Roman"/>
                <w:bCs/>
                <w:i w:val="0"/>
                <w:sz w:val="22"/>
              </w:rPr>
              <w:t>Cálculo do lucro líquido ajustado</w:t>
            </w:r>
          </w:p>
        </w:tc>
      </w:tr>
      <w:tr w:rsidR="00800F3D" w:rsidRPr="00CB1D1A" w14:paraId="087C75E7" w14:textId="77777777" w:rsidTr="00AE24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12" w:type="dxa"/>
            <w:tcBorders>
              <w:top w:val="single" w:sz="4" w:space="0" w:color="auto"/>
              <w:right w:val="none" w:sz="0" w:space="0" w:color="auto"/>
            </w:tcBorders>
            <w:vAlign w:val="center"/>
          </w:tcPr>
          <w:p w14:paraId="15D787AB" w14:textId="77777777" w:rsidR="00800F3D" w:rsidRPr="00CB1D1A" w:rsidRDefault="00800F3D" w:rsidP="0034020A">
            <w:pPr>
              <w:jc w:val="left"/>
              <w:rPr>
                <w:rFonts w:cs="Times New Roman"/>
                <w:i w:val="0"/>
                <w:sz w:val="22"/>
              </w:rPr>
            </w:pPr>
            <w:r w:rsidRPr="00CB1D1A">
              <w:rPr>
                <w:rFonts w:cs="Times New Roman"/>
                <w:i w:val="0"/>
                <w:sz w:val="22"/>
              </w:rPr>
              <w:t xml:space="preserve">(-) Prejuízos Acumulados </w:t>
            </w:r>
          </w:p>
        </w:tc>
      </w:tr>
      <w:tr w:rsidR="00800F3D" w:rsidRPr="00CB1D1A" w14:paraId="5A036BFF" w14:textId="77777777" w:rsidTr="00AE24CA">
        <w:trPr>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29C3DD09" w14:textId="77777777" w:rsidR="00800F3D" w:rsidRPr="00CB1D1A" w:rsidRDefault="00800F3D" w:rsidP="0034020A">
            <w:pPr>
              <w:jc w:val="left"/>
              <w:rPr>
                <w:rFonts w:cs="Times New Roman"/>
                <w:i w:val="0"/>
                <w:sz w:val="22"/>
              </w:rPr>
            </w:pPr>
            <w:r w:rsidRPr="00CB1D1A">
              <w:rPr>
                <w:rFonts w:cs="Times New Roman"/>
                <w:i w:val="0"/>
                <w:sz w:val="22"/>
              </w:rPr>
              <w:t xml:space="preserve">(-) Provisão para IR </w:t>
            </w:r>
          </w:p>
        </w:tc>
      </w:tr>
      <w:tr w:rsidR="00800F3D" w:rsidRPr="00CB1D1A" w14:paraId="1CF2BC5E" w14:textId="77777777" w:rsidTr="00AE24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50530BA6" w14:textId="77777777" w:rsidR="00800F3D" w:rsidRPr="00CB1D1A" w:rsidRDefault="00800F3D" w:rsidP="0034020A">
            <w:pPr>
              <w:jc w:val="left"/>
              <w:rPr>
                <w:rFonts w:cs="Times New Roman"/>
                <w:i w:val="0"/>
                <w:sz w:val="22"/>
              </w:rPr>
            </w:pPr>
            <w:r w:rsidRPr="00CB1D1A">
              <w:rPr>
                <w:rFonts w:cs="Times New Roman"/>
                <w:i w:val="0"/>
                <w:sz w:val="22"/>
              </w:rPr>
              <w:t>(-) Participações Estatutárias</w:t>
            </w:r>
          </w:p>
        </w:tc>
      </w:tr>
      <w:tr w:rsidR="00800F3D" w:rsidRPr="00CB1D1A" w14:paraId="2487053A" w14:textId="77777777" w:rsidTr="00AE24CA">
        <w:trPr>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27312C8E" w14:textId="77777777" w:rsidR="00800F3D" w:rsidRPr="00CB1D1A" w:rsidRDefault="00800F3D" w:rsidP="0034020A">
            <w:pPr>
              <w:jc w:val="left"/>
              <w:rPr>
                <w:rFonts w:cs="Times New Roman"/>
                <w:i w:val="0"/>
                <w:sz w:val="22"/>
              </w:rPr>
            </w:pPr>
            <w:r w:rsidRPr="00CB1D1A">
              <w:rPr>
                <w:rFonts w:cs="Times New Roman"/>
                <w:i w:val="0"/>
                <w:sz w:val="22"/>
              </w:rPr>
              <w:t xml:space="preserve"> (=) Lucro Líquido do Exercício </w:t>
            </w:r>
          </w:p>
        </w:tc>
      </w:tr>
      <w:tr w:rsidR="00800F3D" w:rsidRPr="00CB1D1A" w14:paraId="371F85C6" w14:textId="77777777" w:rsidTr="00AE24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6AE03A0A" w14:textId="77777777" w:rsidR="00800F3D" w:rsidRPr="00CB1D1A" w:rsidRDefault="00800F3D" w:rsidP="0034020A">
            <w:pPr>
              <w:jc w:val="left"/>
              <w:rPr>
                <w:rFonts w:cs="Times New Roman"/>
                <w:i w:val="0"/>
                <w:sz w:val="22"/>
              </w:rPr>
            </w:pPr>
            <w:r w:rsidRPr="00CB1D1A">
              <w:rPr>
                <w:rFonts w:cs="Times New Roman"/>
                <w:i w:val="0"/>
                <w:sz w:val="22"/>
              </w:rPr>
              <w:t xml:space="preserve">(-) Reserva legal </w:t>
            </w:r>
          </w:p>
        </w:tc>
      </w:tr>
      <w:tr w:rsidR="00800F3D" w:rsidRPr="00CB1D1A" w14:paraId="0EB0333F" w14:textId="77777777" w:rsidTr="00AE24CA">
        <w:trPr>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4F5BC562" w14:textId="77777777" w:rsidR="00800F3D" w:rsidRPr="00CB1D1A" w:rsidRDefault="00800F3D" w:rsidP="0034020A">
            <w:pPr>
              <w:jc w:val="left"/>
              <w:rPr>
                <w:rFonts w:cs="Times New Roman"/>
                <w:i w:val="0"/>
                <w:sz w:val="22"/>
              </w:rPr>
            </w:pPr>
            <w:r w:rsidRPr="00CB1D1A">
              <w:rPr>
                <w:rFonts w:cs="Times New Roman"/>
                <w:i w:val="0"/>
                <w:sz w:val="22"/>
              </w:rPr>
              <w:t xml:space="preserve">(+/-) Reserva para contingência </w:t>
            </w:r>
          </w:p>
        </w:tc>
      </w:tr>
      <w:tr w:rsidR="00800F3D" w:rsidRPr="00CB1D1A" w14:paraId="65F8A667" w14:textId="77777777" w:rsidTr="00AE24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18AAA7EB" w14:textId="77777777" w:rsidR="00800F3D" w:rsidRPr="00CB1D1A" w:rsidRDefault="00800F3D" w:rsidP="0034020A">
            <w:pPr>
              <w:jc w:val="left"/>
              <w:rPr>
                <w:rFonts w:cs="Times New Roman"/>
                <w:i w:val="0"/>
                <w:sz w:val="22"/>
              </w:rPr>
            </w:pPr>
            <w:r w:rsidRPr="00CB1D1A">
              <w:rPr>
                <w:rFonts w:cs="Times New Roman"/>
                <w:i w:val="0"/>
                <w:sz w:val="22"/>
              </w:rPr>
              <w:t>(+/-) Reservas de incentivos fiscais</w:t>
            </w:r>
          </w:p>
        </w:tc>
      </w:tr>
      <w:tr w:rsidR="00800F3D" w:rsidRPr="00CB1D1A" w14:paraId="2953D317" w14:textId="77777777" w:rsidTr="00AE24CA">
        <w:trPr>
          <w:jc w:val="center"/>
        </w:trPr>
        <w:tc>
          <w:tcPr>
            <w:cnfStyle w:val="001000000000" w:firstRow="0" w:lastRow="0" w:firstColumn="1" w:lastColumn="0" w:oddVBand="0" w:evenVBand="0" w:oddHBand="0" w:evenHBand="0" w:firstRowFirstColumn="0" w:firstRowLastColumn="0" w:lastRowFirstColumn="0" w:lastRowLastColumn="0"/>
            <w:tcW w:w="5812" w:type="dxa"/>
            <w:tcBorders>
              <w:right w:val="none" w:sz="0" w:space="0" w:color="auto"/>
            </w:tcBorders>
            <w:vAlign w:val="center"/>
          </w:tcPr>
          <w:p w14:paraId="0F14BAED" w14:textId="77777777" w:rsidR="00800F3D" w:rsidRPr="00CB1D1A" w:rsidRDefault="00800F3D" w:rsidP="0034020A">
            <w:pPr>
              <w:jc w:val="left"/>
              <w:rPr>
                <w:rFonts w:cs="Times New Roman"/>
                <w:i w:val="0"/>
                <w:sz w:val="22"/>
              </w:rPr>
            </w:pPr>
            <w:r w:rsidRPr="00CB1D1A">
              <w:rPr>
                <w:rFonts w:cs="Times New Roman"/>
                <w:i w:val="0"/>
                <w:sz w:val="22"/>
              </w:rPr>
              <w:t xml:space="preserve"> (+/-) Ajustes de Exercícios Anteriores </w:t>
            </w:r>
          </w:p>
        </w:tc>
      </w:tr>
      <w:tr w:rsidR="00800F3D" w:rsidRPr="00CB1D1A" w14:paraId="1D0AE069" w14:textId="77777777" w:rsidTr="00AE24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12" w:type="dxa"/>
            <w:tcBorders>
              <w:bottom w:val="single" w:sz="4" w:space="0" w:color="auto"/>
              <w:right w:val="none" w:sz="0" w:space="0" w:color="auto"/>
            </w:tcBorders>
            <w:vAlign w:val="center"/>
          </w:tcPr>
          <w:p w14:paraId="0FD5EDA7" w14:textId="77777777" w:rsidR="00800F3D" w:rsidRPr="00CB1D1A" w:rsidRDefault="00800F3D" w:rsidP="0034020A">
            <w:pPr>
              <w:jc w:val="left"/>
              <w:rPr>
                <w:rFonts w:cs="Times New Roman"/>
                <w:i w:val="0"/>
                <w:sz w:val="22"/>
              </w:rPr>
            </w:pPr>
            <w:r w:rsidRPr="00CB1D1A">
              <w:rPr>
                <w:rFonts w:cs="Times New Roman"/>
                <w:i w:val="0"/>
                <w:sz w:val="22"/>
              </w:rPr>
              <w:t>(=) Lucro Líquido Ajustado (LLA)</w:t>
            </w:r>
          </w:p>
        </w:tc>
      </w:tr>
    </w:tbl>
    <w:p w14:paraId="454FCD39" w14:textId="77777777" w:rsidR="00800F3D" w:rsidRPr="00626CE6" w:rsidRDefault="00800F3D" w:rsidP="0034020A">
      <w:pPr>
        <w:ind w:firstLine="1701"/>
        <w:rPr>
          <w:rFonts w:cs="Times New Roman"/>
          <w:sz w:val="22"/>
          <w:szCs w:val="20"/>
        </w:rPr>
      </w:pPr>
      <w:r w:rsidRPr="00626CE6">
        <w:rPr>
          <w:rFonts w:cs="Times New Roman"/>
          <w:b/>
          <w:bCs/>
          <w:iCs/>
          <w:sz w:val="20"/>
          <w:szCs w:val="20"/>
        </w:rPr>
        <w:t>Fonte:</w:t>
      </w:r>
      <w:r w:rsidRPr="00626CE6">
        <w:rPr>
          <w:rFonts w:cs="Times New Roman"/>
          <w:iCs/>
          <w:sz w:val="20"/>
          <w:szCs w:val="20"/>
        </w:rPr>
        <w:t xml:space="preserve"> Lei 6.404/76, Art. 202, §</w:t>
      </w:r>
      <w:r w:rsidRPr="00626CE6">
        <w:rPr>
          <w:rFonts w:cs="Times New Roman"/>
          <w:sz w:val="20"/>
          <w:szCs w:val="20"/>
        </w:rPr>
        <w:t>1º</w:t>
      </w:r>
    </w:p>
    <w:p w14:paraId="679AB736" w14:textId="30928558" w:rsidR="00800F3D" w:rsidRPr="0061323D" w:rsidRDefault="00800F3D" w:rsidP="00CB1D1A">
      <w:pPr>
        <w:tabs>
          <w:tab w:val="clear" w:pos="851"/>
        </w:tabs>
        <w:ind w:firstLine="851"/>
        <w:rPr>
          <w:rFonts w:cs="Times New Roman"/>
          <w:szCs w:val="24"/>
        </w:rPr>
      </w:pPr>
      <w:r w:rsidRPr="0061323D">
        <w:rPr>
          <w:rFonts w:cs="Times New Roman"/>
          <w:szCs w:val="24"/>
        </w:rPr>
        <w:t xml:space="preserve">Existe também, uma coleta de informações alternativa ao que foi apresentado, </w:t>
      </w:r>
      <w:r w:rsidR="004C343B">
        <w:rPr>
          <w:rFonts w:cs="Times New Roman"/>
          <w:szCs w:val="24"/>
        </w:rPr>
        <w:t xml:space="preserve">em decorrência da </w:t>
      </w:r>
      <w:r w:rsidRPr="0061323D">
        <w:rPr>
          <w:rFonts w:cs="Times New Roman"/>
          <w:szCs w:val="24"/>
        </w:rPr>
        <w:t xml:space="preserve">indisponibilidade parcial ou total das DFP na Central de Resultados e relações com investidores das empresas: Bradesco (BBDC3 e BBDC4), </w:t>
      </w:r>
      <w:proofErr w:type="spellStart"/>
      <w:r w:rsidRPr="0061323D">
        <w:rPr>
          <w:rFonts w:cs="Times New Roman"/>
          <w:szCs w:val="24"/>
        </w:rPr>
        <w:t>Auren</w:t>
      </w:r>
      <w:proofErr w:type="spellEnd"/>
      <w:r w:rsidRPr="0061323D">
        <w:rPr>
          <w:rFonts w:cs="Times New Roman"/>
          <w:szCs w:val="24"/>
        </w:rPr>
        <w:t xml:space="preserve"> Energia (AURE3), Minerva (BEEF3). As informações dessas empresas, foram retiradas de duas plataformas especializadas em mercado financeiro: </w:t>
      </w:r>
      <w:proofErr w:type="spellStart"/>
      <w:r w:rsidRPr="0061323D">
        <w:rPr>
          <w:rFonts w:cs="Times New Roman"/>
          <w:szCs w:val="24"/>
        </w:rPr>
        <w:t>TradeMap</w:t>
      </w:r>
      <w:proofErr w:type="spellEnd"/>
      <w:r w:rsidRPr="0061323D">
        <w:rPr>
          <w:rFonts w:cs="Times New Roman"/>
          <w:szCs w:val="24"/>
        </w:rPr>
        <w:t xml:space="preserve"> e Status </w:t>
      </w:r>
      <w:proofErr w:type="spellStart"/>
      <w:r w:rsidRPr="0061323D">
        <w:rPr>
          <w:rFonts w:cs="Times New Roman"/>
          <w:szCs w:val="24"/>
        </w:rPr>
        <w:t>Invest</w:t>
      </w:r>
      <w:proofErr w:type="spellEnd"/>
      <w:r w:rsidRPr="0061323D">
        <w:rPr>
          <w:rFonts w:cs="Times New Roman"/>
          <w:szCs w:val="24"/>
        </w:rPr>
        <w:t xml:space="preserve">, Além </w:t>
      </w:r>
      <w:r w:rsidRPr="0061323D">
        <w:rPr>
          <w:rFonts w:cs="Times New Roman"/>
          <w:szCs w:val="24"/>
        </w:rPr>
        <w:lastRenderedPageBreak/>
        <w:t>das páginas eletrônicas da CVM e da B3, que por sua vez foram utilizadas para acesso aos estatutos sociais, atas de assembleia das empresas estudadas e Demonstrações de mutação do Patrimônio Líquido.</w:t>
      </w:r>
    </w:p>
    <w:p w14:paraId="35737B38" w14:textId="77777777" w:rsidR="00800F3D" w:rsidRPr="0061323D" w:rsidRDefault="00800F3D" w:rsidP="0034020A">
      <w:pPr>
        <w:ind w:firstLine="851"/>
        <w:rPr>
          <w:rFonts w:cs="Times New Roman"/>
          <w:szCs w:val="24"/>
        </w:rPr>
      </w:pPr>
      <w:r w:rsidRPr="0061323D">
        <w:rPr>
          <w:rFonts w:cs="Times New Roman"/>
          <w:szCs w:val="24"/>
        </w:rPr>
        <w:t xml:space="preserve">Na presença de prejuízos na confiabilidade da informação, ou, em alguns casos, a indisponibilidade da ITR/DFP em algum período, fora utilizada a apresentação de release de resultados, e relatório anual a fim de obter quaisquer informações que embasem o trabalho. Em casos de indisponibilidade de resultados consolidados ou da controladora no que tange os valores propostos de dividendos nas demonstrações contábeis, foi utilizado o calendário de aprovação e pagamento de proventos disponibilizados pela empresa, para a soma dos eventos referentes ao exercício corrido. </w:t>
      </w:r>
    </w:p>
    <w:p w14:paraId="15019233" w14:textId="0AD8655B" w:rsidR="00800F3D" w:rsidRDefault="00800F3D" w:rsidP="0034020A">
      <w:pPr>
        <w:ind w:firstLine="851"/>
        <w:rPr>
          <w:rFonts w:cs="Times New Roman"/>
          <w:szCs w:val="24"/>
        </w:rPr>
      </w:pPr>
      <w:r w:rsidRPr="0061323D">
        <w:rPr>
          <w:rFonts w:cs="Times New Roman"/>
          <w:szCs w:val="24"/>
        </w:rPr>
        <w:t xml:space="preserve"> O método de Estatística Descritiva foi utilizado para organizar, resumir e descrever aspectos importantes do conjunto de ações do IDIV, para que seja possível caracterizar, comparar e exprimir informações entre as mais variadas combinações de setores e variáveis financeiras. As variáveis financeiras que passaram por essas análises foram: dividendos propostos, lucro líquido ajustado, o índice de pagamento de dividendos (</w:t>
      </w:r>
      <w:proofErr w:type="spellStart"/>
      <w:r w:rsidRPr="00A75327">
        <w:rPr>
          <w:rFonts w:cs="Times New Roman"/>
          <w:i/>
          <w:szCs w:val="24"/>
        </w:rPr>
        <w:t>payout</w:t>
      </w:r>
      <w:proofErr w:type="spellEnd"/>
      <w:r w:rsidRPr="0061323D">
        <w:rPr>
          <w:rFonts w:cs="Times New Roman"/>
          <w:szCs w:val="24"/>
        </w:rPr>
        <w:t xml:space="preserve">), que foi calculado a partir da divisão dos dividendos propostos pelo lucro líquido ajustado. </w:t>
      </w:r>
    </w:p>
    <w:p w14:paraId="0F18A8EA" w14:textId="77777777" w:rsidR="00800F3D" w:rsidRDefault="00800F3D" w:rsidP="0034020A">
      <w:pPr>
        <w:ind w:firstLine="851"/>
        <w:rPr>
          <w:rFonts w:cs="Times New Roman"/>
          <w:szCs w:val="24"/>
        </w:rPr>
      </w:pPr>
      <w:r w:rsidRPr="00A75B07">
        <w:rPr>
          <w:rFonts w:cs="Times New Roman"/>
          <w:szCs w:val="24"/>
        </w:rPr>
        <w:t xml:space="preserve">Dois </w:t>
      </w:r>
      <w:r w:rsidRPr="00805D89">
        <w:rPr>
          <w:rFonts w:cs="Times New Roman"/>
          <w:i/>
          <w:iCs/>
          <w:szCs w:val="24"/>
        </w:rPr>
        <w:t>outliers</w:t>
      </w:r>
      <w:r w:rsidRPr="00A75B07">
        <w:rPr>
          <w:rFonts w:cs="Times New Roman"/>
          <w:szCs w:val="24"/>
        </w:rPr>
        <w:t xml:space="preserve"> </w:t>
      </w:r>
      <w:r>
        <w:rPr>
          <w:rFonts w:cs="Times New Roman"/>
          <w:szCs w:val="24"/>
        </w:rPr>
        <w:t xml:space="preserve">– </w:t>
      </w:r>
      <w:r w:rsidRPr="00A75B07">
        <w:rPr>
          <w:rFonts w:cs="Times New Roman"/>
          <w:szCs w:val="24"/>
        </w:rPr>
        <w:t xml:space="preserve">dados que destoam drasticamente de todos os outros, ou seja, valores que fogem da normalidade </w:t>
      </w:r>
      <w:r>
        <w:rPr>
          <w:rFonts w:cs="Times New Roman"/>
          <w:szCs w:val="24"/>
        </w:rPr>
        <w:t xml:space="preserve">– </w:t>
      </w:r>
      <w:r w:rsidRPr="00A75B07">
        <w:rPr>
          <w:rFonts w:cs="Times New Roman"/>
          <w:szCs w:val="24"/>
        </w:rPr>
        <w:t>foram identificados, um para cada variável</w:t>
      </w:r>
      <w:r>
        <w:rPr>
          <w:rFonts w:cs="Times New Roman"/>
          <w:szCs w:val="24"/>
        </w:rPr>
        <w:t>:</w:t>
      </w:r>
      <w:r w:rsidRPr="00A75B07">
        <w:rPr>
          <w:rFonts w:cs="Times New Roman"/>
          <w:szCs w:val="24"/>
        </w:rPr>
        <w:t xml:space="preserve"> um excesso de 154% de dividendos declarado pela </w:t>
      </w:r>
      <w:proofErr w:type="spellStart"/>
      <w:r w:rsidRPr="00A75B07">
        <w:rPr>
          <w:rFonts w:cs="Times New Roman"/>
          <w:szCs w:val="24"/>
        </w:rPr>
        <w:t>Auren</w:t>
      </w:r>
      <w:proofErr w:type="spellEnd"/>
      <w:r w:rsidRPr="00A75B07">
        <w:rPr>
          <w:rFonts w:cs="Times New Roman"/>
          <w:szCs w:val="24"/>
        </w:rPr>
        <w:t xml:space="preserve"> Energia, e um ROE de 109% por parte da Minerva. Tais dados tendem a elevar a média das variáveis, e causar possíveis equívocos em análises.</w:t>
      </w:r>
    </w:p>
    <w:p w14:paraId="07F14996" w14:textId="5C9A4E49" w:rsidR="00D3671A" w:rsidRDefault="00D3671A" w:rsidP="0034020A">
      <w:pPr>
        <w:ind w:firstLine="851"/>
        <w:rPr>
          <w:rFonts w:cs="Times New Roman"/>
          <w:szCs w:val="24"/>
        </w:rPr>
      </w:pPr>
      <w:r>
        <w:rPr>
          <w:rFonts w:cs="Times New Roman"/>
          <w:szCs w:val="24"/>
        </w:rPr>
        <w:t>Como forma de melhor explorar os dados, foram realizadas regressões lineares simples entre o excesso de dividendos (diferença entre o dividendo mínimo obrigatório estimado e o dividendo efetivamente declarado) e variáveis financeiras selecionadas: Retorno sobre o Patrimônio Líquido (ROE), Retorno sobre o Ativo (ROA), Dívida Líquida/PL, e Margem Líquida.</w:t>
      </w:r>
    </w:p>
    <w:p w14:paraId="6DFEECF5" w14:textId="2F77BB28" w:rsidR="007144E8" w:rsidRDefault="0034020A" w:rsidP="0034020A">
      <w:pPr>
        <w:pStyle w:val="Ttulo1"/>
        <w:spacing w:before="0" w:after="0" w:line="360" w:lineRule="auto"/>
      </w:pPr>
      <w:r>
        <w:lastRenderedPageBreak/>
        <w:t xml:space="preserve">4 RESULTADOS </w:t>
      </w:r>
    </w:p>
    <w:p w14:paraId="47A42125" w14:textId="12F08053" w:rsidR="00800F3D" w:rsidRPr="0034020A" w:rsidRDefault="00800F3D" w:rsidP="00626CE6">
      <w:pPr>
        <w:pStyle w:val="Ttulo2"/>
        <w:rPr>
          <w:bCs/>
          <w:sz w:val="28"/>
        </w:rPr>
      </w:pPr>
      <w:bookmarkStart w:id="3" w:name="_Toc121217969"/>
      <w:r w:rsidRPr="0034020A">
        <w:t xml:space="preserve">4.1 </w:t>
      </w:r>
      <w:r w:rsidR="0034020A" w:rsidRPr="0034020A">
        <w:t xml:space="preserve">Comparativo entre percentual estatutário e </w:t>
      </w:r>
      <w:r w:rsidR="0034020A" w:rsidRPr="00626CE6">
        <w:t>declarado</w:t>
      </w:r>
      <w:bookmarkEnd w:id="3"/>
    </w:p>
    <w:p w14:paraId="00E0C818" w14:textId="4B9AEA69" w:rsidR="00032D95" w:rsidRDefault="00800F3D" w:rsidP="0034020A">
      <w:pPr>
        <w:ind w:firstLine="851"/>
        <w:rPr>
          <w:rFonts w:cs="Times New Roman"/>
          <w:szCs w:val="24"/>
        </w:rPr>
      </w:pPr>
      <w:r w:rsidRPr="007D06C9">
        <w:rPr>
          <w:rFonts w:cs="Times New Roman"/>
          <w:szCs w:val="24"/>
        </w:rPr>
        <w:t>Existe uma dominância da distribuição de 25% do LLA, o que indica uma tendência de padronização da política de distribuição de dividendos</w:t>
      </w:r>
      <w:r w:rsidR="00032D95">
        <w:rPr>
          <w:rFonts w:cs="Times New Roman"/>
          <w:szCs w:val="24"/>
        </w:rPr>
        <w:t>:</w:t>
      </w:r>
      <w:r w:rsidRPr="007D06C9">
        <w:rPr>
          <w:rFonts w:cs="Times New Roman"/>
          <w:szCs w:val="24"/>
        </w:rPr>
        <w:t xml:space="preserve"> </w:t>
      </w:r>
      <w:r w:rsidR="00032D95">
        <w:rPr>
          <w:rFonts w:cs="Times New Roman"/>
          <w:szCs w:val="24"/>
        </w:rPr>
        <w:t>na amostra estudada,</w:t>
      </w:r>
      <w:r w:rsidR="003C12D0">
        <w:rPr>
          <w:rFonts w:cs="Times New Roman"/>
          <w:szCs w:val="24"/>
        </w:rPr>
        <w:t xml:space="preserve"> formada por </w:t>
      </w:r>
      <w:r w:rsidR="002E6D98">
        <w:rPr>
          <w:rFonts w:cs="Times New Roman"/>
          <w:szCs w:val="24"/>
        </w:rPr>
        <w:t>45</w:t>
      </w:r>
      <w:r w:rsidR="003C12D0">
        <w:rPr>
          <w:rFonts w:cs="Times New Roman"/>
          <w:szCs w:val="24"/>
        </w:rPr>
        <w:t xml:space="preserve"> organizações,</w:t>
      </w:r>
      <w:r w:rsidR="00032D95">
        <w:rPr>
          <w:rFonts w:cs="Times New Roman"/>
          <w:szCs w:val="24"/>
        </w:rPr>
        <w:t xml:space="preserve"> </w:t>
      </w:r>
      <w:r w:rsidR="00BF4C5B">
        <w:rPr>
          <w:rFonts w:cs="Times New Roman"/>
          <w:szCs w:val="24"/>
        </w:rPr>
        <w:t>1</w:t>
      </w:r>
      <w:r w:rsidR="00032D95">
        <w:rPr>
          <w:rFonts w:cs="Times New Roman"/>
          <w:szCs w:val="24"/>
        </w:rPr>
        <w:t xml:space="preserve"> empresa </w:t>
      </w:r>
      <w:r w:rsidR="00BF4C5B">
        <w:rPr>
          <w:rFonts w:cs="Times New Roman"/>
          <w:szCs w:val="24"/>
        </w:rPr>
        <w:t>adotou um percentual de 0,001%; 3</w:t>
      </w:r>
      <w:r w:rsidR="002E6D98">
        <w:rPr>
          <w:rFonts w:cs="Times New Roman"/>
          <w:szCs w:val="24"/>
        </w:rPr>
        <w:t>3</w:t>
      </w:r>
      <w:r w:rsidR="00BF4C5B">
        <w:rPr>
          <w:rFonts w:cs="Times New Roman"/>
          <w:szCs w:val="24"/>
        </w:rPr>
        <w:t xml:space="preserve"> empresas, </w:t>
      </w:r>
      <w:r w:rsidR="00032D95">
        <w:rPr>
          <w:rFonts w:cs="Times New Roman"/>
          <w:szCs w:val="24"/>
        </w:rPr>
        <w:t xml:space="preserve">25%; </w:t>
      </w:r>
      <w:r w:rsidR="002E6D98">
        <w:rPr>
          <w:rFonts w:cs="Times New Roman"/>
          <w:szCs w:val="24"/>
        </w:rPr>
        <w:t>6</w:t>
      </w:r>
      <w:r w:rsidR="00032D95">
        <w:rPr>
          <w:rFonts w:cs="Times New Roman"/>
          <w:szCs w:val="24"/>
        </w:rPr>
        <w:t xml:space="preserve"> empresas, 30%; 1 empresa, 37%; e </w:t>
      </w:r>
      <w:r w:rsidR="002E6D98">
        <w:rPr>
          <w:rFonts w:cs="Times New Roman"/>
          <w:szCs w:val="24"/>
        </w:rPr>
        <w:t>4</w:t>
      </w:r>
      <w:r w:rsidR="00032D95">
        <w:rPr>
          <w:rFonts w:cs="Times New Roman"/>
          <w:szCs w:val="24"/>
        </w:rPr>
        <w:t xml:space="preserve"> empresas, 50%. V</w:t>
      </w:r>
      <w:r w:rsidRPr="007D06C9">
        <w:rPr>
          <w:rFonts w:cs="Times New Roman"/>
          <w:szCs w:val="24"/>
        </w:rPr>
        <w:t xml:space="preserve">ancin e Procianoy (2014) abordaram a obrigatoriedade de dividendos mínimos de 25% na situação em que empresas com estatutos omissos optem por implementar um percentual, conforme </w:t>
      </w:r>
      <w:r>
        <w:rPr>
          <w:rFonts w:cs="Times New Roman"/>
          <w:szCs w:val="24"/>
        </w:rPr>
        <w:t>o i</w:t>
      </w:r>
      <w:r w:rsidRPr="007D06C9">
        <w:rPr>
          <w:rFonts w:cs="Times New Roman"/>
          <w:szCs w:val="24"/>
        </w:rPr>
        <w:t xml:space="preserve">nciso II do artigo 202 da Lei 6.404/76.  De acordo com Silva </w:t>
      </w:r>
      <w:r w:rsidRPr="00032D95">
        <w:rPr>
          <w:rFonts w:cs="Times New Roman"/>
          <w:i/>
          <w:iCs/>
          <w:szCs w:val="24"/>
        </w:rPr>
        <w:t>et al</w:t>
      </w:r>
      <w:r w:rsidR="00032D95">
        <w:rPr>
          <w:rFonts w:cs="Times New Roman"/>
          <w:i/>
          <w:iCs/>
          <w:szCs w:val="24"/>
        </w:rPr>
        <w:t>.</w:t>
      </w:r>
      <w:r w:rsidRPr="007D06C9">
        <w:rPr>
          <w:rFonts w:cs="Times New Roman"/>
          <w:szCs w:val="24"/>
        </w:rPr>
        <w:t xml:space="preserve"> (201</w:t>
      </w:r>
      <w:r>
        <w:rPr>
          <w:rFonts w:cs="Times New Roman"/>
          <w:szCs w:val="24"/>
        </w:rPr>
        <w:t>6</w:t>
      </w:r>
      <w:r w:rsidRPr="007D06C9">
        <w:rPr>
          <w:rFonts w:cs="Times New Roman"/>
          <w:szCs w:val="24"/>
        </w:rPr>
        <w:t xml:space="preserve">), este comportamento revela uma adequação ao ambiente mercadológico, e isto pode indicar um efeito clientela, de satisfação com tal nível de distribuição. </w:t>
      </w:r>
    </w:p>
    <w:p w14:paraId="24C836FE" w14:textId="5FC24088" w:rsidR="00800F3D" w:rsidRPr="007D06C9" w:rsidRDefault="00800F3D" w:rsidP="0034020A">
      <w:pPr>
        <w:ind w:firstLine="851"/>
        <w:rPr>
          <w:rFonts w:cs="Times New Roman"/>
          <w:szCs w:val="24"/>
        </w:rPr>
      </w:pPr>
      <w:r w:rsidRPr="007D06C9">
        <w:rPr>
          <w:rFonts w:cs="Times New Roman"/>
          <w:szCs w:val="24"/>
        </w:rPr>
        <w:t xml:space="preserve">Foi realizada a análise da estatística descritiva do </w:t>
      </w:r>
      <w:proofErr w:type="spellStart"/>
      <w:r w:rsidRPr="007D06C9">
        <w:rPr>
          <w:rFonts w:cs="Times New Roman"/>
          <w:i/>
          <w:iCs/>
          <w:szCs w:val="24"/>
        </w:rPr>
        <w:t>payout</w:t>
      </w:r>
      <w:proofErr w:type="spellEnd"/>
      <w:r w:rsidRPr="007D06C9">
        <w:rPr>
          <w:rFonts w:cs="Times New Roman"/>
          <w:szCs w:val="24"/>
        </w:rPr>
        <w:t xml:space="preserve"> estatutário de todas as empresas listadas no índice. Como é de se esperar de um índice que relaciona as empresas que mais pagam dividendos, os resultados obtidos são, de maneira geral, de uma alta distribuição, com variações que partem dos 25%, que é a moda do conjunto de dados, e atingem valores de até 50%, com exceção da empresa </w:t>
      </w:r>
      <w:proofErr w:type="spellStart"/>
      <w:r w:rsidRPr="007D06C9">
        <w:rPr>
          <w:rFonts w:cs="Times New Roman"/>
          <w:szCs w:val="24"/>
        </w:rPr>
        <w:t>Enauta</w:t>
      </w:r>
      <w:proofErr w:type="spellEnd"/>
      <w:r w:rsidRPr="007D06C9">
        <w:rPr>
          <w:rFonts w:cs="Times New Roman"/>
          <w:szCs w:val="24"/>
        </w:rPr>
        <w:t xml:space="preserve"> Participações, que determina a distribuição de no mínimo 0,001% de dividendos mínimos aos seus acionistas. A média do </w:t>
      </w:r>
      <w:proofErr w:type="spellStart"/>
      <w:r w:rsidRPr="007D06C9">
        <w:rPr>
          <w:rFonts w:cs="Times New Roman"/>
          <w:i/>
          <w:iCs/>
          <w:szCs w:val="24"/>
        </w:rPr>
        <w:t>payout</w:t>
      </w:r>
      <w:proofErr w:type="spellEnd"/>
      <w:r w:rsidRPr="007D06C9">
        <w:rPr>
          <w:rFonts w:cs="Times New Roman"/>
          <w:szCs w:val="24"/>
        </w:rPr>
        <w:t xml:space="preserve"> presente no estatuto das empresas é de 28%, e se considerando os 25% padrão convencionado e adotado por 33 empresas, esta média é deslocada para cima pois 4 empresas do setor de energia (CMIG4, TAEE11, CPFE3, CMIG3), e uma do setor de seguros e previdência (WIZS3) se destacam das demais, com uma porcentagem de 50%. Os dados </w:t>
      </w:r>
      <w:r>
        <w:rPr>
          <w:rFonts w:cs="Times New Roman"/>
          <w:szCs w:val="24"/>
        </w:rPr>
        <w:t>podem ser visualizados n</w:t>
      </w:r>
      <w:r w:rsidRPr="007D06C9">
        <w:rPr>
          <w:rFonts w:cs="Times New Roman"/>
          <w:szCs w:val="24"/>
        </w:rPr>
        <w:t xml:space="preserve">a Tabela </w:t>
      </w:r>
      <w:r w:rsidR="00615733">
        <w:rPr>
          <w:rFonts w:cs="Times New Roman"/>
          <w:szCs w:val="24"/>
        </w:rPr>
        <w:t>2</w:t>
      </w:r>
      <w:r w:rsidRPr="007D06C9">
        <w:rPr>
          <w:rFonts w:cs="Times New Roman"/>
          <w:szCs w:val="24"/>
        </w:rPr>
        <w:t>.</w:t>
      </w:r>
    </w:p>
    <w:p w14:paraId="054E5E5E" w14:textId="08056391" w:rsidR="00800F3D" w:rsidRPr="00626CE6" w:rsidRDefault="00626CE6" w:rsidP="00CB1D1A">
      <w:pPr>
        <w:pStyle w:val="Legenda"/>
        <w:keepNext/>
        <w:spacing w:after="0"/>
        <w:jc w:val="center"/>
        <w:rPr>
          <w:rFonts w:ascii="Roboto Lt" w:hAnsi="Roboto Lt" w:cs="Times New Roman"/>
          <w:i w:val="0"/>
          <w:color w:val="auto"/>
          <w:sz w:val="22"/>
          <w:szCs w:val="22"/>
        </w:rPr>
      </w:pPr>
      <w:bookmarkStart w:id="4" w:name="_Toc120217950"/>
      <w:bookmarkStart w:id="5" w:name="_Toc121217940"/>
      <w:r w:rsidRPr="00626CE6">
        <w:rPr>
          <w:rFonts w:ascii="Roboto Lt" w:hAnsi="Roboto Lt" w:cs="Times New Roman"/>
          <w:b/>
          <w:bCs/>
          <w:i w:val="0"/>
          <w:color w:val="auto"/>
          <w:sz w:val="22"/>
          <w:szCs w:val="22"/>
        </w:rPr>
        <w:t xml:space="preserve">Tabela 2 </w:t>
      </w:r>
      <w:r w:rsidRPr="00626CE6">
        <w:rPr>
          <w:rFonts w:ascii="Roboto Lt" w:hAnsi="Roboto Lt" w:cs="Times New Roman"/>
          <w:i w:val="0"/>
          <w:color w:val="auto"/>
          <w:sz w:val="22"/>
          <w:szCs w:val="22"/>
        </w:rPr>
        <w:t xml:space="preserve">- </w:t>
      </w:r>
      <w:r w:rsidR="00800F3D" w:rsidRPr="00626CE6">
        <w:rPr>
          <w:rFonts w:ascii="Roboto Lt" w:hAnsi="Roboto Lt" w:cs="Times New Roman"/>
          <w:i w:val="0"/>
          <w:color w:val="auto"/>
          <w:sz w:val="22"/>
          <w:szCs w:val="22"/>
        </w:rPr>
        <w:t>Estatística descritiva da porcentagem mínima declarada no estatuto social</w:t>
      </w:r>
      <w:bookmarkEnd w:id="4"/>
      <w:bookmarkEnd w:id="5"/>
    </w:p>
    <w:tbl>
      <w:tblPr>
        <w:tblStyle w:val="TabeladeLista7Colorida"/>
        <w:tblW w:w="7245" w:type="dxa"/>
        <w:jc w:val="center"/>
        <w:tblLook w:val="0620" w:firstRow="1" w:lastRow="0" w:firstColumn="0" w:lastColumn="0" w:noHBand="1" w:noVBand="1"/>
      </w:tblPr>
      <w:tblGrid>
        <w:gridCol w:w="2608"/>
        <w:gridCol w:w="2291"/>
        <w:gridCol w:w="2346"/>
      </w:tblGrid>
      <w:tr w:rsidR="00800F3D" w:rsidRPr="000621F1" w14:paraId="2802B2A6" w14:textId="77777777" w:rsidTr="00032D95">
        <w:trPr>
          <w:cnfStyle w:val="100000000000" w:firstRow="1" w:lastRow="0" w:firstColumn="0" w:lastColumn="0" w:oddVBand="0" w:evenVBand="0" w:oddHBand="0" w:evenHBand="0" w:firstRowFirstColumn="0" w:firstRowLastColumn="0" w:lastRowFirstColumn="0" w:lastRowLastColumn="0"/>
          <w:trHeight w:val="287"/>
          <w:jc w:val="center"/>
        </w:trPr>
        <w:tc>
          <w:tcPr>
            <w:tcW w:w="2608" w:type="dxa"/>
            <w:tcBorders>
              <w:top w:val="single" w:sz="4" w:space="0" w:color="auto"/>
            </w:tcBorders>
            <w:vAlign w:val="center"/>
          </w:tcPr>
          <w:p w14:paraId="2A86F2EC" w14:textId="77777777" w:rsidR="00800F3D" w:rsidRPr="000621F1" w:rsidRDefault="00800F3D" w:rsidP="0034020A">
            <w:pPr>
              <w:rPr>
                <w:rFonts w:cs="Times New Roman"/>
                <w:i w:val="0"/>
                <w:iCs w:val="0"/>
                <w:sz w:val="22"/>
              </w:rPr>
            </w:pPr>
            <w:r w:rsidRPr="000621F1">
              <w:rPr>
                <w:rFonts w:cs="Times New Roman"/>
                <w:i w:val="0"/>
                <w:iCs w:val="0"/>
                <w:sz w:val="22"/>
              </w:rPr>
              <w:t>Estatística</w:t>
            </w:r>
          </w:p>
        </w:tc>
        <w:tc>
          <w:tcPr>
            <w:tcW w:w="2291" w:type="dxa"/>
            <w:tcBorders>
              <w:top w:val="single" w:sz="4" w:space="0" w:color="auto"/>
            </w:tcBorders>
            <w:vAlign w:val="center"/>
          </w:tcPr>
          <w:p w14:paraId="1622191C" w14:textId="77777777" w:rsidR="00800F3D" w:rsidRPr="000621F1" w:rsidRDefault="00800F3D" w:rsidP="0034020A">
            <w:pPr>
              <w:jc w:val="center"/>
              <w:rPr>
                <w:rFonts w:cs="Times New Roman"/>
                <w:i w:val="0"/>
                <w:iCs w:val="0"/>
                <w:sz w:val="22"/>
              </w:rPr>
            </w:pPr>
            <w:r w:rsidRPr="000621F1">
              <w:rPr>
                <w:rFonts w:cs="Times New Roman"/>
                <w:i w:val="0"/>
                <w:iCs w:val="0"/>
                <w:sz w:val="22"/>
              </w:rPr>
              <w:t xml:space="preserve">% Mínima prevista no </w:t>
            </w:r>
            <w:r w:rsidRPr="000621F1">
              <w:rPr>
                <w:rFonts w:cs="Times New Roman"/>
                <w:i w:val="0"/>
                <w:iCs w:val="0"/>
                <w:sz w:val="22"/>
              </w:rPr>
              <w:br/>
              <w:t>Estatuto Social</w:t>
            </w:r>
          </w:p>
        </w:tc>
        <w:tc>
          <w:tcPr>
            <w:tcW w:w="2346" w:type="dxa"/>
            <w:tcBorders>
              <w:top w:val="single" w:sz="4" w:space="0" w:color="auto"/>
            </w:tcBorders>
            <w:vAlign w:val="center"/>
          </w:tcPr>
          <w:p w14:paraId="352A04B0" w14:textId="77777777" w:rsidR="00800F3D" w:rsidRPr="000621F1" w:rsidRDefault="00800F3D" w:rsidP="0034020A">
            <w:pPr>
              <w:jc w:val="center"/>
              <w:rPr>
                <w:rFonts w:cs="Times New Roman"/>
                <w:i w:val="0"/>
                <w:iCs w:val="0"/>
                <w:sz w:val="22"/>
              </w:rPr>
            </w:pPr>
            <w:r w:rsidRPr="000621F1">
              <w:rPr>
                <w:rFonts w:cs="Times New Roman"/>
                <w:i w:val="0"/>
                <w:iCs w:val="0"/>
                <w:sz w:val="22"/>
              </w:rPr>
              <w:t>Percentual Declarado e Aprovado em 2021</w:t>
            </w:r>
          </w:p>
        </w:tc>
      </w:tr>
      <w:tr w:rsidR="00800F3D" w:rsidRPr="000621F1" w14:paraId="51A5EE26" w14:textId="77777777" w:rsidTr="00032D95">
        <w:trPr>
          <w:trHeight w:val="287"/>
          <w:jc w:val="center"/>
        </w:trPr>
        <w:tc>
          <w:tcPr>
            <w:tcW w:w="2608" w:type="dxa"/>
            <w:vAlign w:val="center"/>
          </w:tcPr>
          <w:p w14:paraId="0A8C5490" w14:textId="77777777" w:rsidR="00800F3D" w:rsidRPr="000621F1" w:rsidRDefault="00800F3D" w:rsidP="0034020A">
            <w:pPr>
              <w:rPr>
                <w:rFonts w:cs="Times New Roman"/>
                <w:sz w:val="22"/>
              </w:rPr>
            </w:pPr>
            <w:r w:rsidRPr="000621F1">
              <w:rPr>
                <w:rFonts w:cs="Times New Roman"/>
                <w:sz w:val="22"/>
              </w:rPr>
              <w:t>Média</w:t>
            </w:r>
          </w:p>
        </w:tc>
        <w:tc>
          <w:tcPr>
            <w:tcW w:w="2291" w:type="dxa"/>
            <w:vAlign w:val="center"/>
          </w:tcPr>
          <w:p w14:paraId="4494CC03" w14:textId="77777777" w:rsidR="00800F3D" w:rsidRPr="000621F1" w:rsidRDefault="00800F3D" w:rsidP="0034020A">
            <w:pPr>
              <w:jc w:val="center"/>
              <w:rPr>
                <w:rFonts w:cs="Times New Roman"/>
                <w:sz w:val="22"/>
              </w:rPr>
            </w:pPr>
            <w:r w:rsidRPr="000621F1">
              <w:rPr>
                <w:rFonts w:cs="Times New Roman"/>
                <w:sz w:val="22"/>
              </w:rPr>
              <w:t>28%</w:t>
            </w:r>
          </w:p>
        </w:tc>
        <w:tc>
          <w:tcPr>
            <w:tcW w:w="2346" w:type="dxa"/>
            <w:vAlign w:val="center"/>
          </w:tcPr>
          <w:p w14:paraId="1B6375AB" w14:textId="77777777" w:rsidR="00800F3D" w:rsidRPr="000621F1" w:rsidRDefault="00800F3D" w:rsidP="0034020A">
            <w:pPr>
              <w:jc w:val="center"/>
              <w:rPr>
                <w:rFonts w:cs="Times New Roman"/>
                <w:sz w:val="22"/>
              </w:rPr>
            </w:pPr>
            <w:r w:rsidRPr="000621F1">
              <w:rPr>
                <w:rFonts w:cs="Times New Roman"/>
                <w:sz w:val="22"/>
              </w:rPr>
              <w:t>58%</w:t>
            </w:r>
          </w:p>
        </w:tc>
      </w:tr>
      <w:tr w:rsidR="00800F3D" w:rsidRPr="000621F1" w14:paraId="16A5A9B6" w14:textId="77777777" w:rsidTr="00032D95">
        <w:trPr>
          <w:trHeight w:val="287"/>
          <w:jc w:val="center"/>
        </w:trPr>
        <w:tc>
          <w:tcPr>
            <w:tcW w:w="2608" w:type="dxa"/>
            <w:vAlign w:val="center"/>
          </w:tcPr>
          <w:p w14:paraId="053741C0" w14:textId="77777777" w:rsidR="00800F3D" w:rsidRPr="000621F1" w:rsidRDefault="00800F3D" w:rsidP="0034020A">
            <w:pPr>
              <w:rPr>
                <w:rFonts w:cs="Times New Roman"/>
                <w:sz w:val="22"/>
              </w:rPr>
            </w:pPr>
            <w:r w:rsidRPr="000621F1">
              <w:rPr>
                <w:rFonts w:cs="Times New Roman"/>
                <w:sz w:val="22"/>
              </w:rPr>
              <w:t>Mediana</w:t>
            </w:r>
          </w:p>
        </w:tc>
        <w:tc>
          <w:tcPr>
            <w:tcW w:w="2291" w:type="dxa"/>
            <w:vAlign w:val="center"/>
          </w:tcPr>
          <w:p w14:paraId="33E20FDC" w14:textId="77777777" w:rsidR="00800F3D" w:rsidRPr="000621F1" w:rsidRDefault="00800F3D" w:rsidP="0034020A">
            <w:pPr>
              <w:jc w:val="center"/>
              <w:rPr>
                <w:rFonts w:cs="Times New Roman"/>
                <w:sz w:val="22"/>
              </w:rPr>
            </w:pPr>
            <w:r w:rsidRPr="000621F1">
              <w:rPr>
                <w:rFonts w:cs="Times New Roman"/>
                <w:sz w:val="22"/>
              </w:rPr>
              <w:t>25%</w:t>
            </w:r>
          </w:p>
        </w:tc>
        <w:tc>
          <w:tcPr>
            <w:tcW w:w="2346" w:type="dxa"/>
            <w:vAlign w:val="center"/>
          </w:tcPr>
          <w:p w14:paraId="02872BBD" w14:textId="77777777" w:rsidR="00800F3D" w:rsidRPr="000621F1" w:rsidRDefault="00800F3D" w:rsidP="0034020A">
            <w:pPr>
              <w:jc w:val="center"/>
              <w:rPr>
                <w:rFonts w:cs="Times New Roman"/>
                <w:sz w:val="22"/>
              </w:rPr>
            </w:pPr>
            <w:r w:rsidRPr="000621F1">
              <w:rPr>
                <w:rFonts w:cs="Times New Roman"/>
                <w:sz w:val="22"/>
              </w:rPr>
              <w:t>54%</w:t>
            </w:r>
          </w:p>
        </w:tc>
      </w:tr>
      <w:tr w:rsidR="00800F3D" w:rsidRPr="000621F1" w14:paraId="13A86317" w14:textId="77777777" w:rsidTr="00032D95">
        <w:trPr>
          <w:trHeight w:val="287"/>
          <w:jc w:val="center"/>
        </w:trPr>
        <w:tc>
          <w:tcPr>
            <w:tcW w:w="2608" w:type="dxa"/>
            <w:vAlign w:val="center"/>
          </w:tcPr>
          <w:p w14:paraId="6C6C597F" w14:textId="77777777" w:rsidR="00800F3D" w:rsidRPr="000621F1" w:rsidRDefault="00800F3D" w:rsidP="0034020A">
            <w:pPr>
              <w:rPr>
                <w:rFonts w:cs="Times New Roman"/>
                <w:sz w:val="22"/>
              </w:rPr>
            </w:pPr>
            <w:r w:rsidRPr="000621F1">
              <w:rPr>
                <w:rFonts w:cs="Times New Roman"/>
                <w:sz w:val="22"/>
              </w:rPr>
              <w:t>Moda</w:t>
            </w:r>
          </w:p>
        </w:tc>
        <w:tc>
          <w:tcPr>
            <w:tcW w:w="2291" w:type="dxa"/>
            <w:vAlign w:val="center"/>
          </w:tcPr>
          <w:p w14:paraId="13B25EB1" w14:textId="77777777" w:rsidR="00800F3D" w:rsidRPr="000621F1" w:rsidRDefault="00800F3D" w:rsidP="0034020A">
            <w:pPr>
              <w:jc w:val="center"/>
              <w:rPr>
                <w:rFonts w:cs="Times New Roman"/>
                <w:sz w:val="22"/>
              </w:rPr>
            </w:pPr>
            <w:r w:rsidRPr="000621F1">
              <w:rPr>
                <w:rFonts w:cs="Times New Roman"/>
                <w:sz w:val="22"/>
              </w:rPr>
              <w:t>25%</w:t>
            </w:r>
          </w:p>
        </w:tc>
        <w:tc>
          <w:tcPr>
            <w:tcW w:w="2346" w:type="dxa"/>
            <w:vAlign w:val="center"/>
          </w:tcPr>
          <w:p w14:paraId="3CE76206" w14:textId="77777777" w:rsidR="00800F3D" w:rsidRPr="000621F1" w:rsidRDefault="00800F3D" w:rsidP="0034020A">
            <w:pPr>
              <w:jc w:val="center"/>
              <w:rPr>
                <w:rFonts w:cs="Times New Roman"/>
                <w:sz w:val="22"/>
              </w:rPr>
            </w:pPr>
            <w:r w:rsidRPr="000621F1">
              <w:rPr>
                <w:rFonts w:cs="Times New Roman"/>
                <w:sz w:val="22"/>
              </w:rPr>
              <w:t>25%</w:t>
            </w:r>
          </w:p>
        </w:tc>
      </w:tr>
      <w:tr w:rsidR="00800F3D" w:rsidRPr="000621F1" w14:paraId="46239B81" w14:textId="77777777" w:rsidTr="00032D95">
        <w:trPr>
          <w:trHeight w:val="287"/>
          <w:jc w:val="center"/>
        </w:trPr>
        <w:tc>
          <w:tcPr>
            <w:tcW w:w="2608" w:type="dxa"/>
            <w:vAlign w:val="center"/>
          </w:tcPr>
          <w:p w14:paraId="3DEE13D7" w14:textId="77777777" w:rsidR="00800F3D" w:rsidRPr="000621F1" w:rsidRDefault="00800F3D" w:rsidP="0034020A">
            <w:pPr>
              <w:rPr>
                <w:rFonts w:cs="Times New Roman"/>
                <w:sz w:val="22"/>
              </w:rPr>
            </w:pPr>
            <w:r w:rsidRPr="000621F1">
              <w:rPr>
                <w:rFonts w:cs="Times New Roman"/>
                <w:sz w:val="22"/>
              </w:rPr>
              <w:t>Desvio padrão</w:t>
            </w:r>
          </w:p>
        </w:tc>
        <w:tc>
          <w:tcPr>
            <w:tcW w:w="2291" w:type="dxa"/>
            <w:vAlign w:val="center"/>
          </w:tcPr>
          <w:p w14:paraId="717BF891" w14:textId="77777777" w:rsidR="00800F3D" w:rsidRPr="000621F1" w:rsidRDefault="00800F3D" w:rsidP="0034020A">
            <w:pPr>
              <w:jc w:val="center"/>
              <w:rPr>
                <w:rFonts w:cs="Times New Roman"/>
                <w:sz w:val="22"/>
              </w:rPr>
            </w:pPr>
            <w:r w:rsidRPr="000621F1">
              <w:rPr>
                <w:rFonts w:cs="Times New Roman"/>
                <w:sz w:val="22"/>
              </w:rPr>
              <w:t>9%</w:t>
            </w:r>
          </w:p>
        </w:tc>
        <w:tc>
          <w:tcPr>
            <w:tcW w:w="2346" w:type="dxa"/>
            <w:vAlign w:val="center"/>
          </w:tcPr>
          <w:p w14:paraId="3BFBCE3C" w14:textId="77777777" w:rsidR="00800F3D" w:rsidRPr="000621F1" w:rsidRDefault="00800F3D" w:rsidP="0034020A">
            <w:pPr>
              <w:jc w:val="center"/>
              <w:rPr>
                <w:rFonts w:cs="Times New Roman"/>
                <w:sz w:val="22"/>
              </w:rPr>
            </w:pPr>
            <w:r w:rsidRPr="000621F1">
              <w:rPr>
                <w:rFonts w:cs="Times New Roman"/>
                <w:sz w:val="22"/>
              </w:rPr>
              <w:t>33%</w:t>
            </w:r>
          </w:p>
        </w:tc>
      </w:tr>
      <w:tr w:rsidR="00800F3D" w:rsidRPr="000621F1" w14:paraId="37D924BC" w14:textId="77777777" w:rsidTr="008F022B">
        <w:trPr>
          <w:trHeight w:val="287"/>
          <w:jc w:val="center"/>
        </w:trPr>
        <w:tc>
          <w:tcPr>
            <w:tcW w:w="2608" w:type="dxa"/>
            <w:vAlign w:val="center"/>
          </w:tcPr>
          <w:p w14:paraId="7706298C" w14:textId="77777777" w:rsidR="00800F3D" w:rsidRPr="000621F1" w:rsidRDefault="00800F3D" w:rsidP="0034020A">
            <w:pPr>
              <w:rPr>
                <w:rFonts w:cs="Times New Roman"/>
                <w:sz w:val="22"/>
              </w:rPr>
            </w:pPr>
            <w:r w:rsidRPr="000621F1">
              <w:rPr>
                <w:rFonts w:cs="Times New Roman"/>
                <w:sz w:val="22"/>
              </w:rPr>
              <w:lastRenderedPageBreak/>
              <w:t>Mínimo</w:t>
            </w:r>
          </w:p>
        </w:tc>
        <w:tc>
          <w:tcPr>
            <w:tcW w:w="2291" w:type="dxa"/>
            <w:vAlign w:val="center"/>
          </w:tcPr>
          <w:p w14:paraId="4274C7C9" w14:textId="77777777" w:rsidR="00800F3D" w:rsidRPr="000621F1" w:rsidRDefault="00800F3D" w:rsidP="0034020A">
            <w:pPr>
              <w:jc w:val="center"/>
              <w:rPr>
                <w:rFonts w:cs="Times New Roman"/>
                <w:sz w:val="22"/>
              </w:rPr>
            </w:pPr>
            <w:r w:rsidRPr="000621F1">
              <w:rPr>
                <w:rFonts w:cs="Times New Roman"/>
                <w:sz w:val="22"/>
              </w:rPr>
              <w:t>0,001%</w:t>
            </w:r>
          </w:p>
        </w:tc>
        <w:tc>
          <w:tcPr>
            <w:tcW w:w="2346" w:type="dxa"/>
            <w:vAlign w:val="center"/>
          </w:tcPr>
          <w:p w14:paraId="15214177" w14:textId="77777777" w:rsidR="00800F3D" w:rsidRPr="000621F1" w:rsidRDefault="00800F3D" w:rsidP="0034020A">
            <w:pPr>
              <w:jc w:val="center"/>
              <w:rPr>
                <w:rFonts w:cs="Times New Roman"/>
                <w:sz w:val="22"/>
              </w:rPr>
            </w:pPr>
            <w:r w:rsidRPr="000621F1">
              <w:rPr>
                <w:rFonts w:cs="Times New Roman"/>
                <w:sz w:val="22"/>
              </w:rPr>
              <w:t>3%</w:t>
            </w:r>
          </w:p>
        </w:tc>
      </w:tr>
      <w:tr w:rsidR="00800F3D" w:rsidRPr="000621F1" w14:paraId="49BCFAAC" w14:textId="77777777" w:rsidTr="008F022B">
        <w:trPr>
          <w:trHeight w:val="287"/>
          <w:jc w:val="center"/>
        </w:trPr>
        <w:tc>
          <w:tcPr>
            <w:tcW w:w="2608" w:type="dxa"/>
            <w:tcBorders>
              <w:bottom w:val="single" w:sz="4" w:space="0" w:color="auto"/>
            </w:tcBorders>
            <w:vAlign w:val="center"/>
          </w:tcPr>
          <w:p w14:paraId="2063041C" w14:textId="77777777" w:rsidR="00800F3D" w:rsidRPr="000621F1" w:rsidRDefault="00800F3D" w:rsidP="0034020A">
            <w:pPr>
              <w:rPr>
                <w:rFonts w:cs="Times New Roman"/>
                <w:sz w:val="22"/>
              </w:rPr>
            </w:pPr>
            <w:r w:rsidRPr="000621F1">
              <w:rPr>
                <w:rFonts w:cs="Times New Roman"/>
                <w:sz w:val="22"/>
              </w:rPr>
              <w:t>Máximo</w:t>
            </w:r>
          </w:p>
        </w:tc>
        <w:tc>
          <w:tcPr>
            <w:tcW w:w="2291" w:type="dxa"/>
            <w:tcBorders>
              <w:bottom w:val="single" w:sz="4" w:space="0" w:color="auto"/>
            </w:tcBorders>
            <w:vAlign w:val="center"/>
          </w:tcPr>
          <w:p w14:paraId="11A16869" w14:textId="77777777" w:rsidR="00800F3D" w:rsidRPr="000621F1" w:rsidRDefault="00800F3D" w:rsidP="0034020A">
            <w:pPr>
              <w:jc w:val="center"/>
              <w:rPr>
                <w:rFonts w:cs="Times New Roman"/>
                <w:sz w:val="22"/>
              </w:rPr>
            </w:pPr>
            <w:r w:rsidRPr="000621F1">
              <w:rPr>
                <w:rFonts w:cs="Times New Roman"/>
                <w:sz w:val="22"/>
              </w:rPr>
              <w:t>50%</w:t>
            </w:r>
          </w:p>
        </w:tc>
        <w:tc>
          <w:tcPr>
            <w:tcW w:w="2346" w:type="dxa"/>
            <w:tcBorders>
              <w:bottom w:val="single" w:sz="4" w:space="0" w:color="auto"/>
            </w:tcBorders>
            <w:vAlign w:val="center"/>
          </w:tcPr>
          <w:p w14:paraId="782F4D7F" w14:textId="77777777" w:rsidR="00800F3D" w:rsidRPr="000621F1" w:rsidRDefault="00800F3D" w:rsidP="0034020A">
            <w:pPr>
              <w:jc w:val="center"/>
              <w:rPr>
                <w:rFonts w:cs="Times New Roman"/>
                <w:sz w:val="22"/>
              </w:rPr>
            </w:pPr>
            <w:r w:rsidRPr="000621F1">
              <w:rPr>
                <w:rFonts w:cs="Times New Roman"/>
                <w:sz w:val="22"/>
              </w:rPr>
              <w:t>179%</w:t>
            </w:r>
          </w:p>
        </w:tc>
      </w:tr>
      <w:tr w:rsidR="00800F3D" w:rsidRPr="000621F1" w14:paraId="163FE809" w14:textId="77777777" w:rsidTr="008F022B">
        <w:trPr>
          <w:trHeight w:val="287"/>
          <w:jc w:val="center"/>
        </w:trPr>
        <w:tc>
          <w:tcPr>
            <w:tcW w:w="2608" w:type="dxa"/>
            <w:tcBorders>
              <w:top w:val="single" w:sz="4" w:space="0" w:color="auto"/>
              <w:bottom w:val="single" w:sz="4" w:space="0" w:color="auto"/>
            </w:tcBorders>
            <w:vAlign w:val="center"/>
          </w:tcPr>
          <w:p w14:paraId="71E963EF" w14:textId="77777777" w:rsidR="00800F3D" w:rsidRPr="000621F1" w:rsidRDefault="00800F3D" w:rsidP="0034020A">
            <w:pPr>
              <w:rPr>
                <w:rFonts w:cs="Times New Roman"/>
                <w:sz w:val="22"/>
              </w:rPr>
            </w:pPr>
            <w:r w:rsidRPr="000621F1">
              <w:rPr>
                <w:rFonts w:cs="Times New Roman"/>
                <w:sz w:val="22"/>
              </w:rPr>
              <w:t>Contagem (empresas)</w:t>
            </w:r>
          </w:p>
        </w:tc>
        <w:tc>
          <w:tcPr>
            <w:tcW w:w="2291" w:type="dxa"/>
            <w:tcBorders>
              <w:top w:val="single" w:sz="4" w:space="0" w:color="auto"/>
              <w:bottom w:val="single" w:sz="4" w:space="0" w:color="auto"/>
            </w:tcBorders>
            <w:vAlign w:val="center"/>
          </w:tcPr>
          <w:p w14:paraId="21ABC4A8" w14:textId="77777777" w:rsidR="00800F3D" w:rsidRPr="000621F1" w:rsidRDefault="00800F3D" w:rsidP="0034020A">
            <w:pPr>
              <w:jc w:val="center"/>
              <w:rPr>
                <w:rFonts w:cs="Times New Roman"/>
                <w:sz w:val="22"/>
              </w:rPr>
            </w:pPr>
            <w:r w:rsidRPr="000621F1">
              <w:rPr>
                <w:rFonts w:cs="Times New Roman"/>
                <w:sz w:val="22"/>
              </w:rPr>
              <w:t>45</w:t>
            </w:r>
          </w:p>
        </w:tc>
        <w:tc>
          <w:tcPr>
            <w:tcW w:w="2346" w:type="dxa"/>
            <w:tcBorders>
              <w:top w:val="single" w:sz="4" w:space="0" w:color="auto"/>
              <w:bottom w:val="single" w:sz="4" w:space="0" w:color="auto"/>
            </w:tcBorders>
            <w:vAlign w:val="center"/>
          </w:tcPr>
          <w:p w14:paraId="55A42C2F" w14:textId="77777777" w:rsidR="00800F3D" w:rsidRPr="000621F1" w:rsidRDefault="00800F3D" w:rsidP="0034020A">
            <w:pPr>
              <w:jc w:val="center"/>
              <w:rPr>
                <w:rFonts w:cs="Times New Roman"/>
                <w:sz w:val="22"/>
              </w:rPr>
            </w:pPr>
            <w:r w:rsidRPr="000621F1">
              <w:rPr>
                <w:rFonts w:cs="Times New Roman"/>
                <w:sz w:val="22"/>
              </w:rPr>
              <w:t>45</w:t>
            </w:r>
          </w:p>
        </w:tc>
      </w:tr>
    </w:tbl>
    <w:p w14:paraId="3F53336F" w14:textId="5714A1F9" w:rsidR="00800F3D" w:rsidRPr="00626CE6" w:rsidRDefault="00032D95" w:rsidP="00032D95">
      <w:pPr>
        <w:ind w:firstLine="993"/>
        <w:rPr>
          <w:rFonts w:cs="Times New Roman"/>
          <w:sz w:val="20"/>
          <w:szCs w:val="20"/>
        </w:rPr>
      </w:pPr>
      <w:r w:rsidRPr="00626CE6">
        <w:rPr>
          <w:rFonts w:cs="Times New Roman"/>
          <w:b/>
          <w:bCs/>
          <w:sz w:val="20"/>
          <w:szCs w:val="20"/>
        </w:rPr>
        <w:t>Fonte</w:t>
      </w:r>
      <w:r w:rsidRPr="00626CE6">
        <w:rPr>
          <w:rFonts w:cs="Times New Roman"/>
          <w:sz w:val="20"/>
          <w:szCs w:val="20"/>
        </w:rPr>
        <w:t>: Dados da pesquisa</w:t>
      </w:r>
    </w:p>
    <w:p w14:paraId="4186F56E" w14:textId="1ABB14EE" w:rsidR="00800F3D" w:rsidRPr="0043586E" w:rsidRDefault="00800F3D" w:rsidP="00802080">
      <w:pPr>
        <w:ind w:firstLine="851"/>
        <w:rPr>
          <w:rFonts w:cs="Times New Roman"/>
          <w:szCs w:val="24"/>
        </w:rPr>
      </w:pPr>
      <w:r w:rsidRPr="007D06C9">
        <w:rPr>
          <w:rFonts w:cs="Times New Roman"/>
          <w:szCs w:val="24"/>
        </w:rPr>
        <w:t xml:space="preserve">Já para o exercício 2021, como exposto na Tabela </w:t>
      </w:r>
      <w:r w:rsidR="00615733">
        <w:rPr>
          <w:rFonts w:cs="Times New Roman"/>
          <w:szCs w:val="24"/>
        </w:rPr>
        <w:t>2</w:t>
      </w:r>
      <w:r w:rsidRPr="007D06C9">
        <w:rPr>
          <w:rFonts w:cs="Times New Roman"/>
          <w:szCs w:val="24"/>
        </w:rPr>
        <w:t xml:space="preserve">, foi apurado que o percentual médio distribuído é de 58%, o que caracteriza quase o dobro da média do que foi definido no estatuto das companhias. Dada a situação pandêmica do período analisado, algumas empresas se propuseram a distribuir todo seu lucro de maneira a compensar queda de lucro líquido nos exercícios anteriores, que para o período analisado no trabalho passou de uma média de </w:t>
      </w:r>
      <w:r w:rsidR="00802080">
        <w:rPr>
          <w:rFonts w:cs="Times New Roman"/>
          <w:szCs w:val="24"/>
        </w:rPr>
        <w:br/>
      </w:r>
      <w:r w:rsidRPr="007D06C9">
        <w:rPr>
          <w:rFonts w:cs="Times New Roman"/>
          <w:szCs w:val="24"/>
        </w:rPr>
        <w:t>R$ 3.415.560.17</w:t>
      </w:r>
      <w:r w:rsidR="008F022B">
        <w:rPr>
          <w:rFonts w:cs="Times New Roman"/>
          <w:szCs w:val="24"/>
        </w:rPr>
        <w:t>8</w:t>
      </w:r>
      <w:r w:rsidR="009765A2">
        <w:rPr>
          <w:rFonts w:cs="Times New Roman"/>
          <w:szCs w:val="24"/>
        </w:rPr>
        <w:t>,</w:t>
      </w:r>
      <w:r w:rsidRPr="007D06C9">
        <w:rPr>
          <w:rFonts w:cs="Times New Roman"/>
          <w:szCs w:val="24"/>
        </w:rPr>
        <w:t xml:space="preserve"> em 2020, para R$ 9.924.158.889 em 2021, e </w:t>
      </w:r>
      <w:r w:rsidR="00802080">
        <w:rPr>
          <w:rFonts w:cs="Times New Roman"/>
          <w:szCs w:val="24"/>
        </w:rPr>
        <w:t xml:space="preserve">remunerar </w:t>
      </w:r>
      <w:r w:rsidRPr="007D06C9">
        <w:rPr>
          <w:rFonts w:cs="Times New Roman"/>
          <w:szCs w:val="24"/>
        </w:rPr>
        <w:t>seus investidores</w:t>
      </w:r>
      <w:r w:rsidR="00802080">
        <w:rPr>
          <w:rFonts w:cs="Times New Roman"/>
          <w:szCs w:val="24"/>
        </w:rPr>
        <w:t>.</w:t>
      </w:r>
      <w:r w:rsidRPr="007D06C9">
        <w:rPr>
          <w:rFonts w:cs="Times New Roman"/>
          <w:szCs w:val="24"/>
        </w:rPr>
        <w:t xml:space="preserve"> </w:t>
      </w:r>
      <w:r w:rsidR="00802080">
        <w:rPr>
          <w:rFonts w:cs="Times New Roman"/>
          <w:szCs w:val="24"/>
        </w:rPr>
        <w:t>I</w:t>
      </w:r>
      <w:r w:rsidRPr="007D06C9">
        <w:rPr>
          <w:rFonts w:cs="Times New Roman"/>
          <w:szCs w:val="24"/>
        </w:rPr>
        <w:t>sso pode ser observado</w:t>
      </w:r>
      <w:r w:rsidR="00802080">
        <w:rPr>
          <w:rFonts w:cs="Times New Roman"/>
          <w:szCs w:val="24"/>
        </w:rPr>
        <w:t xml:space="preserve"> pelo fato de</w:t>
      </w:r>
      <w:r w:rsidRPr="007D06C9">
        <w:rPr>
          <w:rFonts w:cs="Times New Roman"/>
          <w:szCs w:val="24"/>
        </w:rPr>
        <w:t xml:space="preserve"> que apenas </w:t>
      </w:r>
      <w:r w:rsidR="00802080">
        <w:rPr>
          <w:rFonts w:cs="Times New Roman"/>
          <w:szCs w:val="24"/>
        </w:rPr>
        <w:t xml:space="preserve">35 </w:t>
      </w:r>
      <w:r w:rsidRPr="007D06C9">
        <w:rPr>
          <w:rFonts w:cs="Times New Roman"/>
          <w:szCs w:val="24"/>
        </w:rPr>
        <w:t xml:space="preserve">empresas </w:t>
      </w:r>
      <w:r w:rsidR="00802080">
        <w:rPr>
          <w:rFonts w:cs="Times New Roman"/>
          <w:szCs w:val="24"/>
        </w:rPr>
        <w:t xml:space="preserve">da amostra – 78% do total – declararam </w:t>
      </w:r>
      <w:r w:rsidRPr="007D06C9">
        <w:rPr>
          <w:rFonts w:cs="Times New Roman"/>
          <w:szCs w:val="24"/>
        </w:rPr>
        <w:t>dividendos maiores em 202</w:t>
      </w:r>
      <w:r w:rsidR="00802080">
        <w:rPr>
          <w:rFonts w:cs="Times New Roman"/>
          <w:szCs w:val="24"/>
        </w:rPr>
        <w:t>1</w:t>
      </w:r>
    </w:p>
    <w:p w14:paraId="718266FB" w14:textId="2F45D0B9" w:rsidR="00800F3D" w:rsidRPr="0043586E" w:rsidRDefault="00800F3D" w:rsidP="0034020A">
      <w:pPr>
        <w:ind w:firstLine="851"/>
        <w:rPr>
          <w:rFonts w:cs="Times New Roman"/>
          <w:szCs w:val="24"/>
        </w:rPr>
      </w:pPr>
      <w:r w:rsidRPr="0043586E">
        <w:rPr>
          <w:rFonts w:cs="Times New Roman"/>
          <w:szCs w:val="24"/>
        </w:rPr>
        <w:t xml:space="preserve">As empresas da amostra pertencem a 18 setores diferentes, e dentre eles, 3 obtiveram um </w:t>
      </w:r>
      <w:proofErr w:type="spellStart"/>
      <w:r w:rsidRPr="0043586E">
        <w:rPr>
          <w:rFonts w:cs="Times New Roman"/>
          <w:i/>
          <w:iCs/>
          <w:szCs w:val="24"/>
        </w:rPr>
        <w:t>payout</w:t>
      </w:r>
      <w:proofErr w:type="spellEnd"/>
      <w:r w:rsidRPr="0043586E">
        <w:rPr>
          <w:rFonts w:cs="Times New Roman"/>
          <w:szCs w:val="24"/>
        </w:rPr>
        <w:t xml:space="preserve"> médio, na amostra, de 100% ou mais, sendo: Exploração de Imóveis, Tecidos. Vestuário e Calçados, Telecomunicações. 75% das empresas pagam mais que seu dividendo mínimo obrigatório, criando esta disparidade média se compararmos o mínimo e o declarado das companhias. A média por setores fica evidenciada na Tabela </w:t>
      </w:r>
      <w:r w:rsidR="00802080">
        <w:rPr>
          <w:rFonts w:cs="Times New Roman"/>
          <w:szCs w:val="24"/>
        </w:rPr>
        <w:t>3</w:t>
      </w:r>
      <w:r w:rsidRPr="0043586E">
        <w:rPr>
          <w:rFonts w:cs="Times New Roman"/>
          <w:szCs w:val="24"/>
        </w:rPr>
        <w:t>.</w:t>
      </w:r>
    </w:p>
    <w:p w14:paraId="7E9C655C" w14:textId="52468F04" w:rsidR="00800F3D" w:rsidRPr="00626CE6" w:rsidRDefault="00626CE6" w:rsidP="00896C12">
      <w:pPr>
        <w:pStyle w:val="Legenda"/>
        <w:keepNext/>
        <w:spacing w:after="0"/>
        <w:jc w:val="center"/>
        <w:rPr>
          <w:rFonts w:ascii="Roboto Lt" w:hAnsi="Roboto Lt" w:cs="Times New Roman"/>
          <w:i w:val="0"/>
          <w:color w:val="auto"/>
          <w:sz w:val="22"/>
          <w:szCs w:val="22"/>
        </w:rPr>
      </w:pPr>
      <w:bookmarkStart w:id="6" w:name="_Toc120217952"/>
      <w:bookmarkStart w:id="7" w:name="_Toc121217942"/>
      <w:r w:rsidRPr="00626CE6">
        <w:rPr>
          <w:rFonts w:ascii="Roboto Lt" w:hAnsi="Roboto Lt" w:cs="Times New Roman"/>
          <w:b/>
          <w:bCs/>
          <w:i w:val="0"/>
          <w:color w:val="auto"/>
          <w:sz w:val="22"/>
          <w:szCs w:val="22"/>
        </w:rPr>
        <w:t xml:space="preserve">Tabela </w:t>
      </w:r>
      <w:r w:rsidR="00802080" w:rsidRPr="00626CE6">
        <w:rPr>
          <w:rFonts w:ascii="Roboto Lt" w:hAnsi="Roboto Lt" w:cs="Times New Roman"/>
          <w:b/>
          <w:bCs/>
          <w:i w:val="0"/>
          <w:color w:val="auto"/>
          <w:sz w:val="22"/>
          <w:szCs w:val="22"/>
        </w:rPr>
        <w:t>3</w:t>
      </w:r>
      <w:r w:rsidR="00800F3D" w:rsidRPr="00626CE6">
        <w:rPr>
          <w:rFonts w:ascii="Roboto Lt" w:hAnsi="Roboto Lt" w:cs="Times New Roman"/>
          <w:i w:val="0"/>
          <w:color w:val="auto"/>
          <w:sz w:val="22"/>
          <w:szCs w:val="22"/>
        </w:rPr>
        <w:t xml:space="preserve"> </w:t>
      </w:r>
      <w:r>
        <w:rPr>
          <w:rFonts w:ascii="Roboto Lt" w:hAnsi="Roboto Lt" w:cs="Times New Roman"/>
          <w:i w:val="0"/>
          <w:color w:val="auto"/>
          <w:sz w:val="22"/>
          <w:szCs w:val="22"/>
        </w:rPr>
        <w:t>-</w:t>
      </w:r>
      <w:r w:rsidR="00800F3D" w:rsidRPr="00626CE6">
        <w:rPr>
          <w:rFonts w:ascii="Roboto Lt" w:hAnsi="Roboto Lt" w:cs="Times New Roman"/>
          <w:i w:val="0"/>
          <w:color w:val="auto"/>
          <w:sz w:val="22"/>
          <w:szCs w:val="22"/>
        </w:rPr>
        <w:t xml:space="preserve"> Porcentagem média por setor – declarado x mínimo obrigatório</w:t>
      </w:r>
      <w:bookmarkEnd w:id="6"/>
      <w:bookmarkEnd w:id="7"/>
    </w:p>
    <w:tbl>
      <w:tblPr>
        <w:tblStyle w:val="SimplesTabela2"/>
        <w:tblW w:w="9603" w:type="dxa"/>
        <w:tblLook w:val="0620" w:firstRow="1" w:lastRow="0" w:firstColumn="0" w:lastColumn="0" w:noHBand="1" w:noVBand="1"/>
      </w:tblPr>
      <w:tblGrid>
        <w:gridCol w:w="2336"/>
        <w:gridCol w:w="1245"/>
        <w:gridCol w:w="1228"/>
        <w:gridCol w:w="2525"/>
        <w:gridCol w:w="1244"/>
        <w:gridCol w:w="1025"/>
      </w:tblGrid>
      <w:tr w:rsidR="009765A2" w:rsidRPr="008F022B" w14:paraId="5FE5B625" w14:textId="669D84BD" w:rsidTr="009765A2">
        <w:trPr>
          <w:cnfStyle w:val="100000000000" w:firstRow="1" w:lastRow="0" w:firstColumn="0" w:lastColumn="0" w:oddVBand="0" w:evenVBand="0" w:oddHBand="0" w:evenHBand="0" w:firstRowFirstColumn="0" w:firstRowLastColumn="0" w:lastRowFirstColumn="0" w:lastRowLastColumn="0"/>
          <w:trHeight w:val="429"/>
        </w:trPr>
        <w:tc>
          <w:tcPr>
            <w:tcW w:w="2381" w:type="dxa"/>
            <w:tcBorders>
              <w:top w:val="single" w:sz="4" w:space="0" w:color="auto"/>
              <w:bottom w:val="single" w:sz="4" w:space="0" w:color="auto"/>
            </w:tcBorders>
            <w:vAlign w:val="center"/>
          </w:tcPr>
          <w:p w14:paraId="50E98124" w14:textId="77777777" w:rsidR="009765A2" w:rsidRPr="008F022B" w:rsidRDefault="009765A2" w:rsidP="009765A2">
            <w:pPr>
              <w:rPr>
                <w:rFonts w:cs="Times New Roman"/>
                <w:b w:val="0"/>
                <w:bCs w:val="0"/>
                <w:sz w:val="22"/>
              </w:rPr>
            </w:pPr>
            <w:r w:rsidRPr="008F022B">
              <w:rPr>
                <w:rFonts w:cs="Times New Roman"/>
                <w:b w:val="0"/>
                <w:bCs w:val="0"/>
                <w:sz w:val="22"/>
              </w:rPr>
              <w:t>Setor</w:t>
            </w:r>
          </w:p>
        </w:tc>
        <w:tc>
          <w:tcPr>
            <w:tcW w:w="1247" w:type="dxa"/>
            <w:tcBorders>
              <w:top w:val="single" w:sz="4" w:space="0" w:color="auto"/>
              <w:bottom w:val="single" w:sz="4" w:space="0" w:color="auto"/>
            </w:tcBorders>
            <w:vAlign w:val="center"/>
          </w:tcPr>
          <w:p w14:paraId="290C32B2" w14:textId="4C2A2ED3" w:rsidR="009765A2" w:rsidRPr="008F022B" w:rsidRDefault="009765A2" w:rsidP="009765A2">
            <w:pPr>
              <w:jc w:val="center"/>
              <w:rPr>
                <w:rFonts w:cs="Times New Roman"/>
                <w:b w:val="0"/>
                <w:bCs w:val="0"/>
                <w:sz w:val="22"/>
              </w:rPr>
            </w:pPr>
            <w:r>
              <w:rPr>
                <w:rFonts w:cs="Times New Roman"/>
                <w:b w:val="0"/>
                <w:bCs w:val="0"/>
                <w:sz w:val="22"/>
              </w:rPr>
              <w:t>D</w:t>
            </w:r>
            <w:r w:rsidRPr="008F022B">
              <w:rPr>
                <w:rFonts w:cs="Times New Roman"/>
                <w:b w:val="0"/>
                <w:bCs w:val="0"/>
                <w:sz w:val="22"/>
              </w:rPr>
              <w:t>eclarado</w:t>
            </w:r>
          </w:p>
        </w:tc>
        <w:tc>
          <w:tcPr>
            <w:tcW w:w="1239" w:type="dxa"/>
            <w:tcBorders>
              <w:top w:val="single" w:sz="4" w:space="0" w:color="auto"/>
              <w:bottom w:val="single" w:sz="4" w:space="0" w:color="auto"/>
            </w:tcBorders>
            <w:vAlign w:val="center"/>
          </w:tcPr>
          <w:p w14:paraId="5401B0BA" w14:textId="599E0D40" w:rsidR="009765A2" w:rsidRPr="008F022B" w:rsidRDefault="009765A2" w:rsidP="009765A2">
            <w:pPr>
              <w:jc w:val="center"/>
              <w:rPr>
                <w:rFonts w:cs="Times New Roman"/>
                <w:b w:val="0"/>
                <w:bCs w:val="0"/>
                <w:sz w:val="22"/>
              </w:rPr>
            </w:pPr>
            <w:r w:rsidRPr="008F022B">
              <w:rPr>
                <w:rFonts w:cs="Times New Roman"/>
                <w:b w:val="0"/>
                <w:bCs w:val="0"/>
                <w:sz w:val="22"/>
              </w:rPr>
              <w:t>Estatuto</w:t>
            </w:r>
          </w:p>
        </w:tc>
        <w:tc>
          <w:tcPr>
            <w:tcW w:w="2551" w:type="dxa"/>
            <w:tcBorders>
              <w:top w:val="single" w:sz="4" w:space="0" w:color="auto"/>
              <w:bottom w:val="single" w:sz="4" w:space="0" w:color="auto"/>
            </w:tcBorders>
            <w:vAlign w:val="center"/>
          </w:tcPr>
          <w:p w14:paraId="504BFB65" w14:textId="4A964AE2" w:rsidR="009765A2" w:rsidRPr="008F022B" w:rsidRDefault="009765A2" w:rsidP="009765A2">
            <w:pPr>
              <w:jc w:val="center"/>
              <w:rPr>
                <w:rFonts w:cs="Times New Roman"/>
                <w:sz w:val="22"/>
              </w:rPr>
            </w:pPr>
            <w:r w:rsidRPr="008F022B">
              <w:rPr>
                <w:rFonts w:cs="Times New Roman"/>
                <w:b w:val="0"/>
                <w:bCs w:val="0"/>
                <w:sz w:val="22"/>
              </w:rPr>
              <w:t>Setor</w:t>
            </w:r>
          </w:p>
        </w:tc>
        <w:tc>
          <w:tcPr>
            <w:tcW w:w="1247" w:type="dxa"/>
            <w:tcBorders>
              <w:top w:val="single" w:sz="4" w:space="0" w:color="auto"/>
              <w:bottom w:val="single" w:sz="4" w:space="0" w:color="auto"/>
            </w:tcBorders>
            <w:vAlign w:val="center"/>
          </w:tcPr>
          <w:p w14:paraId="1C4D4B5D" w14:textId="02C399B8" w:rsidR="009765A2" w:rsidRPr="008F022B" w:rsidRDefault="009765A2" w:rsidP="009765A2">
            <w:pPr>
              <w:jc w:val="center"/>
              <w:rPr>
                <w:rFonts w:cs="Times New Roman"/>
                <w:sz w:val="22"/>
              </w:rPr>
            </w:pPr>
            <w:r>
              <w:rPr>
                <w:rFonts w:cs="Times New Roman"/>
                <w:b w:val="0"/>
                <w:bCs w:val="0"/>
                <w:sz w:val="22"/>
              </w:rPr>
              <w:t>D</w:t>
            </w:r>
            <w:r w:rsidRPr="008F022B">
              <w:rPr>
                <w:rFonts w:cs="Times New Roman"/>
                <w:b w:val="0"/>
                <w:bCs w:val="0"/>
                <w:sz w:val="22"/>
              </w:rPr>
              <w:t>eclarado</w:t>
            </w:r>
          </w:p>
        </w:tc>
        <w:tc>
          <w:tcPr>
            <w:tcW w:w="938" w:type="dxa"/>
            <w:tcBorders>
              <w:top w:val="single" w:sz="4" w:space="0" w:color="auto"/>
              <w:bottom w:val="single" w:sz="4" w:space="0" w:color="auto"/>
            </w:tcBorders>
            <w:vAlign w:val="center"/>
          </w:tcPr>
          <w:p w14:paraId="43FA230C" w14:textId="24ECE49D" w:rsidR="009765A2" w:rsidRPr="008F022B" w:rsidRDefault="009765A2" w:rsidP="009765A2">
            <w:pPr>
              <w:jc w:val="center"/>
              <w:rPr>
                <w:rFonts w:cs="Times New Roman"/>
                <w:sz w:val="22"/>
              </w:rPr>
            </w:pPr>
            <w:r w:rsidRPr="008F022B">
              <w:rPr>
                <w:rFonts w:cs="Times New Roman"/>
                <w:b w:val="0"/>
                <w:bCs w:val="0"/>
                <w:sz w:val="22"/>
              </w:rPr>
              <w:t>Estatuto</w:t>
            </w:r>
          </w:p>
        </w:tc>
      </w:tr>
      <w:tr w:rsidR="009765A2" w:rsidRPr="008F022B" w14:paraId="726BE126" w14:textId="2C874F3B" w:rsidTr="009765A2">
        <w:trPr>
          <w:trHeight w:val="391"/>
        </w:trPr>
        <w:tc>
          <w:tcPr>
            <w:tcW w:w="2381" w:type="dxa"/>
            <w:tcBorders>
              <w:top w:val="single" w:sz="4" w:space="0" w:color="auto"/>
              <w:bottom w:val="nil"/>
            </w:tcBorders>
            <w:vAlign w:val="center"/>
          </w:tcPr>
          <w:p w14:paraId="0A899CD6" w14:textId="77777777" w:rsidR="009765A2" w:rsidRPr="008F022B" w:rsidRDefault="009765A2" w:rsidP="009765A2">
            <w:pPr>
              <w:jc w:val="left"/>
              <w:rPr>
                <w:rFonts w:cs="Times New Roman"/>
                <w:sz w:val="22"/>
              </w:rPr>
            </w:pPr>
            <w:r w:rsidRPr="008F022B">
              <w:rPr>
                <w:rFonts w:cs="Times New Roman"/>
                <w:sz w:val="22"/>
              </w:rPr>
              <w:t>Água e Saneamento</w:t>
            </w:r>
          </w:p>
        </w:tc>
        <w:tc>
          <w:tcPr>
            <w:tcW w:w="1247" w:type="dxa"/>
            <w:tcBorders>
              <w:top w:val="single" w:sz="4" w:space="0" w:color="auto"/>
              <w:bottom w:val="nil"/>
            </w:tcBorders>
            <w:vAlign w:val="center"/>
          </w:tcPr>
          <w:p w14:paraId="5C5266BA" w14:textId="77777777" w:rsidR="009765A2" w:rsidRPr="008F022B" w:rsidRDefault="009765A2" w:rsidP="009765A2">
            <w:pPr>
              <w:jc w:val="center"/>
              <w:rPr>
                <w:rFonts w:cs="Times New Roman"/>
                <w:sz w:val="22"/>
              </w:rPr>
            </w:pPr>
            <w:r w:rsidRPr="008F022B">
              <w:rPr>
                <w:rFonts w:cs="Times New Roman"/>
                <w:sz w:val="22"/>
              </w:rPr>
              <w:t>25%</w:t>
            </w:r>
          </w:p>
        </w:tc>
        <w:tc>
          <w:tcPr>
            <w:tcW w:w="1239" w:type="dxa"/>
            <w:tcBorders>
              <w:top w:val="nil"/>
              <w:left w:val="nil"/>
              <w:bottom w:val="nil"/>
              <w:right w:val="nil"/>
            </w:tcBorders>
            <w:shd w:val="clear" w:color="auto" w:fill="auto"/>
            <w:vAlign w:val="center"/>
          </w:tcPr>
          <w:p w14:paraId="603BD51F" w14:textId="77777777" w:rsidR="009765A2" w:rsidRPr="008F022B" w:rsidRDefault="009765A2" w:rsidP="009765A2">
            <w:pPr>
              <w:jc w:val="center"/>
              <w:rPr>
                <w:rFonts w:cs="Times New Roman"/>
                <w:sz w:val="22"/>
              </w:rPr>
            </w:pPr>
            <w:r w:rsidRPr="008F022B">
              <w:rPr>
                <w:rFonts w:cs="Times New Roman"/>
                <w:color w:val="000000"/>
                <w:sz w:val="22"/>
              </w:rPr>
              <w:t>25%</w:t>
            </w:r>
          </w:p>
        </w:tc>
        <w:tc>
          <w:tcPr>
            <w:tcW w:w="2551" w:type="dxa"/>
            <w:tcBorders>
              <w:top w:val="nil"/>
              <w:left w:val="nil"/>
              <w:bottom w:val="nil"/>
              <w:right w:val="nil"/>
            </w:tcBorders>
            <w:vAlign w:val="center"/>
          </w:tcPr>
          <w:p w14:paraId="42416CCC" w14:textId="6F8CCCA0" w:rsidR="009765A2" w:rsidRPr="008F022B" w:rsidRDefault="009765A2" w:rsidP="009765A2">
            <w:pPr>
              <w:jc w:val="left"/>
              <w:rPr>
                <w:rFonts w:cs="Times New Roman"/>
                <w:color w:val="000000"/>
                <w:sz w:val="22"/>
              </w:rPr>
            </w:pPr>
            <w:r w:rsidRPr="008F022B">
              <w:rPr>
                <w:rFonts w:cs="Times New Roman"/>
                <w:color w:val="000000"/>
                <w:sz w:val="22"/>
              </w:rPr>
              <w:t>Mineração</w:t>
            </w:r>
          </w:p>
        </w:tc>
        <w:tc>
          <w:tcPr>
            <w:tcW w:w="1247" w:type="dxa"/>
            <w:tcBorders>
              <w:top w:val="nil"/>
              <w:left w:val="nil"/>
              <w:bottom w:val="nil"/>
              <w:right w:val="nil"/>
            </w:tcBorders>
            <w:vAlign w:val="center"/>
          </w:tcPr>
          <w:p w14:paraId="0AC94FF2" w14:textId="0792F9EF" w:rsidR="009765A2" w:rsidRPr="008F022B" w:rsidRDefault="009765A2" w:rsidP="009765A2">
            <w:pPr>
              <w:jc w:val="center"/>
              <w:rPr>
                <w:rFonts w:cs="Times New Roman"/>
                <w:color w:val="000000"/>
                <w:sz w:val="22"/>
              </w:rPr>
            </w:pPr>
            <w:r w:rsidRPr="008F022B">
              <w:rPr>
                <w:rFonts w:cs="Times New Roman"/>
                <w:sz w:val="22"/>
              </w:rPr>
              <w:t>48%</w:t>
            </w:r>
          </w:p>
        </w:tc>
        <w:tc>
          <w:tcPr>
            <w:tcW w:w="938" w:type="dxa"/>
            <w:vAlign w:val="center"/>
          </w:tcPr>
          <w:p w14:paraId="73FBD19D" w14:textId="2C8AF734" w:rsidR="009765A2" w:rsidRPr="008F022B" w:rsidRDefault="009765A2" w:rsidP="009765A2">
            <w:pPr>
              <w:tabs>
                <w:tab w:val="clear" w:pos="851"/>
              </w:tabs>
              <w:spacing w:line="240" w:lineRule="auto"/>
              <w:jc w:val="center"/>
              <w:rPr>
                <w:sz w:val="22"/>
              </w:rPr>
            </w:pPr>
            <w:r w:rsidRPr="008F022B">
              <w:rPr>
                <w:rFonts w:cs="Times New Roman"/>
                <w:color w:val="000000"/>
                <w:sz w:val="22"/>
              </w:rPr>
              <w:t>27%</w:t>
            </w:r>
          </w:p>
        </w:tc>
      </w:tr>
      <w:tr w:rsidR="009765A2" w:rsidRPr="008F022B" w14:paraId="4E9C8117" w14:textId="0675ABA0" w:rsidTr="009765A2">
        <w:trPr>
          <w:trHeight w:val="429"/>
        </w:trPr>
        <w:tc>
          <w:tcPr>
            <w:tcW w:w="2381" w:type="dxa"/>
            <w:tcBorders>
              <w:top w:val="nil"/>
            </w:tcBorders>
            <w:vAlign w:val="center"/>
          </w:tcPr>
          <w:p w14:paraId="2FA9554F" w14:textId="77777777" w:rsidR="009765A2" w:rsidRPr="008F022B" w:rsidRDefault="009765A2" w:rsidP="009765A2">
            <w:pPr>
              <w:jc w:val="left"/>
              <w:rPr>
                <w:rFonts w:cs="Times New Roman"/>
                <w:color w:val="000000"/>
                <w:sz w:val="22"/>
              </w:rPr>
            </w:pPr>
            <w:r w:rsidRPr="008F022B">
              <w:rPr>
                <w:rFonts w:cs="Times New Roman"/>
                <w:color w:val="000000"/>
                <w:sz w:val="22"/>
              </w:rPr>
              <w:t>Alimentos Processados</w:t>
            </w:r>
          </w:p>
        </w:tc>
        <w:tc>
          <w:tcPr>
            <w:tcW w:w="1247" w:type="dxa"/>
            <w:tcBorders>
              <w:top w:val="nil"/>
            </w:tcBorders>
            <w:vAlign w:val="center"/>
          </w:tcPr>
          <w:p w14:paraId="0E3A7DC3" w14:textId="77777777" w:rsidR="009765A2" w:rsidRPr="008F022B" w:rsidRDefault="009765A2" w:rsidP="009765A2">
            <w:pPr>
              <w:jc w:val="center"/>
              <w:rPr>
                <w:rFonts w:cs="Times New Roman"/>
                <w:sz w:val="22"/>
              </w:rPr>
            </w:pPr>
            <w:r w:rsidRPr="008F022B">
              <w:rPr>
                <w:rFonts w:cs="Times New Roman"/>
                <w:sz w:val="22"/>
              </w:rPr>
              <w:t>47%</w:t>
            </w:r>
          </w:p>
        </w:tc>
        <w:tc>
          <w:tcPr>
            <w:tcW w:w="1239" w:type="dxa"/>
            <w:tcBorders>
              <w:top w:val="nil"/>
              <w:left w:val="nil"/>
              <w:bottom w:val="nil"/>
              <w:right w:val="nil"/>
            </w:tcBorders>
            <w:shd w:val="clear" w:color="auto" w:fill="auto"/>
            <w:vAlign w:val="center"/>
          </w:tcPr>
          <w:p w14:paraId="74F74EF2" w14:textId="77777777" w:rsidR="009765A2" w:rsidRPr="008F022B" w:rsidRDefault="009765A2" w:rsidP="009765A2">
            <w:pPr>
              <w:jc w:val="center"/>
              <w:rPr>
                <w:rFonts w:cs="Times New Roman"/>
                <w:sz w:val="22"/>
              </w:rPr>
            </w:pPr>
            <w:r w:rsidRPr="008F022B">
              <w:rPr>
                <w:rFonts w:cs="Times New Roman"/>
                <w:color w:val="000000"/>
                <w:sz w:val="22"/>
              </w:rPr>
              <w:t>25%</w:t>
            </w:r>
          </w:p>
        </w:tc>
        <w:tc>
          <w:tcPr>
            <w:tcW w:w="2551" w:type="dxa"/>
            <w:tcBorders>
              <w:top w:val="nil"/>
              <w:left w:val="nil"/>
              <w:bottom w:val="nil"/>
              <w:right w:val="nil"/>
            </w:tcBorders>
            <w:vAlign w:val="center"/>
          </w:tcPr>
          <w:p w14:paraId="4DAB6F91" w14:textId="7103C23A" w:rsidR="009765A2" w:rsidRPr="008F022B" w:rsidRDefault="009765A2" w:rsidP="009765A2">
            <w:pPr>
              <w:jc w:val="left"/>
              <w:rPr>
                <w:rFonts w:cs="Times New Roman"/>
                <w:color w:val="000000"/>
                <w:sz w:val="22"/>
              </w:rPr>
            </w:pPr>
            <w:r w:rsidRPr="008F022B">
              <w:rPr>
                <w:rFonts w:cs="Times New Roman"/>
                <w:color w:val="000000"/>
                <w:sz w:val="22"/>
              </w:rPr>
              <w:t xml:space="preserve">Petróleo. Gás e </w:t>
            </w:r>
            <w:proofErr w:type="spellStart"/>
            <w:r w:rsidRPr="008F022B">
              <w:rPr>
                <w:rFonts w:cs="Times New Roman"/>
                <w:color w:val="000000"/>
                <w:sz w:val="22"/>
              </w:rPr>
              <w:t>Biocomb</w:t>
            </w:r>
            <w:proofErr w:type="spellEnd"/>
            <w:r>
              <w:rPr>
                <w:rFonts w:cs="Times New Roman"/>
                <w:color w:val="000000"/>
                <w:sz w:val="22"/>
              </w:rPr>
              <w:t>.</w:t>
            </w:r>
          </w:p>
        </w:tc>
        <w:tc>
          <w:tcPr>
            <w:tcW w:w="1247" w:type="dxa"/>
            <w:tcBorders>
              <w:top w:val="nil"/>
              <w:left w:val="nil"/>
              <w:bottom w:val="nil"/>
              <w:right w:val="nil"/>
            </w:tcBorders>
            <w:vAlign w:val="center"/>
          </w:tcPr>
          <w:p w14:paraId="600A2771" w14:textId="6232D448" w:rsidR="009765A2" w:rsidRPr="008F022B" w:rsidRDefault="009765A2" w:rsidP="009765A2">
            <w:pPr>
              <w:jc w:val="center"/>
              <w:rPr>
                <w:rFonts w:cs="Times New Roman"/>
                <w:color w:val="000000"/>
                <w:sz w:val="22"/>
              </w:rPr>
            </w:pPr>
            <w:r w:rsidRPr="008F022B">
              <w:rPr>
                <w:rFonts w:cs="Times New Roman"/>
                <w:sz w:val="22"/>
              </w:rPr>
              <w:t>68%</w:t>
            </w:r>
          </w:p>
        </w:tc>
        <w:tc>
          <w:tcPr>
            <w:tcW w:w="938" w:type="dxa"/>
            <w:vAlign w:val="center"/>
          </w:tcPr>
          <w:p w14:paraId="794866D8" w14:textId="5306BBA0" w:rsidR="009765A2" w:rsidRPr="008F022B" w:rsidRDefault="009765A2" w:rsidP="009765A2">
            <w:pPr>
              <w:tabs>
                <w:tab w:val="clear" w:pos="851"/>
              </w:tabs>
              <w:spacing w:line="240" w:lineRule="auto"/>
              <w:jc w:val="center"/>
              <w:rPr>
                <w:sz w:val="22"/>
              </w:rPr>
            </w:pPr>
            <w:r w:rsidRPr="008F022B">
              <w:rPr>
                <w:rFonts w:cs="Times New Roman"/>
                <w:color w:val="000000"/>
                <w:sz w:val="22"/>
              </w:rPr>
              <w:t>25%</w:t>
            </w:r>
          </w:p>
        </w:tc>
      </w:tr>
      <w:tr w:rsidR="009765A2" w:rsidRPr="008F022B" w14:paraId="50638626" w14:textId="22571658" w:rsidTr="009765A2">
        <w:trPr>
          <w:trHeight w:val="429"/>
        </w:trPr>
        <w:tc>
          <w:tcPr>
            <w:tcW w:w="2381" w:type="dxa"/>
            <w:vAlign w:val="center"/>
          </w:tcPr>
          <w:p w14:paraId="65112DD7" w14:textId="17A7C971" w:rsidR="009765A2" w:rsidRPr="008F022B" w:rsidRDefault="009765A2" w:rsidP="009765A2">
            <w:pPr>
              <w:jc w:val="left"/>
              <w:rPr>
                <w:rFonts w:cs="Times New Roman"/>
                <w:color w:val="000000"/>
                <w:sz w:val="22"/>
              </w:rPr>
            </w:pPr>
            <w:r w:rsidRPr="008F022B">
              <w:rPr>
                <w:rFonts w:cs="Times New Roman"/>
                <w:color w:val="000000"/>
                <w:sz w:val="22"/>
              </w:rPr>
              <w:t xml:space="preserve">Automóveis e </w:t>
            </w:r>
            <w:proofErr w:type="spellStart"/>
            <w:r w:rsidRPr="008F022B">
              <w:rPr>
                <w:rFonts w:cs="Times New Roman"/>
                <w:color w:val="000000"/>
                <w:sz w:val="22"/>
              </w:rPr>
              <w:t>Motoc</w:t>
            </w:r>
            <w:r>
              <w:rPr>
                <w:rFonts w:cs="Times New Roman"/>
                <w:color w:val="000000"/>
                <w:sz w:val="22"/>
              </w:rPr>
              <w:t>ic</w:t>
            </w:r>
            <w:proofErr w:type="spellEnd"/>
            <w:r>
              <w:rPr>
                <w:rFonts w:cs="Times New Roman"/>
                <w:color w:val="000000"/>
                <w:sz w:val="22"/>
              </w:rPr>
              <w:t>.</w:t>
            </w:r>
          </w:p>
        </w:tc>
        <w:tc>
          <w:tcPr>
            <w:tcW w:w="1247" w:type="dxa"/>
            <w:vAlign w:val="center"/>
          </w:tcPr>
          <w:p w14:paraId="5F186CD1" w14:textId="77777777" w:rsidR="009765A2" w:rsidRPr="008F022B" w:rsidRDefault="009765A2" w:rsidP="009765A2">
            <w:pPr>
              <w:jc w:val="center"/>
              <w:rPr>
                <w:rFonts w:cs="Times New Roman"/>
                <w:sz w:val="22"/>
              </w:rPr>
            </w:pPr>
            <w:r w:rsidRPr="008F022B">
              <w:rPr>
                <w:rFonts w:cs="Times New Roman"/>
                <w:sz w:val="22"/>
              </w:rPr>
              <w:t>39%</w:t>
            </w:r>
          </w:p>
        </w:tc>
        <w:tc>
          <w:tcPr>
            <w:tcW w:w="1239" w:type="dxa"/>
            <w:tcBorders>
              <w:top w:val="nil"/>
              <w:left w:val="nil"/>
              <w:bottom w:val="nil"/>
              <w:right w:val="nil"/>
            </w:tcBorders>
            <w:shd w:val="clear" w:color="auto" w:fill="auto"/>
            <w:vAlign w:val="center"/>
          </w:tcPr>
          <w:p w14:paraId="4713745A" w14:textId="77777777" w:rsidR="009765A2" w:rsidRPr="008F022B" w:rsidRDefault="009765A2" w:rsidP="009765A2">
            <w:pPr>
              <w:jc w:val="center"/>
              <w:rPr>
                <w:rFonts w:cs="Times New Roman"/>
                <w:sz w:val="22"/>
              </w:rPr>
            </w:pPr>
            <w:r w:rsidRPr="008F022B">
              <w:rPr>
                <w:rFonts w:cs="Times New Roman"/>
                <w:color w:val="000000"/>
                <w:sz w:val="22"/>
              </w:rPr>
              <w:t>37%</w:t>
            </w:r>
          </w:p>
        </w:tc>
        <w:tc>
          <w:tcPr>
            <w:tcW w:w="2551" w:type="dxa"/>
            <w:tcBorders>
              <w:top w:val="nil"/>
              <w:left w:val="nil"/>
              <w:bottom w:val="nil"/>
              <w:right w:val="nil"/>
            </w:tcBorders>
            <w:vAlign w:val="center"/>
          </w:tcPr>
          <w:p w14:paraId="217DB727" w14:textId="4458D16D" w:rsidR="009765A2" w:rsidRPr="008F022B" w:rsidRDefault="009765A2" w:rsidP="009765A2">
            <w:pPr>
              <w:jc w:val="left"/>
              <w:rPr>
                <w:rFonts w:cs="Times New Roman"/>
                <w:color w:val="000000"/>
                <w:sz w:val="22"/>
              </w:rPr>
            </w:pPr>
            <w:r w:rsidRPr="008F022B">
              <w:rPr>
                <w:rFonts w:cs="Times New Roman"/>
                <w:color w:val="000000"/>
                <w:sz w:val="22"/>
              </w:rPr>
              <w:t>Previdência e Seguros</w:t>
            </w:r>
          </w:p>
        </w:tc>
        <w:tc>
          <w:tcPr>
            <w:tcW w:w="1247" w:type="dxa"/>
            <w:tcBorders>
              <w:top w:val="nil"/>
              <w:left w:val="nil"/>
              <w:bottom w:val="nil"/>
              <w:right w:val="nil"/>
            </w:tcBorders>
            <w:vAlign w:val="center"/>
          </w:tcPr>
          <w:p w14:paraId="471C0A26" w14:textId="1E671672" w:rsidR="009765A2" w:rsidRPr="008F022B" w:rsidRDefault="009765A2" w:rsidP="009765A2">
            <w:pPr>
              <w:jc w:val="center"/>
              <w:rPr>
                <w:rFonts w:cs="Times New Roman"/>
                <w:color w:val="000000"/>
                <w:sz w:val="22"/>
              </w:rPr>
            </w:pPr>
            <w:r w:rsidRPr="008F022B">
              <w:rPr>
                <w:rFonts w:cs="Times New Roman"/>
                <w:sz w:val="22"/>
              </w:rPr>
              <w:t>58%</w:t>
            </w:r>
          </w:p>
        </w:tc>
        <w:tc>
          <w:tcPr>
            <w:tcW w:w="938" w:type="dxa"/>
            <w:vAlign w:val="center"/>
          </w:tcPr>
          <w:p w14:paraId="7E9C7C40" w14:textId="73D4D0B4" w:rsidR="009765A2" w:rsidRPr="008F022B" w:rsidRDefault="009765A2" w:rsidP="009765A2">
            <w:pPr>
              <w:tabs>
                <w:tab w:val="clear" w:pos="851"/>
              </w:tabs>
              <w:spacing w:line="240" w:lineRule="auto"/>
              <w:jc w:val="center"/>
              <w:rPr>
                <w:sz w:val="22"/>
              </w:rPr>
            </w:pPr>
            <w:r w:rsidRPr="008F022B">
              <w:rPr>
                <w:rFonts w:cs="Times New Roman"/>
                <w:color w:val="000000"/>
                <w:sz w:val="22"/>
              </w:rPr>
              <w:t>33%</w:t>
            </w:r>
          </w:p>
        </w:tc>
      </w:tr>
      <w:tr w:rsidR="009765A2" w:rsidRPr="008F022B" w14:paraId="38DADDBE" w14:textId="6A62D1BB" w:rsidTr="009765A2">
        <w:trPr>
          <w:trHeight w:val="429"/>
        </w:trPr>
        <w:tc>
          <w:tcPr>
            <w:tcW w:w="2381" w:type="dxa"/>
            <w:vAlign w:val="center"/>
          </w:tcPr>
          <w:p w14:paraId="151E3766" w14:textId="77777777" w:rsidR="009765A2" w:rsidRPr="008F022B" w:rsidRDefault="009765A2" w:rsidP="009765A2">
            <w:pPr>
              <w:jc w:val="left"/>
              <w:rPr>
                <w:rFonts w:cs="Times New Roman"/>
                <w:color w:val="000000"/>
                <w:sz w:val="22"/>
              </w:rPr>
            </w:pPr>
            <w:r w:rsidRPr="008F022B">
              <w:rPr>
                <w:rFonts w:cs="Times New Roman"/>
                <w:color w:val="000000"/>
                <w:sz w:val="22"/>
              </w:rPr>
              <w:t>Construção Civil</w:t>
            </w:r>
          </w:p>
        </w:tc>
        <w:tc>
          <w:tcPr>
            <w:tcW w:w="1247" w:type="dxa"/>
            <w:vAlign w:val="center"/>
          </w:tcPr>
          <w:p w14:paraId="4340047E" w14:textId="77777777" w:rsidR="009765A2" w:rsidRPr="008F022B" w:rsidRDefault="009765A2" w:rsidP="009765A2">
            <w:pPr>
              <w:jc w:val="center"/>
              <w:rPr>
                <w:rFonts w:cs="Times New Roman"/>
                <w:sz w:val="22"/>
              </w:rPr>
            </w:pPr>
            <w:r w:rsidRPr="008F022B">
              <w:rPr>
                <w:rFonts w:cs="Times New Roman"/>
                <w:sz w:val="22"/>
              </w:rPr>
              <w:t>35%</w:t>
            </w:r>
          </w:p>
        </w:tc>
        <w:tc>
          <w:tcPr>
            <w:tcW w:w="1239" w:type="dxa"/>
            <w:tcBorders>
              <w:top w:val="nil"/>
              <w:left w:val="nil"/>
              <w:bottom w:val="nil"/>
              <w:right w:val="nil"/>
            </w:tcBorders>
            <w:shd w:val="clear" w:color="auto" w:fill="auto"/>
            <w:vAlign w:val="center"/>
          </w:tcPr>
          <w:p w14:paraId="09F937B5" w14:textId="77777777" w:rsidR="009765A2" w:rsidRPr="008F022B" w:rsidRDefault="009765A2" w:rsidP="009765A2">
            <w:pPr>
              <w:jc w:val="center"/>
              <w:rPr>
                <w:rFonts w:cs="Times New Roman"/>
                <w:sz w:val="22"/>
              </w:rPr>
            </w:pPr>
            <w:r w:rsidRPr="008F022B">
              <w:rPr>
                <w:rFonts w:cs="Times New Roman"/>
                <w:color w:val="000000"/>
                <w:sz w:val="22"/>
              </w:rPr>
              <w:t>25%</w:t>
            </w:r>
          </w:p>
        </w:tc>
        <w:tc>
          <w:tcPr>
            <w:tcW w:w="2551" w:type="dxa"/>
            <w:tcBorders>
              <w:top w:val="nil"/>
              <w:left w:val="nil"/>
              <w:bottom w:val="nil"/>
              <w:right w:val="nil"/>
            </w:tcBorders>
            <w:vAlign w:val="center"/>
          </w:tcPr>
          <w:p w14:paraId="6C54922B" w14:textId="4657798F" w:rsidR="009765A2" w:rsidRPr="008F022B" w:rsidRDefault="009765A2" w:rsidP="009765A2">
            <w:pPr>
              <w:jc w:val="left"/>
              <w:rPr>
                <w:rFonts w:cs="Times New Roman"/>
                <w:color w:val="000000"/>
                <w:sz w:val="22"/>
              </w:rPr>
            </w:pPr>
            <w:r w:rsidRPr="008F022B">
              <w:rPr>
                <w:rFonts w:cs="Times New Roman"/>
                <w:color w:val="000000"/>
                <w:sz w:val="22"/>
              </w:rPr>
              <w:t>Químicos</w:t>
            </w:r>
          </w:p>
        </w:tc>
        <w:tc>
          <w:tcPr>
            <w:tcW w:w="1247" w:type="dxa"/>
            <w:tcBorders>
              <w:top w:val="nil"/>
              <w:left w:val="nil"/>
              <w:bottom w:val="nil"/>
              <w:right w:val="nil"/>
            </w:tcBorders>
            <w:vAlign w:val="center"/>
          </w:tcPr>
          <w:p w14:paraId="7458A291" w14:textId="24DF39A5" w:rsidR="009765A2" w:rsidRPr="008F022B" w:rsidRDefault="009765A2" w:rsidP="009765A2">
            <w:pPr>
              <w:jc w:val="center"/>
              <w:rPr>
                <w:rFonts w:cs="Times New Roman"/>
                <w:color w:val="000000"/>
                <w:sz w:val="22"/>
              </w:rPr>
            </w:pPr>
            <w:r w:rsidRPr="008F022B">
              <w:rPr>
                <w:rFonts w:cs="Times New Roman"/>
                <w:sz w:val="22"/>
              </w:rPr>
              <w:t>76%</w:t>
            </w:r>
          </w:p>
        </w:tc>
        <w:tc>
          <w:tcPr>
            <w:tcW w:w="938" w:type="dxa"/>
            <w:vAlign w:val="center"/>
          </w:tcPr>
          <w:p w14:paraId="59A46658" w14:textId="22B3287D" w:rsidR="009765A2" w:rsidRPr="008F022B" w:rsidRDefault="009765A2" w:rsidP="009765A2">
            <w:pPr>
              <w:tabs>
                <w:tab w:val="clear" w:pos="851"/>
              </w:tabs>
              <w:spacing w:line="240" w:lineRule="auto"/>
              <w:jc w:val="center"/>
              <w:rPr>
                <w:sz w:val="22"/>
              </w:rPr>
            </w:pPr>
            <w:r w:rsidRPr="008F022B">
              <w:rPr>
                <w:rFonts w:cs="Times New Roman"/>
                <w:color w:val="000000"/>
                <w:sz w:val="22"/>
              </w:rPr>
              <w:t>25%</w:t>
            </w:r>
          </w:p>
        </w:tc>
      </w:tr>
      <w:tr w:rsidR="009765A2" w:rsidRPr="008F022B" w14:paraId="5CDE8F3F" w14:textId="642D5CB3" w:rsidTr="009765A2">
        <w:trPr>
          <w:trHeight w:val="429"/>
        </w:trPr>
        <w:tc>
          <w:tcPr>
            <w:tcW w:w="2381" w:type="dxa"/>
            <w:vAlign w:val="center"/>
          </w:tcPr>
          <w:p w14:paraId="3F798456" w14:textId="77777777" w:rsidR="009765A2" w:rsidRPr="008F022B" w:rsidRDefault="009765A2" w:rsidP="009765A2">
            <w:pPr>
              <w:jc w:val="left"/>
              <w:rPr>
                <w:rFonts w:cs="Times New Roman"/>
                <w:color w:val="000000"/>
                <w:sz w:val="22"/>
              </w:rPr>
            </w:pPr>
            <w:r w:rsidRPr="008F022B">
              <w:rPr>
                <w:rFonts w:cs="Times New Roman"/>
                <w:color w:val="000000"/>
                <w:sz w:val="22"/>
              </w:rPr>
              <w:t>Energia Elétrica</w:t>
            </w:r>
          </w:p>
        </w:tc>
        <w:tc>
          <w:tcPr>
            <w:tcW w:w="1247" w:type="dxa"/>
            <w:vAlign w:val="center"/>
          </w:tcPr>
          <w:p w14:paraId="33D6A791" w14:textId="77777777" w:rsidR="009765A2" w:rsidRPr="008F022B" w:rsidRDefault="009765A2" w:rsidP="009765A2">
            <w:pPr>
              <w:jc w:val="center"/>
              <w:rPr>
                <w:rFonts w:cs="Times New Roman"/>
                <w:sz w:val="22"/>
              </w:rPr>
            </w:pPr>
            <w:r w:rsidRPr="008F022B">
              <w:rPr>
                <w:rFonts w:cs="Times New Roman"/>
                <w:sz w:val="22"/>
              </w:rPr>
              <w:t>68%</w:t>
            </w:r>
          </w:p>
        </w:tc>
        <w:tc>
          <w:tcPr>
            <w:tcW w:w="1239" w:type="dxa"/>
            <w:tcBorders>
              <w:top w:val="nil"/>
              <w:left w:val="nil"/>
              <w:bottom w:val="nil"/>
              <w:right w:val="nil"/>
            </w:tcBorders>
            <w:shd w:val="clear" w:color="auto" w:fill="auto"/>
            <w:vAlign w:val="center"/>
          </w:tcPr>
          <w:p w14:paraId="4CE734BA" w14:textId="77777777" w:rsidR="009765A2" w:rsidRPr="008F022B" w:rsidRDefault="009765A2" w:rsidP="009765A2">
            <w:pPr>
              <w:jc w:val="center"/>
              <w:rPr>
                <w:rFonts w:cs="Times New Roman"/>
                <w:sz w:val="22"/>
              </w:rPr>
            </w:pPr>
            <w:r w:rsidRPr="008F022B">
              <w:rPr>
                <w:rFonts w:cs="Times New Roman"/>
                <w:color w:val="000000"/>
                <w:sz w:val="22"/>
              </w:rPr>
              <w:t>33%</w:t>
            </w:r>
          </w:p>
        </w:tc>
        <w:tc>
          <w:tcPr>
            <w:tcW w:w="2551" w:type="dxa"/>
            <w:tcBorders>
              <w:top w:val="nil"/>
              <w:left w:val="nil"/>
              <w:bottom w:val="nil"/>
              <w:right w:val="nil"/>
            </w:tcBorders>
            <w:vAlign w:val="center"/>
          </w:tcPr>
          <w:p w14:paraId="350556B2" w14:textId="517D8C93" w:rsidR="009765A2" w:rsidRPr="008F022B" w:rsidRDefault="009765A2" w:rsidP="009765A2">
            <w:pPr>
              <w:jc w:val="left"/>
              <w:rPr>
                <w:rFonts w:cs="Times New Roman"/>
                <w:color w:val="000000"/>
                <w:sz w:val="22"/>
              </w:rPr>
            </w:pPr>
            <w:r w:rsidRPr="008F022B">
              <w:rPr>
                <w:rFonts w:cs="Times New Roman"/>
                <w:color w:val="000000"/>
                <w:sz w:val="22"/>
              </w:rPr>
              <w:t>Serv</w:t>
            </w:r>
            <w:r>
              <w:rPr>
                <w:rFonts w:cs="Times New Roman"/>
                <w:color w:val="000000"/>
                <w:sz w:val="22"/>
              </w:rPr>
              <w:t>.</w:t>
            </w:r>
            <w:r w:rsidRPr="008F022B">
              <w:rPr>
                <w:rFonts w:cs="Times New Roman"/>
                <w:color w:val="000000"/>
                <w:sz w:val="22"/>
              </w:rPr>
              <w:t xml:space="preserve"> </w:t>
            </w:r>
            <w:proofErr w:type="spellStart"/>
            <w:r w:rsidRPr="008F022B">
              <w:rPr>
                <w:rFonts w:cs="Times New Roman"/>
                <w:color w:val="000000"/>
                <w:sz w:val="22"/>
              </w:rPr>
              <w:t>Finan</w:t>
            </w:r>
            <w:r>
              <w:rPr>
                <w:rFonts w:cs="Times New Roman"/>
                <w:color w:val="000000"/>
                <w:sz w:val="22"/>
              </w:rPr>
              <w:t>c</w:t>
            </w:r>
            <w:proofErr w:type="spellEnd"/>
            <w:r>
              <w:rPr>
                <w:rFonts w:cs="Times New Roman"/>
                <w:color w:val="000000"/>
                <w:sz w:val="22"/>
              </w:rPr>
              <w:t xml:space="preserve">. </w:t>
            </w:r>
            <w:r w:rsidRPr="008F022B">
              <w:rPr>
                <w:rFonts w:cs="Times New Roman"/>
                <w:color w:val="000000"/>
                <w:sz w:val="22"/>
              </w:rPr>
              <w:t>Diversos</w:t>
            </w:r>
          </w:p>
        </w:tc>
        <w:tc>
          <w:tcPr>
            <w:tcW w:w="1247" w:type="dxa"/>
            <w:tcBorders>
              <w:top w:val="nil"/>
              <w:left w:val="nil"/>
              <w:bottom w:val="nil"/>
              <w:right w:val="nil"/>
            </w:tcBorders>
            <w:vAlign w:val="center"/>
          </w:tcPr>
          <w:p w14:paraId="705EA3DD" w14:textId="7E001307" w:rsidR="009765A2" w:rsidRPr="008F022B" w:rsidRDefault="009765A2" w:rsidP="009765A2">
            <w:pPr>
              <w:jc w:val="center"/>
              <w:rPr>
                <w:rFonts w:cs="Times New Roman"/>
                <w:color w:val="000000"/>
                <w:sz w:val="22"/>
              </w:rPr>
            </w:pPr>
            <w:r w:rsidRPr="008F022B">
              <w:rPr>
                <w:rFonts w:cs="Times New Roman"/>
                <w:sz w:val="22"/>
              </w:rPr>
              <w:t>83%</w:t>
            </w:r>
          </w:p>
        </w:tc>
        <w:tc>
          <w:tcPr>
            <w:tcW w:w="938" w:type="dxa"/>
            <w:vAlign w:val="center"/>
          </w:tcPr>
          <w:p w14:paraId="74482900" w14:textId="63E6E01D" w:rsidR="009765A2" w:rsidRPr="008F022B" w:rsidRDefault="009765A2" w:rsidP="009765A2">
            <w:pPr>
              <w:tabs>
                <w:tab w:val="clear" w:pos="851"/>
              </w:tabs>
              <w:spacing w:line="240" w:lineRule="auto"/>
              <w:jc w:val="center"/>
              <w:rPr>
                <w:sz w:val="22"/>
              </w:rPr>
            </w:pPr>
            <w:r w:rsidRPr="008F022B">
              <w:rPr>
                <w:rFonts w:cs="Times New Roman"/>
                <w:color w:val="000000"/>
                <w:sz w:val="22"/>
              </w:rPr>
              <w:t>25%</w:t>
            </w:r>
          </w:p>
        </w:tc>
      </w:tr>
      <w:tr w:rsidR="009765A2" w:rsidRPr="008F022B" w14:paraId="58490FAE" w14:textId="6E5F756E" w:rsidTr="009765A2">
        <w:trPr>
          <w:trHeight w:val="429"/>
        </w:trPr>
        <w:tc>
          <w:tcPr>
            <w:tcW w:w="2381" w:type="dxa"/>
            <w:vAlign w:val="center"/>
          </w:tcPr>
          <w:p w14:paraId="612A4F42" w14:textId="77777777" w:rsidR="009765A2" w:rsidRPr="008F022B" w:rsidRDefault="009765A2" w:rsidP="009765A2">
            <w:pPr>
              <w:jc w:val="left"/>
              <w:rPr>
                <w:rFonts w:cs="Times New Roman"/>
                <w:color w:val="000000"/>
                <w:sz w:val="22"/>
              </w:rPr>
            </w:pPr>
            <w:r w:rsidRPr="008F022B">
              <w:rPr>
                <w:rFonts w:cs="Times New Roman"/>
                <w:color w:val="000000"/>
                <w:sz w:val="22"/>
              </w:rPr>
              <w:t>Exploração de Imóveis</w:t>
            </w:r>
          </w:p>
        </w:tc>
        <w:tc>
          <w:tcPr>
            <w:tcW w:w="1247" w:type="dxa"/>
            <w:vAlign w:val="center"/>
          </w:tcPr>
          <w:p w14:paraId="2F2F7BFB" w14:textId="77777777" w:rsidR="009765A2" w:rsidRPr="008F022B" w:rsidRDefault="009765A2" w:rsidP="009765A2">
            <w:pPr>
              <w:jc w:val="center"/>
              <w:rPr>
                <w:rFonts w:cs="Times New Roman"/>
                <w:sz w:val="22"/>
              </w:rPr>
            </w:pPr>
            <w:r w:rsidRPr="008F022B">
              <w:rPr>
                <w:rFonts w:cs="Times New Roman"/>
                <w:sz w:val="22"/>
              </w:rPr>
              <w:t>102%</w:t>
            </w:r>
          </w:p>
        </w:tc>
        <w:tc>
          <w:tcPr>
            <w:tcW w:w="1239" w:type="dxa"/>
            <w:tcBorders>
              <w:top w:val="nil"/>
              <w:left w:val="nil"/>
              <w:bottom w:val="nil"/>
              <w:right w:val="nil"/>
            </w:tcBorders>
            <w:shd w:val="clear" w:color="auto" w:fill="auto"/>
            <w:vAlign w:val="center"/>
          </w:tcPr>
          <w:p w14:paraId="4BB42054" w14:textId="77777777" w:rsidR="009765A2" w:rsidRPr="008F022B" w:rsidRDefault="009765A2" w:rsidP="009765A2">
            <w:pPr>
              <w:jc w:val="center"/>
              <w:rPr>
                <w:rFonts w:cs="Times New Roman"/>
                <w:sz w:val="22"/>
              </w:rPr>
            </w:pPr>
            <w:r w:rsidRPr="008F022B">
              <w:rPr>
                <w:rFonts w:cs="Times New Roman"/>
                <w:color w:val="000000"/>
                <w:sz w:val="22"/>
              </w:rPr>
              <w:t>25%</w:t>
            </w:r>
          </w:p>
        </w:tc>
        <w:tc>
          <w:tcPr>
            <w:tcW w:w="2551" w:type="dxa"/>
            <w:tcBorders>
              <w:top w:val="nil"/>
              <w:left w:val="nil"/>
              <w:bottom w:val="nil"/>
              <w:right w:val="nil"/>
            </w:tcBorders>
            <w:vAlign w:val="center"/>
          </w:tcPr>
          <w:p w14:paraId="0F2C9E24" w14:textId="2B309A05" w:rsidR="009765A2" w:rsidRPr="008F022B" w:rsidRDefault="009765A2" w:rsidP="009765A2">
            <w:pPr>
              <w:jc w:val="left"/>
              <w:rPr>
                <w:rFonts w:cs="Times New Roman"/>
                <w:color w:val="000000"/>
                <w:sz w:val="22"/>
              </w:rPr>
            </w:pPr>
            <w:r w:rsidRPr="008F022B">
              <w:rPr>
                <w:rFonts w:cs="Times New Roman"/>
                <w:color w:val="000000"/>
                <w:sz w:val="22"/>
              </w:rPr>
              <w:t>Siderurgia e Metalurgia</w:t>
            </w:r>
          </w:p>
        </w:tc>
        <w:tc>
          <w:tcPr>
            <w:tcW w:w="1247" w:type="dxa"/>
            <w:tcBorders>
              <w:top w:val="nil"/>
              <w:left w:val="nil"/>
              <w:bottom w:val="nil"/>
              <w:right w:val="nil"/>
            </w:tcBorders>
            <w:vAlign w:val="center"/>
          </w:tcPr>
          <w:p w14:paraId="271C50E3" w14:textId="0291715C" w:rsidR="009765A2" w:rsidRPr="008F022B" w:rsidRDefault="009765A2" w:rsidP="009765A2">
            <w:pPr>
              <w:jc w:val="center"/>
              <w:rPr>
                <w:rFonts w:cs="Times New Roman"/>
                <w:color w:val="000000"/>
                <w:sz w:val="22"/>
              </w:rPr>
            </w:pPr>
            <w:r w:rsidRPr="008F022B">
              <w:rPr>
                <w:rFonts w:cs="Times New Roman"/>
                <w:sz w:val="22"/>
              </w:rPr>
              <w:t>29%</w:t>
            </w:r>
          </w:p>
        </w:tc>
        <w:tc>
          <w:tcPr>
            <w:tcW w:w="938" w:type="dxa"/>
            <w:vAlign w:val="center"/>
          </w:tcPr>
          <w:p w14:paraId="264CF82C" w14:textId="20B68B19" w:rsidR="009765A2" w:rsidRPr="008F022B" w:rsidRDefault="009765A2" w:rsidP="009765A2">
            <w:pPr>
              <w:tabs>
                <w:tab w:val="clear" w:pos="851"/>
              </w:tabs>
              <w:spacing w:line="240" w:lineRule="auto"/>
              <w:jc w:val="center"/>
              <w:rPr>
                <w:sz w:val="22"/>
              </w:rPr>
            </w:pPr>
            <w:r w:rsidRPr="008F022B">
              <w:rPr>
                <w:rFonts w:cs="Times New Roman"/>
                <w:color w:val="000000"/>
                <w:sz w:val="22"/>
              </w:rPr>
              <w:t>26%</w:t>
            </w:r>
          </w:p>
        </w:tc>
      </w:tr>
      <w:tr w:rsidR="009765A2" w:rsidRPr="008F022B" w14:paraId="1EC7B3AC" w14:textId="68876E79" w:rsidTr="009765A2">
        <w:trPr>
          <w:trHeight w:val="429"/>
        </w:trPr>
        <w:tc>
          <w:tcPr>
            <w:tcW w:w="2381" w:type="dxa"/>
            <w:vAlign w:val="center"/>
          </w:tcPr>
          <w:p w14:paraId="05EB65E6" w14:textId="001D8B7C" w:rsidR="009765A2" w:rsidRPr="008F022B" w:rsidRDefault="009765A2" w:rsidP="009765A2">
            <w:pPr>
              <w:jc w:val="left"/>
              <w:rPr>
                <w:rFonts w:cs="Times New Roman"/>
                <w:color w:val="000000"/>
                <w:sz w:val="22"/>
              </w:rPr>
            </w:pPr>
            <w:proofErr w:type="spellStart"/>
            <w:r w:rsidRPr="008F022B">
              <w:rPr>
                <w:rFonts w:cs="Times New Roman"/>
                <w:color w:val="000000"/>
                <w:sz w:val="22"/>
              </w:rPr>
              <w:t>Intermed</w:t>
            </w:r>
            <w:proofErr w:type="spellEnd"/>
            <w:r>
              <w:rPr>
                <w:rFonts w:cs="Times New Roman"/>
                <w:color w:val="000000"/>
                <w:sz w:val="22"/>
              </w:rPr>
              <w:t xml:space="preserve">. </w:t>
            </w:r>
            <w:r w:rsidRPr="008F022B">
              <w:rPr>
                <w:rFonts w:cs="Times New Roman"/>
                <w:color w:val="000000"/>
                <w:sz w:val="22"/>
              </w:rPr>
              <w:t>Financeiros</w:t>
            </w:r>
          </w:p>
        </w:tc>
        <w:tc>
          <w:tcPr>
            <w:tcW w:w="1247" w:type="dxa"/>
            <w:vAlign w:val="center"/>
          </w:tcPr>
          <w:p w14:paraId="32B0DA4F" w14:textId="77777777" w:rsidR="009765A2" w:rsidRPr="008F022B" w:rsidRDefault="009765A2" w:rsidP="009765A2">
            <w:pPr>
              <w:jc w:val="center"/>
              <w:rPr>
                <w:rFonts w:cs="Times New Roman"/>
                <w:sz w:val="22"/>
              </w:rPr>
            </w:pPr>
            <w:r w:rsidRPr="008F022B">
              <w:rPr>
                <w:rFonts w:cs="Times New Roman"/>
                <w:sz w:val="22"/>
              </w:rPr>
              <w:t>37%</w:t>
            </w:r>
          </w:p>
        </w:tc>
        <w:tc>
          <w:tcPr>
            <w:tcW w:w="1239" w:type="dxa"/>
            <w:tcBorders>
              <w:top w:val="nil"/>
              <w:left w:val="nil"/>
              <w:bottom w:val="nil"/>
              <w:right w:val="nil"/>
            </w:tcBorders>
            <w:shd w:val="clear" w:color="auto" w:fill="auto"/>
            <w:vAlign w:val="center"/>
          </w:tcPr>
          <w:p w14:paraId="45B3D38D" w14:textId="77777777" w:rsidR="009765A2" w:rsidRPr="008F022B" w:rsidRDefault="009765A2" w:rsidP="009765A2">
            <w:pPr>
              <w:jc w:val="center"/>
              <w:rPr>
                <w:rFonts w:cs="Times New Roman"/>
                <w:sz w:val="22"/>
              </w:rPr>
            </w:pPr>
            <w:r w:rsidRPr="008F022B">
              <w:rPr>
                <w:rFonts w:cs="Times New Roman"/>
                <w:color w:val="000000"/>
                <w:sz w:val="22"/>
              </w:rPr>
              <w:t>26%</w:t>
            </w:r>
          </w:p>
        </w:tc>
        <w:tc>
          <w:tcPr>
            <w:tcW w:w="2551" w:type="dxa"/>
            <w:tcBorders>
              <w:top w:val="nil"/>
              <w:left w:val="nil"/>
              <w:bottom w:val="nil"/>
              <w:right w:val="nil"/>
            </w:tcBorders>
            <w:vAlign w:val="center"/>
          </w:tcPr>
          <w:p w14:paraId="78A7E399" w14:textId="5886D83C" w:rsidR="009765A2" w:rsidRPr="008F022B" w:rsidRDefault="009765A2" w:rsidP="009765A2">
            <w:pPr>
              <w:jc w:val="left"/>
              <w:rPr>
                <w:rFonts w:cs="Times New Roman"/>
                <w:color w:val="000000"/>
                <w:sz w:val="22"/>
              </w:rPr>
            </w:pPr>
            <w:r w:rsidRPr="008F022B">
              <w:rPr>
                <w:rFonts w:cs="Times New Roman"/>
                <w:color w:val="000000"/>
                <w:sz w:val="22"/>
              </w:rPr>
              <w:t>Tecidos, Vest</w:t>
            </w:r>
            <w:r>
              <w:rPr>
                <w:rFonts w:cs="Times New Roman"/>
                <w:color w:val="000000"/>
                <w:sz w:val="22"/>
              </w:rPr>
              <w:t>.,</w:t>
            </w:r>
            <w:r w:rsidRPr="008F022B">
              <w:rPr>
                <w:rFonts w:cs="Times New Roman"/>
                <w:color w:val="000000"/>
                <w:sz w:val="22"/>
              </w:rPr>
              <w:t xml:space="preserve"> Cal</w:t>
            </w:r>
            <w:r>
              <w:rPr>
                <w:rFonts w:cs="Times New Roman"/>
                <w:color w:val="000000"/>
                <w:sz w:val="22"/>
              </w:rPr>
              <w:t>çados</w:t>
            </w:r>
          </w:p>
        </w:tc>
        <w:tc>
          <w:tcPr>
            <w:tcW w:w="1247" w:type="dxa"/>
            <w:tcBorders>
              <w:top w:val="nil"/>
              <w:left w:val="nil"/>
              <w:bottom w:val="nil"/>
              <w:right w:val="nil"/>
            </w:tcBorders>
            <w:vAlign w:val="center"/>
          </w:tcPr>
          <w:p w14:paraId="7D2DB105" w14:textId="0DF655B7" w:rsidR="009765A2" w:rsidRPr="008F022B" w:rsidRDefault="009765A2" w:rsidP="009765A2">
            <w:pPr>
              <w:jc w:val="center"/>
              <w:rPr>
                <w:rFonts w:cs="Times New Roman"/>
                <w:color w:val="000000"/>
                <w:sz w:val="22"/>
              </w:rPr>
            </w:pPr>
            <w:r w:rsidRPr="008F022B">
              <w:rPr>
                <w:rFonts w:cs="Times New Roman"/>
                <w:sz w:val="22"/>
              </w:rPr>
              <w:t>105%</w:t>
            </w:r>
          </w:p>
        </w:tc>
        <w:tc>
          <w:tcPr>
            <w:tcW w:w="938" w:type="dxa"/>
            <w:vAlign w:val="center"/>
          </w:tcPr>
          <w:p w14:paraId="61419B9D" w14:textId="3E4318A2" w:rsidR="009765A2" w:rsidRPr="008F022B" w:rsidRDefault="009765A2" w:rsidP="009765A2">
            <w:pPr>
              <w:tabs>
                <w:tab w:val="clear" w:pos="851"/>
              </w:tabs>
              <w:spacing w:line="240" w:lineRule="auto"/>
              <w:jc w:val="center"/>
              <w:rPr>
                <w:sz w:val="22"/>
              </w:rPr>
            </w:pPr>
            <w:r w:rsidRPr="008F022B">
              <w:rPr>
                <w:rFonts w:cs="Times New Roman"/>
                <w:color w:val="000000"/>
                <w:sz w:val="22"/>
              </w:rPr>
              <w:t>25%</w:t>
            </w:r>
          </w:p>
        </w:tc>
      </w:tr>
      <w:tr w:rsidR="009765A2" w:rsidRPr="008F022B" w14:paraId="7329C179" w14:textId="7C50FF55" w:rsidTr="009765A2">
        <w:trPr>
          <w:trHeight w:val="429"/>
        </w:trPr>
        <w:tc>
          <w:tcPr>
            <w:tcW w:w="2381" w:type="dxa"/>
            <w:tcBorders>
              <w:bottom w:val="nil"/>
            </w:tcBorders>
            <w:vAlign w:val="center"/>
          </w:tcPr>
          <w:p w14:paraId="6E449317" w14:textId="64544CB2" w:rsidR="009765A2" w:rsidRPr="008F022B" w:rsidRDefault="009765A2" w:rsidP="009765A2">
            <w:pPr>
              <w:jc w:val="left"/>
              <w:rPr>
                <w:rFonts w:cs="Times New Roman"/>
                <w:color w:val="000000"/>
                <w:sz w:val="22"/>
              </w:rPr>
            </w:pPr>
            <w:r w:rsidRPr="008F022B">
              <w:rPr>
                <w:rFonts w:cs="Times New Roman"/>
                <w:color w:val="000000"/>
                <w:sz w:val="22"/>
              </w:rPr>
              <w:lastRenderedPageBreak/>
              <w:t>Máquinas e Equip</w:t>
            </w:r>
            <w:r>
              <w:rPr>
                <w:rFonts w:cs="Times New Roman"/>
                <w:color w:val="000000"/>
                <w:sz w:val="22"/>
              </w:rPr>
              <w:t>am.</w:t>
            </w:r>
          </w:p>
        </w:tc>
        <w:tc>
          <w:tcPr>
            <w:tcW w:w="1247" w:type="dxa"/>
            <w:tcBorders>
              <w:bottom w:val="nil"/>
            </w:tcBorders>
            <w:vAlign w:val="center"/>
          </w:tcPr>
          <w:p w14:paraId="57CBCFBE" w14:textId="77777777" w:rsidR="009765A2" w:rsidRPr="008F022B" w:rsidRDefault="009765A2" w:rsidP="009765A2">
            <w:pPr>
              <w:jc w:val="center"/>
              <w:rPr>
                <w:rFonts w:cs="Times New Roman"/>
                <w:sz w:val="22"/>
              </w:rPr>
            </w:pPr>
            <w:r w:rsidRPr="008F022B">
              <w:rPr>
                <w:rFonts w:cs="Times New Roman"/>
                <w:sz w:val="22"/>
              </w:rPr>
              <w:t>29%</w:t>
            </w:r>
          </w:p>
        </w:tc>
        <w:tc>
          <w:tcPr>
            <w:tcW w:w="1239" w:type="dxa"/>
            <w:tcBorders>
              <w:top w:val="nil"/>
              <w:left w:val="nil"/>
              <w:bottom w:val="nil"/>
              <w:right w:val="nil"/>
            </w:tcBorders>
            <w:shd w:val="clear" w:color="auto" w:fill="auto"/>
            <w:vAlign w:val="center"/>
          </w:tcPr>
          <w:p w14:paraId="40ED8590" w14:textId="77777777" w:rsidR="009765A2" w:rsidRPr="008F022B" w:rsidRDefault="009765A2" w:rsidP="009765A2">
            <w:pPr>
              <w:jc w:val="center"/>
              <w:rPr>
                <w:rFonts w:cs="Times New Roman"/>
                <w:sz w:val="22"/>
              </w:rPr>
            </w:pPr>
            <w:r w:rsidRPr="008F022B">
              <w:rPr>
                <w:rFonts w:cs="Times New Roman"/>
                <w:color w:val="000000"/>
                <w:sz w:val="22"/>
              </w:rPr>
              <w:t>25%</w:t>
            </w:r>
          </w:p>
        </w:tc>
        <w:tc>
          <w:tcPr>
            <w:tcW w:w="2551" w:type="dxa"/>
            <w:tcBorders>
              <w:top w:val="nil"/>
              <w:left w:val="nil"/>
              <w:bottom w:val="nil"/>
              <w:right w:val="nil"/>
            </w:tcBorders>
            <w:vAlign w:val="center"/>
          </w:tcPr>
          <w:p w14:paraId="6113D11A" w14:textId="2F14DFCF" w:rsidR="009765A2" w:rsidRPr="008F022B" w:rsidRDefault="009765A2" w:rsidP="009765A2">
            <w:pPr>
              <w:jc w:val="left"/>
              <w:rPr>
                <w:rFonts w:cs="Times New Roman"/>
                <w:color w:val="000000"/>
                <w:sz w:val="22"/>
              </w:rPr>
            </w:pPr>
            <w:r w:rsidRPr="008F022B">
              <w:rPr>
                <w:rFonts w:cs="Times New Roman"/>
                <w:color w:val="000000"/>
                <w:sz w:val="22"/>
              </w:rPr>
              <w:t>Telecomunicações</w:t>
            </w:r>
          </w:p>
        </w:tc>
        <w:tc>
          <w:tcPr>
            <w:tcW w:w="1247" w:type="dxa"/>
            <w:tcBorders>
              <w:top w:val="nil"/>
              <w:left w:val="nil"/>
              <w:bottom w:val="nil"/>
              <w:right w:val="nil"/>
            </w:tcBorders>
            <w:vAlign w:val="center"/>
          </w:tcPr>
          <w:p w14:paraId="550100C3" w14:textId="4EDAE3B0" w:rsidR="009765A2" w:rsidRPr="008F022B" w:rsidRDefault="009765A2" w:rsidP="009765A2">
            <w:pPr>
              <w:jc w:val="center"/>
              <w:rPr>
                <w:rFonts w:cs="Times New Roman"/>
                <w:color w:val="000000"/>
                <w:sz w:val="22"/>
              </w:rPr>
            </w:pPr>
            <w:r w:rsidRPr="008F022B">
              <w:rPr>
                <w:rFonts w:cs="Times New Roman"/>
                <w:sz w:val="22"/>
              </w:rPr>
              <w:t>106%</w:t>
            </w:r>
          </w:p>
        </w:tc>
        <w:tc>
          <w:tcPr>
            <w:tcW w:w="938" w:type="dxa"/>
            <w:tcBorders>
              <w:bottom w:val="nil"/>
            </w:tcBorders>
            <w:vAlign w:val="center"/>
          </w:tcPr>
          <w:p w14:paraId="6B020C3A" w14:textId="3E5DA876" w:rsidR="009765A2" w:rsidRPr="008F022B" w:rsidRDefault="009765A2" w:rsidP="009765A2">
            <w:pPr>
              <w:tabs>
                <w:tab w:val="clear" w:pos="851"/>
              </w:tabs>
              <w:spacing w:line="240" w:lineRule="auto"/>
              <w:jc w:val="center"/>
              <w:rPr>
                <w:sz w:val="22"/>
              </w:rPr>
            </w:pPr>
            <w:r w:rsidRPr="008F022B">
              <w:rPr>
                <w:rFonts w:cs="Times New Roman"/>
                <w:color w:val="000000"/>
                <w:sz w:val="22"/>
              </w:rPr>
              <w:t>25%</w:t>
            </w:r>
          </w:p>
        </w:tc>
      </w:tr>
      <w:tr w:rsidR="009765A2" w:rsidRPr="008F022B" w14:paraId="4D728CDE" w14:textId="47FB2E52" w:rsidTr="009765A2">
        <w:trPr>
          <w:trHeight w:val="429"/>
        </w:trPr>
        <w:tc>
          <w:tcPr>
            <w:tcW w:w="2381" w:type="dxa"/>
            <w:tcBorders>
              <w:top w:val="nil"/>
              <w:bottom w:val="single" w:sz="4" w:space="0" w:color="auto"/>
            </w:tcBorders>
            <w:vAlign w:val="center"/>
          </w:tcPr>
          <w:p w14:paraId="23F028D5" w14:textId="77777777" w:rsidR="009765A2" w:rsidRPr="008F022B" w:rsidRDefault="009765A2" w:rsidP="009765A2">
            <w:pPr>
              <w:jc w:val="left"/>
              <w:rPr>
                <w:rFonts w:cs="Times New Roman"/>
                <w:color w:val="000000"/>
                <w:sz w:val="22"/>
              </w:rPr>
            </w:pPr>
            <w:r w:rsidRPr="008F022B">
              <w:rPr>
                <w:rFonts w:cs="Times New Roman"/>
                <w:color w:val="000000"/>
                <w:sz w:val="22"/>
              </w:rPr>
              <w:t>Material de Transporte</w:t>
            </w:r>
          </w:p>
        </w:tc>
        <w:tc>
          <w:tcPr>
            <w:tcW w:w="1247" w:type="dxa"/>
            <w:tcBorders>
              <w:top w:val="nil"/>
              <w:bottom w:val="single" w:sz="4" w:space="0" w:color="auto"/>
            </w:tcBorders>
            <w:vAlign w:val="center"/>
          </w:tcPr>
          <w:p w14:paraId="4F5B402E" w14:textId="77777777" w:rsidR="009765A2" w:rsidRPr="008F022B" w:rsidRDefault="009765A2" w:rsidP="009765A2">
            <w:pPr>
              <w:jc w:val="center"/>
              <w:rPr>
                <w:rFonts w:cs="Times New Roman"/>
                <w:sz w:val="22"/>
              </w:rPr>
            </w:pPr>
            <w:r w:rsidRPr="008F022B">
              <w:rPr>
                <w:rFonts w:cs="Times New Roman"/>
                <w:sz w:val="22"/>
              </w:rPr>
              <w:t>30%</w:t>
            </w:r>
          </w:p>
        </w:tc>
        <w:tc>
          <w:tcPr>
            <w:tcW w:w="1239" w:type="dxa"/>
            <w:tcBorders>
              <w:top w:val="nil"/>
              <w:left w:val="nil"/>
              <w:bottom w:val="single" w:sz="4" w:space="0" w:color="auto"/>
              <w:right w:val="nil"/>
            </w:tcBorders>
            <w:shd w:val="clear" w:color="auto" w:fill="auto"/>
            <w:vAlign w:val="center"/>
          </w:tcPr>
          <w:p w14:paraId="7ABA0584" w14:textId="77777777" w:rsidR="009765A2" w:rsidRPr="008F022B" w:rsidRDefault="009765A2" w:rsidP="009765A2">
            <w:pPr>
              <w:jc w:val="center"/>
              <w:rPr>
                <w:rFonts w:cs="Times New Roman"/>
                <w:sz w:val="22"/>
              </w:rPr>
            </w:pPr>
            <w:r w:rsidRPr="008F022B">
              <w:rPr>
                <w:rFonts w:cs="Times New Roman"/>
                <w:color w:val="000000"/>
                <w:sz w:val="22"/>
              </w:rPr>
              <w:t>30%</w:t>
            </w:r>
          </w:p>
        </w:tc>
        <w:tc>
          <w:tcPr>
            <w:tcW w:w="2551" w:type="dxa"/>
            <w:tcBorders>
              <w:top w:val="nil"/>
              <w:left w:val="nil"/>
              <w:bottom w:val="single" w:sz="4" w:space="0" w:color="auto"/>
              <w:right w:val="nil"/>
            </w:tcBorders>
            <w:vAlign w:val="center"/>
          </w:tcPr>
          <w:p w14:paraId="0C764318" w14:textId="2A148252" w:rsidR="009765A2" w:rsidRPr="008F022B" w:rsidRDefault="009765A2" w:rsidP="009765A2">
            <w:pPr>
              <w:jc w:val="left"/>
              <w:rPr>
                <w:rFonts w:cs="Times New Roman"/>
                <w:color w:val="000000"/>
                <w:sz w:val="22"/>
              </w:rPr>
            </w:pPr>
            <w:r w:rsidRPr="008F022B">
              <w:rPr>
                <w:rFonts w:cs="Times New Roman"/>
                <w:color w:val="000000"/>
                <w:sz w:val="22"/>
              </w:rPr>
              <w:t>Transporte</w:t>
            </w:r>
          </w:p>
        </w:tc>
        <w:tc>
          <w:tcPr>
            <w:tcW w:w="1247" w:type="dxa"/>
            <w:tcBorders>
              <w:top w:val="nil"/>
              <w:left w:val="nil"/>
              <w:bottom w:val="single" w:sz="4" w:space="0" w:color="auto"/>
              <w:right w:val="nil"/>
            </w:tcBorders>
            <w:vAlign w:val="center"/>
          </w:tcPr>
          <w:p w14:paraId="2724E15A" w14:textId="6FD85A41" w:rsidR="009765A2" w:rsidRPr="008F022B" w:rsidRDefault="009765A2" w:rsidP="009765A2">
            <w:pPr>
              <w:jc w:val="center"/>
              <w:rPr>
                <w:rFonts w:cs="Times New Roman"/>
                <w:color w:val="000000"/>
                <w:sz w:val="22"/>
              </w:rPr>
            </w:pPr>
            <w:r w:rsidRPr="008F022B">
              <w:rPr>
                <w:rFonts w:cs="Times New Roman"/>
                <w:sz w:val="22"/>
              </w:rPr>
              <w:t>71%</w:t>
            </w:r>
          </w:p>
        </w:tc>
        <w:tc>
          <w:tcPr>
            <w:tcW w:w="938" w:type="dxa"/>
            <w:tcBorders>
              <w:top w:val="nil"/>
              <w:left w:val="nil"/>
              <w:bottom w:val="single" w:sz="4" w:space="0" w:color="auto"/>
              <w:right w:val="nil"/>
            </w:tcBorders>
            <w:vAlign w:val="center"/>
          </w:tcPr>
          <w:p w14:paraId="0A2CEC10" w14:textId="5A0B60FB" w:rsidR="009765A2" w:rsidRPr="008F022B" w:rsidRDefault="009765A2" w:rsidP="009765A2">
            <w:pPr>
              <w:jc w:val="center"/>
              <w:rPr>
                <w:rFonts w:cs="Times New Roman"/>
                <w:color w:val="000000"/>
                <w:sz w:val="22"/>
              </w:rPr>
            </w:pPr>
            <w:r w:rsidRPr="008F022B">
              <w:rPr>
                <w:rFonts w:cs="Times New Roman"/>
                <w:color w:val="000000"/>
                <w:sz w:val="22"/>
              </w:rPr>
              <w:t>25%</w:t>
            </w:r>
          </w:p>
        </w:tc>
      </w:tr>
    </w:tbl>
    <w:p w14:paraId="00C82A59" w14:textId="77777777" w:rsidR="00800F3D" w:rsidRPr="00626CE6" w:rsidRDefault="00800F3D" w:rsidP="0034020A">
      <w:pPr>
        <w:rPr>
          <w:rFonts w:cs="Times New Roman"/>
          <w:noProof/>
          <w:sz w:val="20"/>
          <w:szCs w:val="20"/>
        </w:rPr>
      </w:pPr>
      <w:r w:rsidRPr="00626CE6">
        <w:rPr>
          <w:rFonts w:cs="Times New Roman"/>
          <w:b/>
          <w:bCs/>
          <w:noProof/>
          <w:sz w:val="20"/>
          <w:szCs w:val="20"/>
        </w:rPr>
        <w:t>Fonte</w:t>
      </w:r>
      <w:r w:rsidRPr="00626CE6">
        <w:rPr>
          <w:rFonts w:cs="Times New Roman"/>
          <w:noProof/>
          <w:sz w:val="20"/>
          <w:szCs w:val="20"/>
        </w:rPr>
        <w:t>: dados da pesquisa</w:t>
      </w:r>
    </w:p>
    <w:p w14:paraId="0B477432" w14:textId="77777777" w:rsidR="00800F3D" w:rsidRPr="00CB1D1A" w:rsidRDefault="00800F3D" w:rsidP="0034020A">
      <w:pPr>
        <w:ind w:firstLine="851"/>
        <w:rPr>
          <w:rFonts w:cs="Times New Roman"/>
          <w:szCs w:val="24"/>
        </w:rPr>
      </w:pPr>
      <w:r w:rsidRPr="00CB1D1A">
        <w:rPr>
          <w:rFonts w:cs="Times New Roman"/>
          <w:szCs w:val="24"/>
        </w:rPr>
        <w:t>Apesar disso, a moda, o valor que mais se repete entre o percentual distribuído continua sendo 25% individualmente, mas conglomeradas em setores, estas são influenciadas por outras empresas do mesmo segmento.</w:t>
      </w:r>
    </w:p>
    <w:p w14:paraId="17DFBD6E" w14:textId="5DCBBEFB" w:rsidR="00800F3D" w:rsidRPr="0034020A" w:rsidRDefault="00800F3D" w:rsidP="00626CE6">
      <w:pPr>
        <w:pStyle w:val="Ttulo2"/>
        <w:rPr>
          <w:bCs/>
        </w:rPr>
      </w:pPr>
      <w:bookmarkStart w:id="8" w:name="_Toc121217970"/>
      <w:r w:rsidRPr="0034020A">
        <w:t xml:space="preserve">4.2 </w:t>
      </w:r>
      <w:r w:rsidR="0034020A" w:rsidRPr="0034020A">
        <w:t>Comparativos entre o lucro líquido e o valor declarado para distribuição</w:t>
      </w:r>
      <w:bookmarkEnd w:id="8"/>
    </w:p>
    <w:p w14:paraId="3C7E147C" w14:textId="5C9151C2" w:rsidR="00800F3D" w:rsidRDefault="00800F3D" w:rsidP="0034020A">
      <w:pPr>
        <w:ind w:firstLine="851"/>
        <w:rPr>
          <w:rFonts w:cs="Times New Roman"/>
          <w:szCs w:val="24"/>
        </w:rPr>
      </w:pPr>
      <w:r w:rsidRPr="0043586E">
        <w:rPr>
          <w:rFonts w:cs="Times New Roman"/>
          <w:szCs w:val="24"/>
        </w:rPr>
        <w:t xml:space="preserve">Na Tabela </w:t>
      </w:r>
      <w:r w:rsidR="00802080">
        <w:rPr>
          <w:rFonts w:cs="Times New Roman"/>
          <w:szCs w:val="24"/>
        </w:rPr>
        <w:t>4</w:t>
      </w:r>
      <w:r w:rsidRPr="0043586E">
        <w:rPr>
          <w:rFonts w:cs="Times New Roman"/>
          <w:szCs w:val="24"/>
        </w:rPr>
        <w:t>, pode-se observar que em 2021, pouco após o auge do período pandêmico, as empresas observadas obtiveram um lucro líquido médio três vezes maior do que o dos anos anteriores, acompanhando a recuperação de 4,6% do PIB, de acordo com o Instituto Brasileiro de Geografia e Estatística (IBGE).</w:t>
      </w:r>
    </w:p>
    <w:p w14:paraId="13CFFB21" w14:textId="77210AE2" w:rsidR="00513A35" w:rsidRPr="00626CE6" w:rsidRDefault="00626CE6" w:rsidP="00626CE6">
      <w:pPr>
        <w:pStyle w:val="Legenda"/>
        <w:keepNext/>
        <w:spacing w:after="0"/>
        <w:jc w:val="center"/>
        <w:rPr>
          <w:rFonts w:ascii="Roboto Lt" w:hAnsi="Roboto Lt" w:cs="Times New Roman"/>
          <w:b/>
          <w:bCs/>
          <w:i w:val="0"/>
          <w:color w:val="auto"/>
          <w:sz w:val="22"/>
          <w:szCs w:val="22"/>
        </w:rPr>
      </w:pPr>
      <w:bookmarkStart w:id="9" w:name="_Toc120217953"/>
      <w:bookmarkStart w:id="10" w:name="_Toc121217943"/>
      <w:r w:rsidRPr="00626CE6">
        <w:rPr>
          <w:rFonts w:ascii="Roboto Lt" w:hAnsi="Roboto Lt" w:cs="Times New Roman"/>
          <w:b/>
          <w:bCs/>
          <w:i w:val="0"/>
          <w:color w:val="auto"/>
          <w:sz w:val="22"/>
          <w:szCs w:val="22"/>
        </w:rPr>
        <w:t xml:space="preserve">Tabela </w:t>
      </w:r>
      <w:r w:rsidR="00802080" w:rsidRPr="00626CE6">
        <w:rPr>
          <w:rFonts w:ascii="Roboto Lt" w:hAnsi="Roboto Lt" w:cs="Times New Roman"/>
          <w:b/>
          <w:bCs/>
          <w:i w:val="0"/>
          <w:color w:val="auto"/>
          <w:sz w:val="22"/>
          <w:szCs w:val="22"/>
        </w:rPr>
        <w:t>4</w:t>
      </w:r>
      <w:r w:rsidR="00513A35" w:rsidRPr="00626CE6">
        <w:rPr>
          <w:rFonts w:ascii="Roboto Lt" w:hAnsi="Roboto Lt" w:cs="Times New Roman"/>
          <w:b/>
          <w:bCs/>
          <w:i w:val="0"/>
          <w:color w:val="auto"/>
          <w:sz w:val="22"/>
          <w:szCs w:val="22"/>
        </w:rPr>
        <w:t xml:space="preserve"> </w:t>
      </w:r>
      <w:r>
        <w:rPr>
          <w:rFonts w:ascii="Roboto Lt" w:hAnsi="Roboto Lt" w:cs="Times New Roman"/>
          <w:b/>
          <w:bCs/>
          <w:i w:val="0"/>
          <w:color w:val="auto"/>
          <w:sz w:val="22"/>
          <w:szCs w:val="22"/>
        </w:rPr>
        <w:t>-</w:t>
      </w:r>
      <w:r w:rsidR="00513A35" w:rsidRPr="00626CE6">
        <w:rPr>
          <w:rFonts w:ascii="Roboto Lt" w:hAnsi="Roboto Lt" w:cs="Times New Roman"/>
          <w:b/>
          <w:bCs/>
          <w:i w:val="0"/>
          <w:color w:val="auto"/>
          <w:sz w:val="22"/>
          <w:szCs w:val="22"/>
        </w:rPr>
        <w:t xml:space="preserve"> </w:t>
      </w:r>
      <w:r w:rsidR="00513A35" w:rsidRPr="00626CE6">
        <w:rPr>
          <w:rFonts w:ascii="Roboto Lt" w:hAnsi="Roboto Lt" w:cs="Times New Roman"/>
          <w:i w:val="0"/>
          <w:color w:val="auto"/>
          <w:sz w:val="22"/>
          <w:szCs w:val="22"/>
        </w:rPr>
        <w:t xml:space="preserve">Média do lucro líquido </w:t>
      </w:r>
      <w:bookmarkEnd w:id="9"/>
      <w:bookmarkEnd w:id="10"/>
      <w:r w:rsidR="00513A35" w:rsidRPr="00626CE6">
        <w:rPr>
          <w:rFonts w:ascii="Roboto Lt" w:hAnsi="Roboto Lt" w:cs="Times New Roman"/>
          <w:i w:val="0"/>
          <w:color w:val="auto"/>
          <w:sz w:val="22"/>
          <w:szCs w:val="22"/>
        </w:rPr>
        <w:t>das empresas da amostra</w:t>
      </w:r>
    </w:p>
    <w:tbl>
      <w:tblPr>
        <w:tblStyle w:val="Tabelacomgrade"/>
        <w:tblW w:w="85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984"/>
        <w:gridCol w:w="1984"/>
        <w:gridCol w:w="1984"/>
      </w:tblGrid>
      <w:tr w:rsidR="00513A35" w:rsidRPr="00513A35" w14:paraId="4782765D" w14:textId="77777777" w:rsidTr="00513A35">
        <w:trPr>
          <w:jc w:val="center"/>
        </w:trPr>
        <w:tc>
          <w:tcPr>
            <w:tcW w:w="2608" w:type="dxa"/>
            <w:tcBorders>
              <w:top w:val="single" w:sz="4" w:space="0" w:color="auto"/>
              <w:bottom w:val="single" w:sz="4" w:space="0" w:color="auto"/>
            </w:tcBorders>
          </w:tcPr>
          <w:p w14:paraId="4AA1015F" w14:textId="1B32A8FC" w:rsidR="00513A35" w:rsidRPr="00513A35" w:rsidRDefault="00513A35" w:rsidP="0034020A">
            <w:pPr>
              <w:rPr>
                <w:rFonts w:cs="Times New Roman"/>
                <w:sz w:val="22"/>
              </w:rPr>
            </w:pPr>
            <w:r>
              <w:rPr>
                <w:rFonts w:cs="Times New Roman"/>
                <w:sz w:val="22"/>
              </w:rPr>
              <w:t>Ano</w:t>
            </w:r>
          </w:p>
        </w:tc>
        <w:tc>
          <w:tcPr>
            <w:tcW w:w="1984" w:type="dxa"/>
            <w:tcBorders>
              <w:top w:val="single" w:sz="4" w:space="0" w:color="auto"/>
              <w:bottom w:val="single" w:sz="4" w:space="0" w:color="auto"/>
            </w:tcBorders>
          </w:tcPr>
          <w:p w14:paraId="1DBE7244" w14:textId="6A81E056" w:rsidR="00513A35" w:rsidRPr="00513A35" w:rsidRDefault="00513A35" w:rsidP="00513A35">
            <w:pPr>
              <w:jc w:val="center"/>
              <w:rPr>
                <w:rFonts w:cs="Times New Roman"/>
                <w:sz w:val="22"/>
              </w:rPr>
            </w:pPr>
            <w:r w:rsidRPr="00513A35">
              <w:rPr>
                <w:rFonts w:cs="Times New Roman"/>
                <w:sz w:val="22"/>
              </w:rPr>
              <w:t>2019</w:t>
            </w:r>
          </w:p>
        </w:tc>
        <w:tc>
          <w:tcPr>
            <w:tcW w:w="1984" w:type="dxa"/>
            <w:tcBorders>
              <w:top w:val="single" w:sz="4" w:space="0" w:color="auto"/>
              <w:bottom w:val="single" w:sz="4" w:space="0" w:color="auto"/>
            </w:tcBorders>
          </w:tcPr>
          <w:p w14:paraId="2E326748" w14:textId="4C8150B3" w:rsidR="00513A35" w:rsidRPr="00513A35" w:rsidRDefault="00513A35" w:rsidP="00513A35">
            <w:pPr>
              <w:jc w:val="center"/>
              <w:rPr>
                <w:rFonts w:cs="Times New Roman"/>
                <w:sz w:val="22"/>
              </w:rPr>
            </w:pPr>
            <w:r w:rsidRPr="00513A35">
              <w:rPr>
                <w:rFonts w:cs="Times New Roman"/>
                <w:sz w:val="22"/>
              </w:rPr>
              <w:t>2020</w:t>
            </w:r>
          </w:p>
        </w:tc>
        <w:tc>
          <w:tcPr>
            <w:tcW w:w="1984" w:type="dxa"/>
            <w:tcBorders>
              <w:top w:val="single" w:sz="4" w:space="0" w:color="auto"/>
              <w:bottom w:val="single" w:sz="4" w:space="0" w:color="auto"/>
            </w:tcBorders>
          </w:tcPr>
          <w:p w14:paraId="5EB1010F" w14:textId="173579E5" w:rsidR="00513A35" w:rsidRPr="00513A35" w:rsidRDefault="00513A35" w:rsidP="00513A35">
            <w:pPr>
              <w:jc w:val="center"/>
              <w:rPr>
                <w:rFonts w:cs="Times New Roman"/>
                <w:sz w:val="22"/>
              </w:rPr>
            </w:pPr>
            <w:r w:rsidRPr="00513A35">
              <w:rPr>
                <w:rFonts w:cs="Times New Roman"/>
                <w:sz w:val="22"/>
              </w:rPr>
              <w:t>2021</w:t>
            </w:r>
          </w:p>
        </w:tc>
      </w:tr>
      <w:tr w:rsidR="00513A35" w:rsidRPr="00513A35" w14:paraId="3543C612" w14:textId="77777777" w:rsidTr="00513A35">
        <w:trPr>
          <w:jc w:val="center"/>
        </w:trPr>
        <w:tc>
          <w:tcPr>
            <w:tcW w:w="2608" w:type="dxa"/>
            <w:tcBorders>
              <w:top w:val="single" w:sz="4" w:space="0" w:color="auto"/>
              <w:bottom w:val="single" w:sz="4" w:space="0" w:color="auto"/>
            </w:tcBorders>
          </w:tcPr>
          <w:p w14:paraId="7303A66C" w14:textId="4E57E112" w:rsidR="00513A35" w:rsidRPr="00513A35" w:rsidRDefault="00513A35" w:rsidP="0034020A">
            <w:pPr>
              <w:rPr>
                <w:rFonts w:cs="Times New Roman"/>
                <w:sz w:val="22"/>
              </w:rPr>
            </w:pPr>
            <w:r w:rsidRPr="00513A35">
              <w:rPr>
                <w:rFonts w:cs="Times New Roman"/>
                <w:sz w:val="22"/>
              </w:rPr>
              <w:t>Lucro médio (em R$)</w:t>
            </w:r>
          </w:p>
        </w:tc>
        <w:tc>
          <w:tcPr>
            <w:tcW w:w="1984" w:type="dxa"/>
            <w:tcBorders>
              <w:top w:val="single" w:sz="4" w:space="0" w:color="auto"/>
              <w:bottom w:val="single" w:sz="4" w:space="0" w:color="auto"/>
            </w:tcBorders>
          </w:tcPr>
          <w:p w14:paraId="6E1478DD" w14:textId="3FECEF68" w:rsidR="00513A35" w:rsidRPr="00513A35" w:rsidRDefault="00513A35" w:rsidP="00513A35">
            <w:pPr>
              <w:jc w:val="center"/>
              <w:rPr>
                <w:rFonts w:cs="Times New Roman"/>
                <w:sz w:val="22"/>
              </w:rPr>
            </w:pPr>
            <w:r w:rsidRPr="00513A35">
              <w:rPr>
                <w:rFonts w:cs="Times New Roman"/>
                <w:iCs/>
                <w:color w:val="000000"/>
                <w:sz w:val="22"/>
              </w:rPr>
              <w:t>3.606.193.548</w:t>
            </w:r>
          </w:p>
        </w:tc>
        <w:tc>
          <w:tcPr>
            <w:tcW w:w="1984" w:type="dxa"/>
            <w:tcBorders>
              <w:top w:val="single" w:sz="4" w:space="0" w:color="auto"/>
              <w:bottom w:val="single" w:sz="4" w:space="0" w:color="auto"/>
            </w:tcBorders>
          </w:tcPr>
          <w:p w14:paraId="226DAB66" w14:textId="6EA6701F" w:rsidR="00513A35" w:rsidRPr="00513A35" w:rsidRDefault="00513A35" w:rsidP="00513A35">
            <w:pPr>
              <w:jc w:val="center"/>
              <w:rPr>
                <w:rFonts w:cs="Times New Roman"/>
                <w:sz w:val="22"/>
              </w:rPr>
            </w:pPr>
            <w:r w:rsidRPr="00513A35">
              <w:rPr>
                <w:rFonts w:cs="Times New Roman"/>
                <w:iCs/>
                <w:color w:val="000000"/>
                <w:sz w:val="22"/>
              </w:rPr>
              <w:t>3.415.560.178</w:t>
            </w:r>
          </w:p>
        </w:tc>
        <w:tc>
          <w:tcPr>
            <w:tcW w:w="1984" w:type="dxa"/>
            <w:tcBorders>
              <w:top w:val="single" w:sz="4" w:space="0" w:color="auto"/>
              <w:bottom w:val="single" w:sz="4" w:space="0" w:color="auto"/>
            </w:tcBorders>
          </w:tcPr>
          <w:p w14:paraId="64553E4C" w14:textId="2E319EAF" w:rsidR="00513A35" w:rsidRPr="00513A35" w:rsidRDefault="00513A35" w:rsidP="00513A35">
            <w:pPr>
              <w:jc w:val="center"/>
              <w:rPr>
                <w:rFonts w:cs="Times New Roman"/>
                <w:sz w:val="22"/>
              </w:rPr>
            </w:pPr>
            <w:r w:rsidRPr="00513A35">
              <w:rPr>
                <w:rFonts w:cs="Times New Roman"/>
                <w:iCs/>
                <w:color w:val="000000"/>
                <w:sz w:val="22"/>
              </w:rPr>
              <w:t>9.924.158.889</w:t>
            </w:r>
          </w:p>
        </w:tc>
      </w:tr>
    </w:tbl>
    <w:p w14:paraId="074F17D0" w14:textId="77777777" w:rsidR="00513A35" w:rsidRPr="00513A35" w:rsidRDefault="00513A35" w:rsidP="00513A35">
      <w:pPr>
        <w:tabs>
          <w:tab w:val="clear" w:pos="851"/>
        </w:tabs>
        <w:ind w:firstLine="284"/>
        <w:rPr>
          <w:rFonts w:cs="Times New Roman"/>
          <w:sz w:val="22"/>
        </w:rPr>
      </w:pPr>
      <w:r w:rsidRPr="00626CE6">
        <w:rPr>
          <w:rFonts w:cs="Times New Roman"/>
          <w:b/>
          <w:bCs/>
          <w:sz w:val="20"/>
          <w:szCs w:val="20"/>
        </w:rPr>
        <w:t>Fonte</w:t>
      </w:r>
      <w:r w:rsidRPr="00626CE6">
        <w:rPr>
          <w:rFonts w:cs="Times New Roman"/>
          <w:sz w:val="20"/>
          <w:szCs w:val="20"/>
        </w:rPr>
        <w:t>: dados da pesquisa</w:t>
      </w:r>
    </w:p>
    <w:p w14:paraId="59DDEE52" w14:textId="705D12D0" w:rsidR="00800F3D" w:rsidRPr="00615733" w:rsidRDefault="00800F3D" w:rsidP="00615733">
      <w:pPr>
        <w:ind w:firstLine="851"/>
        <w:rPr>
          <w:rFonts w:cs="Times New Roman"/>
          <w:szCs w:val="24"/>
        </w:rPr>
      </w:pPr>
      <w:r w:rsidRPr="0043586E">
        <w:rPr>
          <w:rFonts w:cs="Times New Roman"/>
          <w:szCs w:val="24"/>
        </w:rPr>
        <w:t>A diferença a mais do montante declarado para distribuição, em relação ao mínimo obrigatório pode ser apresentada em valor pecuniário médio de R$ 4.834.705.801 o que demonstra o potencial das empresas do índice. Muito do que foi discutido a respeito da margem de distribuição se dá pelo aumento do resultado líquido no ano de 2021, porém é interessante notar que no conjunto analisado no trabalho, 23% das ações foram contra a prevista queda de lucro que assolou a bolsa de valores e obtiveram resultado líquido no ano de 2020 superior a seu período subsequente, são elas ELET6, EGIE3, TRPL4, TAEE11, CYRE3, AURE3, PSSA3, BEEF3, CSMG3 E WIZS3. É também possível notar que destas, apenas 2 ações não estão enquadradas no setor de energia elétrica, que foi favorecido pelo aumento do consumo residencial neste período</w:t>
      </w:r>
      <w:r w:rsidR="00615733">
        <w:rPr>
          <w:rFonts w:cs="Times New Roman"/>
          <w:szCs w:val="24"/>
        </w:rPr>
        <w:t>.</w:t>
      </w:r>
    </w:p>
    <w:p w14:paraId="320CB833" w14:textId="55335E90" w:rsidR="00800F3D" w:rsidRPr="0043586E" w:rsidRDefault="00800F3D" w:rsidP="0034020A">
      <w:pPr>
        <w:ind w:firstLine="851"/>
        <w:rPr>
          <w:rFonts w:cs="Times New Roman"/>
          <w:szCs w:val="24"/>
        </w:rPr>
      </w:pPr>
      <w:r w:rsidRPr="0043586E">
        <w:rPr>
          <w:rFonts w:cs="Times New Roman"/>
          <w:szCs w:val="24"/>
        </w:rPr>
        <w:t xml:space="preserve">De maneira empírica, analisando os dados referentes ao lucro líquido e sua diminuição para o ano de 2021, o mais provável era que a distribuição de dividendos nestas empresas acompanharia a diminuição do lucro e fosse menor. Isto ocorreu em praticamente todos os casos, exceto na EGIE3, TAEE11 e AURE3, que declaram valores </w:t>
      </w:r>
      <w:r w:rsidRPr="0043586E">
        <w:rPr>
          <w:rFonts w:cs="Times New Roman"/>
          <w:szCs w:val="24"/>
        </w:rPr>
        <w:lastRenderedPageBreak/>
        <w:t>acima do que foi aprovado em 2020, mesmo com seu lucro líquido ligeiramente menor. Esses ca</w:t>
      </w:r>
      <w:r>
        <w:rPr>
          <w:rFonts w:cs="Times New Roman"/>
          <w:szCs w:val="24"/>
        </w:rPr>
        <w:t xml:space="preserve">sos são apresentados na Tabela </w:t>
      </w:r>
      <w:r w:rsidR="00802080">
        <w:rPr>
          <w:rFonts w:cs="Times New Roman"/>
          <w:szCs w:val="24"/>
        </w:rPr>
        <w:t>5</w:t>
      </w:r>
      <w:r w:rsidRPr="0043586E">
        <w:rPr>
          <w:rFonts w:cs="Times New Roman"/>
          <w:szCs w:val="24"/>
        </w:rPr>
        <w:t>.</w:t>
      </w:r>
    </w:p>
    <w:p w14:paraId="753498E3" w14:textId="27927045" w:rsidR="00800F3D" w:rsidRPr="00626CE6" w:rsidRDefault="00626CE6" w:rsidP="000621F1">
      <w:pPr>
        <w:pStyle w:val="Legenda"/>
        <w:keepNext/>
        <w:spacing w:after="0"/>
        <w:jc w:val="center"/>
        <w:rPr>
          <w:rFonts w:ascii="Roboto Lt" w:hAnsi="Roboto Lt" w:cs="Times New Roman"/>
          <w:i w:val="0"/>
          <w:color w:val="auto"/>
          <w:sz w:val="22"/>
          <w:szCs w:val="22"/>
        </w:rPr>
      </w:pPr>
      <w:bookmarkStart w:id="11" w:name="_Toc120217955"/>
      <w:bookmarkStart w:id="12" w:name="_Toc121217945"/>
      <w:r w:rsidRPr="00626CE6">
        <w:rPr>
          <w:rFonts w:ascii="Roboto Lt" w:hAnsi="Roboto Lt" w:cs="Times New Roman"/>
          <w:b/>
          <w:bCs/>
          <w:i w:val="0"/>
          <w:color w:val="auto"/>
          <w:sz w:val="22"/>
          <w:szCs w:val="22"/>
        </w:rPr>
        <w:t xml:space="preserve">Tabela </w:t>
      </w:r>
      <w:r w:rsidR="00287DCC" w:rsidRPr="00626CE6">
        <w:rPr>
          <w:rFonts w:ascii="Roboto Lt" w:hAnsi="Roboto Lt" w:cs="Times New Roman"/>
          <w:b/>
          <w:bCs/>
          <w:i w:val="0"/>
          <w:color w:val="auto"/>
          <w:sz w:val="22"/>
          <w:szCs w:val="22"/>
        </w:rPr>
        <w:t xml:space="preserve">5 </w:t>
      </w:r>
      <w:r>
        <w:rPr>
          <w:rFonts w:ascii="Roboto Lt" w:hAnsi="Roboto Lt" w:cs="Times New Roman"/>
          <w:i w:val="0"/>
          <w:color w:val="auto"/>
          <w:sz w:val="22"/>
          <w:szCs w:val="22"/>
        </w:rPr>
        <w:t>-</w:t>
      </w:r>
      <w:r w:rsidR="00800F3D" w:rsidRPr="00626CE6">
        <w:rPr>
          <w:rFonts w:ascii="Roboto Lt" w:hAnsi="Roboto Lt" w:cs="Times New Roman"/>
          <w:i w:val="0"/>
          <w:color w:val="auto"/>
          <w:sz w:val="22"/>
          <w:szCs w:val="22"/>
        </w:rPr>
        <w:t xml:space="preserve"> </w:t>
      </w:r>
      <w:bookmarkEnd w:id="11"/>
      <w:bookmarkEnd w:id="12"/>
      <w:r w:rsidR="00287DCC" w:rsidRPr="00626CE6">
        <w:rPr>
          <w:rFonts w:ascii="Roboto Lt" w:hAnsi="Roboto Lt" w:cs="Times New Roman"/>
          <w:i w:val="0"/>
          <w:color w:val="auto"/>
          <w:sz w:val="22"/>
          <w:szCs w:val="22"/>
        </w:rPr>
        <w:t>Empresas com dividendos maiores, apesar de lucros menores</w:t>
      </w:r>
    </w:p>
    <w:tbl>
      <w:tblPr>
        <w:tblStyle w:val="TabelaSimples5"/>
        <w:tblW w:w="8493" w:type="dxa"/>
        <w:jc w:val="center"/>
        <w:tblLook w:val="04A0" w:firstRow="1" w:lastRow="0" w:firstColumn="1" w:lastColumn="0" w:noHBand="0" w:noVBand="1"/>
      </w:tblPr>
      <w:tblGrid>
        <w:gridCol w:w="1237"/>
        <w:gridCol w:w="1814"/>
        <w:gridCol w:w="1814"/>
        <w:gridCol w:w="1814"/>
        <w:gridCol w:w="1814"/>
      </w:tblGrid>
      <w:tr w:rsidR="00800F3D" w:rsidRPr="00615733" w14:paraId="2BE9F900" w14:textId="77777777" w:rsidTr="002A2D3E">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100" w:firstRow="0" w:lastRow="0" w:firstColumn="1" w:lastColumn="0" w:oddVBand="0" w:evenVBand="0" w:oddHBand="0" w:evenHBand="0" w:firstRowFirstColumn="1" w:firstRowLastColumn="0" w:lastRowFirstColumn="0" w:lastRowLastColumn="0"/>
            <w:tcW w:w="1237" w:type="dxa"/>
            <w:tcBorders>
              <w:top w:val="single" w:sz="4" w:space="0" w:color="auto"/>
              <w:right w:val="single" w:sz="4" w:space="0" w:color="FFFFFF" w:themeColor="background1"/>
            </w:tcBorders>
            <w:shd w:val="clear" w:color="auto" w:fill="auto"/>
            <w:noWrap/>
            <w:vAlign w:val="center"/>
            <w:hideMark/>
          </w:tcPr>
          <w:p w14:paraId="7DDA1FBE" w14:textId="77777777" w:rsidR="00800F3D" w:rsidRPr="00615733" w:rsidRDefault="00800F3D" w:rsidP="0034020A">
            <w:pPr>
              <w:jc w:val="center"/>
              <w:rPr>
                <w:rFonts w:eastAsia="Times New Roman" w:cs="Times New Roman"/>
                <w:bCs/>
                <w:i w:val="0"/>
                <w:iCs w:val="0"/>
                <w:color w:val="000000"/>
                <w:sz w:val="22"/>
              </w:rPr>
            </w:pPr>
            <w:r w:rsidRPr="00615733">
              <w:rPr>
                <w:rFonts w:eastAsia="Times New Roman" w:cs="Times New Roman"/>
                <w:bCs/>
                <w:i w:val="0"/>
                <w:iCs w:val="0"/>
                <w:color w:val="000000"/>
                <w:sz w:val="22"/>
              </w:rPr>
              <w:t>Ações</w:t>
            </w:r>
          </w:p>
        </w:tc>
        <w:tc>
          <w:tcPr>
            <w:tcW w:w="1814" w:type="dxa"/>
            <w:tcBorders>
              <w:top w:val="single" w:sz="4" w:space="0" w:color="auto"/>
              <w:left w:val="single" w:sz="4" w:space="0" w:color="FFFFFF" w:themeColor="background1"/>
            </w:tcBorders>
            <w:shd w:val="clear" w:color="auto" w:fill="auto"/>
            <w:noWrap/>
            <w:vAlign w:val="center"/>
            <w:hideMark/>
          </w:tcPr>
          <w:p w14:paraId="3400AFCA" w14:textId="1ACF61DC" w:rsidR="00800F3D" w:rsidRPr="00615733" w:rsidRDefault="00800F3D" w:rsidP="0034020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i w:val="0"/>
                <w:iCs w:val="0"/>
                <w:color w:val="000000"/>
                <w:sz w:val="22"/>
              </w:rPr>
            </w:pPr>
            <w:r w:rsidRPr="00615733">
              <w:rPr>
                <w:rFonts w:eastAsia="Times New Roman" w:cs="Times New Roman"/>
                <w:bCs/>
                <w:i w:val="0"/>
                <w:iCs w:val="0"/>
                <w:color w:val="000000"/>
                <w:sz w:val="22"/>
              </w:rPr>
              <w:t xml:space="preserve">Lucro </w:t>
            </w:r>
            <w:r w:rsidR="002A2D3E">
              <w:rPr>
                <w:rFonts w:eastAsia="Times New Roman" w:cs="Times New Roman"/>
                <w:bCs/>
                <w:i w:val="0"/>
                <w:iCs w:val="0"/>
                <w:color w:val="000000"/>
                <w:sz w:val="22"/>
              </w:rPr>
              <w:br/>
            </w:r>
            <w:r w:rsidRPr="00615733">
              <w:rPr>
                <w:rFonts w:eastAsia="Times New Roman" w:cs="Times New Roman"/>
                <w:bCs/>
                <w:i w:val="0"/>
                <w:iCs w:val="0"/>
                <w:color w:val="000000"/>
                <w:sz w:val="22"/>
              </w:rPr>
              <w:t>2021 (R$)</w:t>
            </w:r>
          </w:p>
        </w:tc>
        <w:tc>
          <w:tcPr>
            <w:tcW w:w="1814" w:type="dxa"/>
            <w:tcBorders>
              <w:top w:val="single" w:sz="4" w:space="0" w:color="auto"/>
            </w:tcBorders>
            <w:shd w:val="clear" w:color="auto" w:fill="auto"/>
            <w:noWrap/>
            <w:vAlign w:val="center"/>
            <w:hideMark/>
          </w:tcPr>
          <w:p w14:paraId="1964A44A" w14:textId="4FE927B1" w:rsidR="00800F3D" w:rsidRPr="00615733" w:rsidRDefault="00800F3D" w:rsidP="0034020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i w:val="0"/>
                <w:iCs w:val="0"/>
                <w:color w:val="000000"/>
                <w:sz w:val="22"/>
              </w:rPr>
            </w:pPr>
            <w:r w:rsidRPr="00615733">
              <w:rPr>
                <w:rFonts w:eastAsia="Times New Roman" w:cs="Times New Roman"/>
                <w:bCs/>
                <w:i w:val="0"/>
                <w:iCs w:val="0"/>
                <w:color w:val="000000"/>
                <w:sz w:val="22"/>
              </w:rPr>
              <w:t>Lucro</w:t>
            </w:r>
            <w:r w:rsidR="002A2D3E">
              <w:rPr>
                <w:rFonts w:eastAsia="Times New Roman" w:cs="Times New Roman"/>
                <w:bCs/>
                <w:i w:val="0"/>
                <w:iCs w:val="0"/>
                <w:color w:val="000000"/>
                <w:sz w:val="22"/>
              </w:rPr>
              <w:br/>
            </w:r>
            <w:r w:rsidRPr="00615733">
              <w:rPr>
                <w:rFonts w:eastAsia="Times New Roman" w:cs="Times New Roman"/>
                <w:bCs/>
                <w:i w:val="0"/>
                <w:iCs w:val="0"/>
                <w:color w:val="000000"/>
                <w:sz w:val="22"/>
              </w:rPr>
              <w:t xml:space="preserve">2020 </w:t>
            </w:r>
            <w:r w:rsidR="002A2D3E">
              <w:rPr>
                <w:rFonts w:eastAsia="Times New Roman" w:cs="Times New Roman"/>
                <w:bCs/>
                <w:i w:val="0"/>
                <w:iCs w:val="0"/>
                <w:color w:val="000000"/>
                <w:sz w:val="22"/>
              </w:rPr>
              <w:t>(</w:t>
            </w:r>
            <w:r w:rsidRPr="00615733">
              <w:rPr>
                <w:rFonts w:eastAsia="Times New Roman" w:cs="Times New Roman"/>
                <w:bCs/>
                <w:i w:val="0"/>
                <w:iCs w:val="0"/>
                <w:color w:val="000000"/>
                <w:sz w:val="22"/>
              </w:rPr>
              <w:t>R$)</w:t>
            </w:r>
          </w:p>
        </w:tc>
        <w:tc>
          <w:tcPr>
            <w:tcW w:w="1814" w:type="dxa"/>
            <w:tcBorders>
              <w:top w:val="single" w:sz="4" w:space="0" w:color="auto"/>
            </w:tcBorders>
            <w:vAlign w:val="center"/>
          </w:tcPr>
          <w:p w14:paraId="44FF5E6F" w14:textId="3EA48E4A" w:rsidR="00800F3D" w:rsidRPr="00615733" w:rsidRDefault="00800F3D" w:rsidP="0034020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i w:val="0"/>
                <w:iCs w:val="0"/>
                <w:color w:val="000000"/>
                <w:sz w:val="22"/>
              </w:rPr>
            </w:pPr>
            <w:r w:rsidRPr="00615733">
              <w:rPr>
                <w:rFonts w:eastAsia="Times New Roman" w:cs="Times New Roman"/>
                <w:bCs/>
                <w:i w:val="0"/>
                <w:iCs w:val="0"/>
                <w:color w:val="000000"/>
                <w:sz w:val="22"/>
              </w:rPr>
              <w:t xml:space="preserve">Dividendos </w:t>
            </w:r>
            <w:r w:rsidR="002A2D3E">
              <w:rPr>
                <w:rFonts w:eastAsia="Times New Roman" w:cs="Times New Roman"/>
                <w:bCs/>
                <w:i w:val="0"/>
                <w:iCs w:val="0"/>
                <w:color w:val="000000"/>
                <w:sz w:val="22"/>
              </w:rPr>
              <w:br/>
            </w:r>
            <w:r w:rsidRPr="00615733">
              <w:rPr>
                <w:rFonts w:eastAsia="Times New Roman" w:cs="Times New Roman"/>
                <w:bCs/>
                <w:i w:val="0"/>
                <w:iCs w:val="0"/>
                <w:color w:val="000000"/>
                <w:sz w:val="22"/>
              </w:rPr>
              <w:t>2021 (R$)</w:t>
            </w:r>
          </w:p>
        </w:tc>
        <w:tc>
          <w:tcPr>
            <w:tcW w:w="1814" w:type="dxa"/>
            <w:tcBorders>
              <w:top w:val="single" w:sz="4" w:space="0" w:color="auto"/>
            </w:tcBorders>
            <w:vAlign w:val="center"/>
          </w:tcPr>
          <w:p w14:paraId="13D6A0F8" w14:textId="491E2F67" w:rsidR="00800F3D" w:rsidRPr="00615733" w:rsidRDefault="00800F3D" w:rsidP="0034020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i w:val="0"/>
                <w:iCs w:val="0"/>
                <w:color w:val="000000"/>
                <w:sz w:val="22"/>
              </w:rPr>
            </w:pPr>
            <w:r w:rsidRPr="00615733">
              <w:rPr>
                <w:rFonts w:eastAsia="Times New Roman" w:cs="Times New Roman"/>
                <w:bCs/>
                <w:i w:val="0"/>
                <w:iCs w:val="0"/>
                <w:color w:val="000000"/>
                <w:sz w:val="22"/>
              </w:rPr>
              <w:t xml:space="preserve">Dividendos </w:t>
            </w:r>
            <w:r w:rsidR="002A2D3E">
              <w:rPr>
                <w:rFonts w:eastAsia="Times New Roman" w:cs="Times New Roman"/>
                <w:bCs/>
                <w:i w:val="0"/>
                <w:iCs w:val="0"/>
                <w:color w:val="000000"/>
                <w:sz w:val="22"/>
              </w:rPr>
              <w:br/>
            </w:r>
            <w:r w:rsidRPr="00615733">
              <w:rPr>
                <w:rFonts w:eastAsia="Times New Roman" w:cs="Times New Roman"/>
                <w:bCs/>
                <w:i w:val="0"/>
                <w:iCs w:val="0"/>
                <w:color w:val="000000"/>
                <w:sz w:val="22"/>
              </w:rPr>
              <w:t>2020 (R$)</w:t>
            </w:r>
          </w:p>
        </w:tc>
      </w:tr>
      <w:tr w:rsidR="00800F3D" w:rsidRPr="00615733" w14:paraId="549BA215" w14:textId="77777777" w:rsidTr="002A2D3E">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237" w:type="dxa"/>
            <w:tcBorders>
              <w:right w:val="single" w:sz="4" w:space="0" w:color="FFFFFF" w:themeColor="background1"/>
            </w:tcBorders>
            <w:shd w:val="clear" w:color="auto" w:fill="auto"/>
            <w:vAlign w:val="center"/>
            <w:hideMark/>
          </w:tcPr>
          <w:p w14:paraId="4A024399" w14:textId="77777777" w:rsidR="00800F3D" w:rsidRPr="00615733" w:rsidRDefault="00800F3D" w:rsidP="0034020A">
            <w:pPr>
              <w:jc w:val="center"/>
              <w:rPr>
                <w:rFonts w:eastAsia="Times New Roman" w:cs="Times New Roman"/>
                <w:i w:val="0"/>
                <w:iCs w:val="0"/>
                <w:color w:val="000000"/>
                <w:sz w:val="22"/>
              </w:rPr>
            </w:pPr>
            <w:r w:rsidRPr="00615733">
              <w:rPr>
                <w:rFonts w:eastAsia="Times New Roman" w:cs="Times New Roman"/>
                <w:i w:val="0"/>
                <w:iCs w:val="0"/>
                <w:color w:val="000000"/>
                <w:sz w:val="22"/>
              </w:rPr>
              <w:t>EGIE3</w:t>
            </w:r>
          </w:p>
        </w:tc>
        <w:tc>
          <w:tcPr>
            <w:tcW w:w="1814" w:type="dxa"/>
            <w:tcBorders>
              <w:left w:val="single" w:sz="4" w:space="0" w:color="FFFFFF" w:themeColor="background1"/>
            </w:tcBorders>
            <w:shd w:val="clear" w:color="auto" w:fill="auto"/>
            <w:vAlign w:val="center"/>
            <w:hideMark/>
          </w:tcPr>
          <w:p w14:paraId="53E8332D"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2.038.000.000</w:t>
            </w:r>
          </w:p>
        </w:tc>
        <w:tc>
          <w:tcPr>
            <w:tcW w:w="1814" w:type="dxa"/>
            <w:shd w:val="clear" w:color="auto" w:fill="auto"/>
            <w:noWrap/>
            <w:vAlign w:val="center"/>
            <w:hideMark/>
          </w:tcPr>
          <w:p w14:paraId="0E002316"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2.016.800.000</w:t>
            </w:r>
          </w:p>
        </w:tc>
        <w:tc>
          <w:tcPr>
            <w:tcW w:w="1814" w:type="dxa"/>
            <w:shd w:val="clear" w:color="auto" w:fill="auto"/>
            <w:vAlign w:val="center"/>
          </w:tcPr>
          <w:p w14:paraId="364EBF63"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2.038.000.000</w:t>
            </w:r>
          </w:p>
        </w:tc>
        <w:tc>
          <w:tcPr>
            <w:tcW w:w="1814" w:type="dxa"/>
            <w:shd w:val="clear" w:color="auto" w:fill="auto"/>
            <w:vAlign w:val="center"/>
          </w:tcPr>
          <w:p w14:paraId="0610FBE1"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2.016.800.000</w:t>
            </w:r>
          </w:p>
        </w:tc>
      </w:tr>
      <w:tr w:rsidR="00800F3D" w:rsidRPr="00615733" w14:paraId="5472B089" w14:textId="77777777" w:rsidTr="002A2D3E">
        <w:trPr>
          <w:trHeight w:val="310"/>
          <w:jc w:val="center"/>
        </w:trPr>
        <w:tc>
          <w:tcPr>
            <w:cnfStyle w:val="001000000000" w:firstRow="0" w:lastRow="0" w:firstColumn="1" w:lastColumn="0" w:oddVBand="0" w:evenVBand="0" w:oddHBand="0" w:evenHBand="0" w:firstRowFirstColumn="0" w:firstRowLastColumn="0" w:lastRowFirstColumn="0" w:lastRowLastColumn="0"/>
            <w:tcW w:w="1237" w:type="dxa"/>
            <w:tcBorders>
              <w:right w:val="single" w:sz="4" w:space="0" w:color="FFFFFF" w:themeColor="background1"/>
            </w:tcBorders>
            <w:shd w:val="clear" w:color="auto" w:fill="auto"/>
            <w:vAlign w:val="center"/>
            <w:hideMark/>
          </w:tcPr>
          <w:p w14:paraId="71A5D412" w14:textId="77777777" w:rsidR="00800F3D" w:rsidRPr="00615733" w:rsidRDefault="00800F3D" w:rsidP="0034020A">
            <w:pPr>
              <w:jc w:val="center"/>
              <w:rPr>
                <w:rFonts w:eastAsia="Times New Roman" w:cs="Times New Roman"/>
                <w:i w:val="0"/>
                <w:iCs w:val="0"/>
                <w:color w:val="000000"/>
                <w:sz w:val="22"/>
              </w:rPr>
            </w:pPr>
            <w:r w:rsidRPr="00615733">
              <w:rPr>
                <w:rFonts w:eastAsia="Times New Roman" w:cs="Times New Roman"/>
                <w:i w:val="0"/>
                <w:iCs w:val="0"/>
                <w:color w:val="000000"/>
                <w:sz w:val="22"/>
              </w:rPr>
              <w:t>TAEE11</w:t>
            </w:r>
          </w:p>
        </w:tc>
        <w:tc>
          <w:tcPr>
            <w:tcW w:w="1814" w:type="dxa"/>
            <w:tcBorders>
              <w:left w:val="single" w:sz="4" w:space="0" w:color="FFFFFF" w:themeColor="background1"/>
            </w:tcBorders>
            <w:shd w:val="clear" w:color="auto" w:fill="auto"/>
            <w:vAlign w:val="center"/>
            <w:hideMark/>
          </w:tcPr>
          <w:p w14:paraId="01C5AB95" w14:textId="77777777" w:rsidR="00800F3D" w:rsidRPr="00615733" w:rsidRDefault="00800F3D" w:rsidP="0034020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1.789.870.000</w:t>
            </w:r>
          </w:p>
        </w:tc>
        <w:tc>
          <w:tcPr>
            <w:tcW w:w="1814" w:type="dxa"/>
            <w:shd w:val="clear" w:color="auto" w:fill="auto"/>
            <w:vAlign w:val="center"/>
            <w:hideMark/>
          </w:tcPr>
          <w:p w14:paraId="17541C1E" w14:textId="77777777" w:rsidR="00800F3D" w:rsidRPr="00615733" w:rsidRDefault="00800F3D" w:rsidP="0034020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1.606.374.000</w:t>
            </w:r>
          </w:p>
        </w:tc>
        <w:tc>
          <w:tcPr>
            <w:tcW w:w="1814" w:type="dxa"/>
            <w:shd w:val="clear" w:color="auto" w:fill="auto"/>
            <w:vAlign w:val="center"/>
          </w:tcPr>
          <w:p w14:paraId="10C76C17" w14:textId="77777777" w:rsidR="00800F3D" w:rsidRPr="00615733" w:rsidRDefault="00800F3D" w:rsidP="0034020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1.789.870.000</w:t>
            </w:r>
          </w:p>
        </w:tc>
        <w:tc>
          <w:tcPr>
            <w:tcW w:w="1814" w:type="dxa"/>
            <w:shd w:val="clear" w:color="auto" w:fill="auto"/>
            <w:vAlign w:val="center"/>
          </w:tcPr>
          <w:p w14:paraId="4D8A79E2" w14:textId="77777777" w:rsidR="00800F3D" w:rsidRPr="00615733" w:rsidRDefault="00800F3D" w:rsidP="0034020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1.606.374.000</w:t>
            </w:r>
          </w:p>
        </w:tc>
      </w:tr>
      <w:tr w:rsidR="00800F3D" w:rsidRPr="00615733" w14:paraId="10A2C333" w14:textId="77777777" w:rsidTr="002A2D3E">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237" w:type="dxa"/>
            <w:tcBorders>
              <w:bottom w:val="single" w:sz="4" w:space="0" w:color="auto"/>
              <w:right w:val="single" w:sz="4" w:space="0" w:color="FFFFFF" w:themeColor="background1"/>
            </w:tcBorders>
            <w:shd w:val="clear" w:color="auto" w:fill="auto"/>
            <w:vAlign w:val="center"/>
            <w:hideMark/>
          </w:tcPr>
          <w:p w14:paraId="4EEB6504" w14:textId="77777777" w:rsidR="00800F3D" w:rsidRPr="00615733" w:rsidRDefault="00800F3D" w:rsidP="0034020A">
            <w:pPr>
              <w:jc w:val="center"/>
              <w:rPr>
                <w:rFonts w:eastAsia="Times New Roman" w:cs="Times New Roman"/>
                <w:i w:val="0"/>
                <w:iCs w:val="0"/>
                <w:color w:val="000000"/>
                <w:sz w:val="22"/>
              </w:rPr>
            </w:pPr>
            <w:r w:rsidRPr="00615733">
              <w:rPr>
                <w:rFonts w:eastAsia="Times New Roman" w:cs="Times New Roman"/>
                <w:i w:val="0"/>
                <w:iCs w:val="0"/>
                <w:color w:val="000000"/>
                <w:sz w:val="22"/>
              </w:rPr>
              <w:t>AURE3</w:t>
            </w:r>
          </w:p>
        </w:tc>
        <w:tc>
          <w:tcPr>
            <w:tcW w:w="1814" w:type="dxa"/>
            <w:tcBorders>
              <w:left w:val="single" w:sz="4" w:space="0" w:color="FFFFFF" w:themeColor="background1"/>
              <w:bottom w:val="single" w:sz="4" w:space="0" w:color="auto"/>
            </w:tcBorders>
            <w:shd w:val="clear" w:color="auto" w:fill="auto"/>
            <w:vAlign w:val="center"/>
            <w:hideMark/>
          </w:tcPr>
          <w:p w14:paraId="378F1DD9"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100.000.000</w:t>
            </w:r>
          </w:p>
        </w:tc>
        <w:tc>
          <w:tcPr>
            <w:tcW w:w="1814" w:type="dxa"/>
            <w:tcBorders>
              <w:bottom w:val="single" w:sz="4" w:space="0" w:color="auto"/>
            </w:tcBorders>
            <w:shd w:val="clear" w:color="auto" w:fill="auto"/>
            <w:vAlign w:val="center"/>
            <w:hideMark/>
          </w:tcPr>
          <w:p w14:paraId="0878EE0B"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0</w:t>
            </w:r>
          </w:p>
        </w:tc>
        <w:tc>
          <w:tcPr>
            <w:tcW w:w="1814" w:type="dxa"/>
            <w:tcBorders>
              <w:bottom w:val="single" w:sz="4" w:space="0" w:color="auto"/>
            </w:tcBorders>
            <w:shd w:val="clear" w:color="auto" w:fill="auto"/>
            <w:vAlign w:val="center"/>
          </w:tcPr>
          <w:p w14:paraId="2250D82A"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100.000.000</w:t>
            </w:r>
          </w:p>
        </w:tc>
        <w:tc>
          <w:tcPr>
            <w:tcW w:w="1814" w:type="dxa"/>
            <w:tcBorders>
              <w:bottom w:val="single" w:sz="4" w:space="0" w:color="auto"/>
            </w:tcBorders>
            <w:shd w:val="clear" w:color="auto" w:fill="auto"/>
            <w:vAlign w:val="center"/>
          </w:tcPr>
          <w:p w14:paraId="128197A1" w14:textId="77777777" w:rsidR="00800F3D" w:rsidRPr="00615733" w:rsidRDefault="00800F3D" w:rsidP="0034020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15733">
              <w:rPr>
                <w:rFonts w:eastAsia="Times New Roman" w:cs="Times New Roman"/>
                <w:color w:val="000000"/>
                <w:sz w:val="22"/>
              </w:rPr>
              <w:t>0</w:t>
            </w:r>
          </w:p>
        </w:tc>
      </w:tr>
    </w:tbl>
    <w:p w14:paraId="4F27287C" w14:textId="77777777" w:rsidR="00800F3D" w:rsidRPr="00626CE6" w:rsidRDefault="00800F3D" w:rsidP="002A2D3E">
      <w:pPr>
        <w:ind w:firstLine="284"/>
        <w:rPr>
          <w:rFonts w:cs="Times New Roman"/>
          <w:sz w:val="20"/>
          <w:szCs w:val="20"/>
        </w:rPr>
      </w:pPr>
      <w:r w:rsidRPr="00626CE6">
        <w:rPr>
          <w:rFonts w:cs="Times New Roman"/>
          <w:b/>
          <w:bCs/>
          <w:sz w:val="20"/>
          <w:szCs w:val="20"/>
        </w:rPr>
        <w:t>Fonte</w:t>
      </w:r>
      <w:r w:rsidRPr="00626CE6">
        <w:rPr>
          <w:rFonts w:cs="Times New Roman"/>
          <w:sz w:val="20"/>
          <w:szCs w:val="20"/>
        </w:rPr>
        <w:t>: dados da pesquisa</w:t>
      </w:r>
    </w:p>
    <w:p w14:paraId="0E58D668" w14:textId="37652F1B" w:rsidR="00D3671A" w:rsidRPr="00D3671A" w:rsidRDefault="00D3671A" w:rsidP="0034020A">
      <w:pPr>
        <w:rPr>
          <w:rFonts w:cs="Times New Roman"/>
          <w:bCs/>
          <w:szCs w:val="24"/>
        </w:rPr>
      </w:pPr>
      <w:r w:rsidRPr="00D3671A">
        <w:rPr>
          <w:rFonts w:cs="Times New Roman"/>
          <w:bCs/>
          <w:szCs w:val="24"/>
        </w:rPr>
        <w:tab/>
        <w:t>Como parte da exploração dos dados, foi executada uma série de regressões lineares simples, conforme apresentado na Tabela 6.</w:t>
      </w:r>
    </w:p>
    <w:p w14:paraId="32412E73" w14:textId="77777777" w:rsidR="00D3671A" w:rsidRDefault="00D3671A" w:rsidP="0034020A">
      <w:pPr>
        <w:rPr>
          <w:rFonts w:cs="Times New Roman"/>
          <w:b/>
          <w:szCs w:val="24"/>
        </w:rPr>
      </w:pPr>
    </w:p>
    <w:p w14:paraId="35BACD31" w14:textId="72EB2956" w:rsidR="00D3671A" w:rsidRPr="00626CE6" w:rsidRDefault="00626CE6" w:rsidP="00D3671A">
      <w:pPr>
        <w:pStyle w:val="Legenda"/>
        <w:keepNext/>
        <w:spacing w:after="0"/>
        <w:ind w:left="993" w:right="991"/>
        <w:jc w:val="center"/>
        <w:rPr>
          <w:rFonts w:ascii="Roboto Lt" w:hAnsi="Roboto Lt" w:cs="Times New Roman"/>
          <w:i w:val="0"/>
          <w:color w:val="auto"/>
          <w:sz w:val="22"/>
          <w:szCs w:val="22"/>
        </w:rPr>
      </w:pPr>
      <w:r w:rsidRPr="00626CE6">
        <w:rPr>
          <w:rFonts w:ascii="Roboto Lt" w:hAnsi="Roboto Lt" w:cs="Times New Roman"/>
          <w:b/>
          <w:bCs/>
          <w:i w:val="0"/>
          <w:color w:val="auto"/>
          <w:sz w:val="22"/>
          <w:szCs w:val="22"/>
        </w:rPr>
        <w:t xml:space="preserve">Tabela </w:t>
      </w:r>
      <w:r w:rsidR="00D3671A" w:rsidRPr="00626CE6">
        <w:rPr>
          <w:rFonts w:ascii="Roboto Lt" w:hAnsi="Roboto Lt" w:cs="Times New Roman"/>
          <w:b/>
          <w:bCs/>
          <w:i w:val="0"/>
          <w:color w:val="auto"/>
          <w:sz w:val="22"/>
          <w:szCs w:val="22"/>
        </w:rPr>
        <w:t xml:space="preserve">6 </w:t>
      </w:r>
      <w:r w:rsidR="00D3671A" w:rsidRPr="00626CE6">
        <w:rPr>
          <w:rFonts w:ascii="Roboto Lt" w:hAnsi="Roboto Lt" w:cs="Times New Roman"/>
          <w:i w:val="0"/>
          <w:color w:val="auto"/>
          <w:sz w:val="22"/>
          <w:szCs w:val="22"/>
        </w:rPr>
        <w:t>– Resultados das regressões lineares simples</w:t>
      </w:r>
    </w:p>
    <w:tbl>
      <w:tblPr>
        <w:tblStyle w:val="SimplesTabela3"/>
        <w:tblW w:w="7103" w:type="dxa"/>
        <w:jc w:val="center"/>
        <w:tblLook w:val="04A0" w:firstRow="1" w:lastRow="0" w:firstColumn="1" w:lastColumn="0" w:noHBand="0" w:noVBand="1"/>
      </w:tblPr>
      <w:tblGrid>
        <w:gridCol w:w="1983"/>
        <w:gridCol w:w="1416"/>
        <w:gridCol w:w="2173"/>
        <w:gridCol w:w="1531"/>
      </w:tblGrid>
      <w:tr w:rsidR="00D3671A" w:rsidRPr="00D3671A" w14:paraId="150BCAC8" w14:textId="77777777" w:rsidTr="00D3671A">
        <w:trPr>
          <w:cnfStyle w:val="100000000000" w:firstRow="1" w:lastRow="0" w:firstColumn="0" w:lastColumn="0" w:oddVBand="0" w:evenVBand="0" w:oddHBand="0" w:evenHBand="0" w:firstRowFirstColumn="0" w:firstRowLastColumn="0" w:lastRowFirstColumn="0" w:lastRowLastColumn="0"/>
          <w:trHeight w:val="680"/>
          <w:jc w:val="center"/>
        </w:trPr>
        <w:tc>
          <w:tcPr>
            <w:cnfStyle w:val="001000000100" w:firstRow="0" w:lastRow="0" w:firstColumn="1" w:lastColumn="0" w:oddVBand="0" w:evenVBand="0" w:oddHBand="0" w:evenHBand="0" w:firstRowFirstColumn="1" w:firstRowLastColumn="0" w:lastRowFirstColumn="0" w:lastRowLastColumn="0"/>
            <w:tcW w:w="1983" w:type="dxa"/>
            <w:tcBorders>
              <w:top w:val="single" w:sz="4" w:space="0" w:color="auto"/>
              <w:right w:val="single" w:sz="4" w:space="0" w:color="FFFFFF" w:themeColor="background1"/>
            </w:tcBorders>
            <w:shd w:val="clear" w:color="auto" w:fill="auto"/>
            <w:vAlign w:val="center"/>
          </w:tcPr>
          <w:p w14:paraId="5A5EA1DF" w14:textId="77777777" w:rsidR="00D3671A" w:rsidRPr="00D3671A" w:rsidRDefault="00D3671A" w:rsidP="00906F00">
            <w:pPr>
              <w:rPr>
                <w:rFonts w:cs="Times New Roman"/>
                <w:b w:val="0"/>
                <w:bCs w:val="0"/>
                <w:sz w:val="22"/>
              </w:rPr>
            </w:pPr>
          </w:p>
        </w:tc>
        <w:tc>
          <w:tcPr>
            <w:tcW w:w="1416" w:type="dxa"/>
            <w:tcBorders>
              <w:top w:val="single" w:sz="4" w:space="0" w:color="auto"/>
              <w:left w:val="single" w:sz="4" w:space="0" w:color="FFFFFF" w:themeColor="background1"/>
            </w:tcBorders>
            <w:shd w:val="clear" w:color="auto" w:fill="auto"/>
            <w:vAlign w:val="center"/>
          </w:tcPr>
          <w:p w14:paraId="7B74D661" w14:textId="77777777" w:rsidR="00D3671A" w:rsidRPr="00D3671A" w:rsidRDefault="00D3671A" w:rsidP="00906F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r w:rsidRPr="00D3671A">
              <w:rPr>
                <w:rFonts w:cs="Times New Roman"/>
                <w:b w:val="0"/>
                <w:bCs w:val="0"/>
                <w:caps w:val="0"/>
                <w:sz w:val="22"/>
              </w:rPr>
              <w:t xml:space="preserve">Constante </w:t>
            </w:r>
            <w:r w:rsidRPr="00D3671A">
              <w:rPr>
                <w:rFonts w:cs="Times New Roman"/>
                <w:b w:val="0"/>
                <w:bCs w:val="0"/>
                <w:caps w:val="0"/>
                <w:sz w:val="22"/>
              </w:rPr>
              <w:br/>
              <w:t>(α)</w:t>
            </w:r>
          </w:p>
        </w:tc>
        <w:tc>
          <w:tcPr>
            <w:tcW w:w="2173" w:type="dxa"/>
            <w:tcBorders>
              <w:top w:val="single" w:sz="4" w:space="0" w:color="auto"/>
            </w:tcBorders>
            <w:shd w:val="clear" w:color="auto" w:fill="auto"/>
            <w:vAlign w:val="center"/>
          </w:tcPr>
          <w:p w14:paraId="4C51366E" w14:textId="77777777" w:rsidR="00D3671A" w:rsidRPr="00D3671A" w:rsidRDefault="00D3671A" w:rsidP="00906F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r w:rsidRPr="00D3671A">
              <w:rPr>
                <w:rFonts w:cs="Times New Roman"/>
                <w:b w:val="0"/>
                <w:bCs w:val="0"/>
                <w:caps w:val="0"/>
                <w:sz w:val="22"/>
              </w:rPr>
              <w:t>Variável Independente (β)</w:t>
            </w:r>
          </w:p>
        </w:tc>
        <w:tc>
          <w:tcPr>
            <w:tcW w:w="1531" w:type="dxa"/>
            <w:tcBorders>
              <w:top w:val="single" w:sz="4" w:space="0" w:color="auto"/>
            </w:tcBorders>
            <w:vAlign w:val="center"/>
          </w:tcPr>
          <w:p w14:paraId="7D432C6A" w14:textId="77777777" w:rsidR="00D3671A" w:rsidRPr="00D3671A" w:rsidDel="004329E9" w:rsidRDefault="00D3671A" w:rsidP="00906F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rPr>
            </w:pPr>
            <w:r w:rsidRPr="00D3671A">
              <w:rPr>
                <w:rFonts w:cs="Times New Roman"/>
                <w:b w:val="0"/>
                <w:bCs w:val="0"/>
                <w:caps w:val="0"/>
                <w:sz w:val="22"/>
              </w:rPr>
              <w:t xml:space="preserve">p-valor </w:t>
            </w:r>
            <w:r w:rsidRPr="00D3671A">
              <w:rPr>
                <w:rFonts w:cs="Times New Roman"/>
                <w:b w:val="0"/>
                <w:bCs w:val="0"/>
                <w:caps w:val="0"/>
                <w:sz w:val="22"/>
              </w:rPr>
              <w:br/>
              <w:t>(β)</w:t>
            </w:r>
          </w:p>
        </w:tc>
      </w:tr>
      <w:tr w:rsidR="00D3671A" w:rsidRPr="00D3671A" w14:paraId="68698B42" w14:textId="77777777" w:rsidTr="00D3671A">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983" w:type="dxa"/>
            <w:tcBorders>
              <w:right w:val="single" w:sz="4" w:space="0" w:color="FFFFFF" w:themeColor="background1"/>
            </w:tcBorders>
            <w:shd w:val="clear" w:color="auto" w:fill="auto"/>
          </w:tcPr>
          <w:p w14:paraId="006F2045" w14:textId="77777777" w:rsidR="00D3671A" w:rsidRPr="00D3671A" w:rsidRDefault="00D3671A" w:rsidP="00906F00">
            <w:pPr>
              <w:rPr>
                <w:rFonts w:cs="Times New Roman"/>
                <w:b w:val="0"/>
                <w:bCs w:val="0"/>
                <w:sz w:val="22"/>
              </w:rPr>
            </w:pPr>
            <w:r w:rsidRPr="00D3671A">
              <w:rPr>
                <w:rFonts w:cs="Times New Roman"/>
                <w:b w:val="0"/>
                <w:bCs w:val="0"/>
                <w:caps w:val="0"/>
                <w:sz w:val="22"/>
              </w:rPr>
              <w:t>ROE</w:t>
            </w:r>
          </w:p>
        </w:tc>
        <w:tc>
          <w:tcPr>
            <w:tcW w:w="1416" w:type="dxa"/>
            <w:tcBorders>
              <w:left w:val="single" w:sz="4" w:space="0" w:color="FFFFFF" w:themeColor="background1"/>
            </w:tcBorders>
            <w:shd w:val="clear" w:color="auto" w:fill="auto"/>
          </w:tcPr>
          <w:p w14:paraId="4235A0BA" w14:textId="77777777" w:rsidR="00D3671A" w:rsidRPr="00D3671A" w:rsidRDefault="00D3671A" w:rsidP="00906F00">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D3671A">
              <w:rPr>
                <w:rFonts w:cs="Times New Roman"/>
                <w:sz w:val="22"/>
              </w:rPr>
              <w:t>0,24</w:t>
            </w:r>
          </w:p>
        </w:tc>
        <w:tc>
          <w:tcPr>
            <w:tcW w:w="2173" w:type="dxa"/>
            <w:shd w:val="clear" w:color="auto" w:fill="auto"/>
          </w:tcPr>
          <w:p w14:paraId="1E63D91D" w14:textId="38E5A4A6" w:rsidR="00D3671A" w:rsidRPr="00D3671A" w:rsidRDefault="00D3671A" w:rsidP="00906F00">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D3671A">
              <w:rPr>
                <w:rFonts w:cs="Times New Roman"/>
                <w:sz w:val="22"/>
              </w:rPr>
              <w:t>0,17 (0,31)</w:t>
            </w:r>
          </w:p>
        </w:tc>
        <w:tc>
          <w:tcPr>
            <w:tcW w:w="1531" w:type="dxa"/>
            <w:shd w:val="clear" w:color="auto" w:fill="auto"/>
          </w:tcPr>
          <w:p w14:paraId="74B1E9F6" w14:textId="77777777" w:rsidR="00D3671A" w:rsidRPr="00D3671A" w:rsidDel="004329E9" w:rsidRDefault="00D3671A" w:rsidP="00906F00">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D3671A">
              <w:rPr>
                <w:rFonts w:cs="Times New Roman"/>
                <w:sz w:val="22"/>
              </w:rPr>
              <w:t>0,35</w:t>
            </w:r>
          </w:p>
        </w:tc>
      </w:tr>
      <w:tr w:rsidR="00D3671A" w:rsidRPr="00D3671A" w14:paraId="42252738" w14:textId="77777777" w:rsidTr="00D3671A">
        <w:trPr>
          <w:trHeight w:val="361"/>
          <w:jc w:val="center"/>
        </w:trPr>
        <w:tc>
          <w:tcPr>
            <w:cnfStyle w:val="001000000000" w:firstRow="0" w:lastRow="0" w:firstColumn="1" w:lastColumn="0" w:oddVBand="0" w:evenVBand="0" w:oddHBand="0" w:evenHBand="0" w:firstRowFirstColumn="0" w:firstRowLastColumn="0" w:lastRowFirstColumn="0" w:lastRowLastColumn="0"/>
            <w:tcW w:w="1983" w:type="dxa"/>
            <w:tcBorders>
              <w:right w:val="single" w:sz="4" w:space="0" w:color="FFFFFF" w:themeColor="background1"/>
            </w:tcBorders>
            <w:shd w:val="clear" w:color="auto" w:fill="auto"/>
          </w:tcPr>
          <w:p w14:paraId="34105DC9" w14:textId="77777777" w:rsidR="00D3671A" w:rsidRPr="00D3671A" w:rsidRDefault="00D3671A" w:rsidP="00906F00">
            <w:pPr>
              <w:rPr>
                <w:rFonts w:cs="Times New Roman"/>
                <w:b w:val="0"/>
                <w:bCs w:val="0"/>
                <w:sz w:val="22"/>
              </w:rPr>
            </w:pPr>
            <w:r w:rsidRPr="00D3671A">
              <w:rPr>
                <w:rFonts w:cs="Times New Roman"/>
                <w:b w:val="0"/>
                <w:bCs w:val="0"/>
                <w:caps w:val="0"/>
                <w:sz w:val="22"/>
              </w:rPr>
              <w:t>ROA</w:t>
            </w:r>
          </w:p>
        </w:tc>
        <w:tc>
          <w:tcPr>
            <w:tcW w:w="1416" w:type="dxa"/>
            <w:tcBorders>
              <w:left w:val="single" w:sz="4" w:space="0" w:color="FFFFFF" w:themeColor="background1"/>
            </w:tcBorders>
            <w:shd w:val="clear" w:color="auto" w:fill="auto"/>
          </w:tcPr>
          <w:p w14:paraId="72EAB6B1" w14:textId="77777777" w:rsidR="00D3671A" w:rsidRPr="00D3671A" w:rsidRDefault="00D3671A" w:rsidP="00906F00">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D3671A">
              <w:rPr>
                <w:rFonts w:cs="Times New Roman"/>
                <w:sz w:val="22"/>
              </w:rPr>
              <w:t>0,27</w:t>
            </w:r>
          </w:p>
        </w:tc>
        <w:tc>
          <w:tcPr>
            <w:tcW w:w="2173" w:type="dxa"/>
            <w:shd w:val="clear" w:color="auto" w:fill="auto"/>
          </w:tcPr>
          <w:p w14:paraId="316F99DD" w14:textId="782DB3AD" w:rsidR="00D3671A" w:rsidRPr="00D3671A" w:rsidRDefault="00D3671A" w:rsidP="00906F00">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D3671A">
              <w:rPr>
                <w:rFonts w:cs="Times New Roman"/>
                <w:sz w:val="22"/>
              </w:rPr>
              <w:t>0,16 (0,32)</w:t>
            </w:r>
          </w:p>
        </w:tc>
        <w:tc>
          <w:tcPr>
            <w:tcW w:w="1531" w:type="dxa"/>
            <w:shd w:val="clear" w:color="auto" w:fill="auto"/>
          </w:tcPr>
          <w:p w14:paraId="2923168F" w14:textId="77777777" w:rsidR="00D3671A" w:rsidRPr="00D3671A" w:rsidDel="004329E9" w:rsidRDefault="00D3671A" w:rsidP="00906F00">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D3671A">
              <w:rPr>
                <w:rFonts w:cs="Times New Roman"/>
                <w:sz w:val="22"/>
              </w:rPr>
              <w:t>0,50</w:t>
            </w:r>
          </w:p>
        </w:tc>
      </w:tr>
      <w:tr w:rsidR="00D3671A" w:rsidRPr="00D3671A" w14:paraId="7B0D99D2" w14:textId="77777777" w:rsidTr="00D3671A">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983" w:type="dxa"/>
            <w:tcBorders>
              <w:right w:val="single" w:sz="4" w:space="0" w:color="FFFFFF" w:themeColor="background1"/>
            </w:tcBorders>
            <w:shd w:val="clear" w:color="auto" w:fill="auto"/>
          </w:tcPr>
          <w:p w14:paraId="265E5CD2" w14:textId="77777777" w:rsidR="00D3671A" w:rsidRPr="00D3671A" w:rsidRDefault="00D3671A" w:rsidP="00906F00">
            <w:pPr>
              <w:rPr>
                <w:rFonts w:cs="Times New Roman"/>
                <w:b w:val="0"/>
                <w:bCs w:val="0"/>
                <w:sz w:val="22"/>
              </w:rPr>
            </w:pPr>
            <w:r w:rsidRPr="00D3671A">
              <w:rPr>
                <w:rFonts w:cs="Times New Roman"/>
                <w:b w:val="0"/>
                <w:bCs w:val="0"/>
                <w:caps w:val="0"/>
                <w:sz w:val="22"/>
              </w:rPr>
              <w:t>Dívida líquida/PL</w:t>
            </w:r>
          </w:p>
        </w:tc>
        <w:tc>
          <w:tcPr>
            <w:tcW w:w="1416" w:type="dxa"/>
            <w:tcBorders>
              <w:left w:val="single" w:sz="4" w:space="0" w:color="FFFFFF" w:themeColor="background1"/>
            </w:tcBorders>
            <w:shd w:val="clear" w:color="auto" w:fill="auto"/>
          </w:tcPr>
          <w:p w14:paraId="0D1BB717" w14:textId="77777777" w:rsidR="00D3671A" w:rsidRPr="00D3671A" w:rsidRDefault="00D3671A" w:rsidP="00906F00">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D3671A">
              <w:rPr>
                <w:rFonts w:cs="Times New Roman"/>
                <w:sz w:val="22"/>
              </w:rPr>
              <w:t>0,29</w:t>
            </w:r>
          </w:p>
        </w:tc>
        <w:tc>
          <w:tcPr>
            <w:tcW w:w="2173" w:type="dxa"/>
            <w:shd w:val="clear" w:color="auto" w:fill="auto"/>
          </w:tcPr>
          <w:p w14:paraId="7B4B95D0" w14:textId="41213EF8" w:rsidR="00D3671A" w:rsidRPr="00D3671A" w:rsidRDefault="00D3671A" w:rsidP="00906F00">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D3671A">
              <w:rPr>
                <w:rFonts w:cs="Times New Roman"/>
                <w:sz w:val="22"/>
              </w:rPr>
              <w:t>0,01 (0,32)</w:t>
            </w:r>
          </w:p>
        </w:tc>
        <w:tc>
          <w:tcPr>
            <w:tcW w:w="1531" w:type="dxa"/>
            <w:shd w:val="clear" w:color="auto" w:fill="auto"/>
          </w:tcPr>
          <w:p w14:paraId="4F6F4742" w14:textId="77777777" w:rsidR="00D3671A" w:rsidRPr="00D3671A" w:rsidDel="004329E9" w:rsidRDefault="00D3671A" w:rsidP="00906F00">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D3671A">
              <w:rPr>
                <w:rFonts w:cs="Times New Roman"/>
                <w:sz w:val="22"/>
              </w:rPr>
              <w:t>0,68</w:t>
            </w:r>
          </w:p>
        </w:tc>
      </w:tr>
      <w:tr w:rsidR="00D3671A" w:rsidRPr="00D3671A" w14:paraId="79EB6F3C" w14:textId="77777777" w:rsidTr="00D3671A">
        <w:trPr>
          <w:trHeight w:val="361"/>
          <w:jc w:val="center"/>
        </w:trPr>
        <w:tc>
          <w:tcPr>
            <w:cnfStyle w:val="001000000000" w:firstRow="0" w:lastRow="0" w:firstColumn="1" w:lastColumn="0" w:oddVBand="0" w:evenVBand="0" w:oddHBand="0" w:evenHBand="0" w:firstRowFirstColumn="0" w:firstRowLastColumn="0" w:lastRowFirstColumn="0" w:lastRowLastColumn="0"/>
            <w:tcW w:w="1983" w:type="dxa"/>
            <w:tcBorders>
              <w:bottom w:val="single" w:sz="4" w:space="0" w:color="auto"/>
              <w:right w:val="single" w:sz="4" w:space="0" w:color="FFFFFF" w:themeColor="background1"/>
            </w:tcBorders>
            <w:shd w:val="clear" w:color="auto" w:fill="auto"/>
            <w:vAlign w:val="center"/>
          </w:tcPr>
          <w:p w14:paraId="53D30E3D" w14:textId="77777777" w:rsidR="00D3671A" w:rsidRPr="00D3671A" w:rsidRDefault="00D3671A" w:rsidP="00906F00">
            <w:pPr>
              <w:rPr>
                <w:rFonts w:cs="Times New Roman"/>
                <w:b w:val="0"/>
                <w:bCs w:val="0"/>
                <w:sz w:val="22"/>
              </w:rPr>
            </w:pPr>
            <w:r w:rsidRPr="00D3671A">
              <w:rPr>
                <w:rFonts w:cs="Times New Roman"/>
                <w:b w:val="0"/>
                <w:bCs w:val="0"/>
                <w:caps w:val="0"/>
                <w:sz w:val="22"/>
              </w:rPr>
              <w:t>Margem Líquida</w:t>
            </w:r>
          </w:p>
        </w:tc>
        <w:tc>
          <w:tcPr>
            <w:tcW w:w="1416" w:type="dxa"/>
            <w:tcBorders>
              <w:left w:val="single" w:sz="4" w:space="0" w:color="FFFFFF" w:themeColor="background1"/>
              <w:bottom w:val="single" w:sz="4" w:space="0" w:color="auto"/>
            </w:tcBorders>
            <w:shd w:val="clear" w:color="auto" w:fill="auto"/>
          </w:tcPr>
          <w:p w14:paraId="62D62B3A" w14:textId="77777777" w:rsidR="00D3671A" w:rsidRPr="00D3671A" w:rsidRDefault="00D3671A" w:rsidP="00906F00">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D3671A">
              <w:rPr>
                <w:rFonts w:cs="Times New Roman"/>
                <w:sz w:val="22"/>
              </w:rPr>
              <w:t>0,30</w:t>
            </w:r>
          </w:p>
        </w:tc>
        <w:tc>
          <w:tcPr>
            <w:tcW w:w="2173" w:type="dxa"/>
            <w:tcBorders>
              <w:bottom w:val="single" w:sz="4" w:space="0" w:color="auto"/>
            </w:tcBorders>
            <w:shd w:val="clear" w:color="auto" w:fill="auto"/>
          </w:tcPr>
          <w:p w14:paraId="4D452D95" w14:textId="19C53047" w:rsidR="00D3671A" w:rsidRPr="00D3671A" w:rsidRDefault="00D3671A" w:rsidP="00906F00">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D3671A">
              <w:rPr>
                <w:rFonts w:cs="Times New Roman"/>
                <w:sz w:val="22"/>
              </w:rPr>
              <w:t>-0,03 (0,32)</w:t>
            </w:r>
          </w:p>
        </w:tc>
        <w:tc>
          <w:tcPr>
            <w:tcW w:w="1531" w:type="dxa"/>
            <w:tcBorders>
              <w:bottom w:val="single" w:sz="4" w:space="0" w:color="auto"/>
            </w:tcBorders>
            <w:shd w:val="clear" w:color="auto" w:fill="auto"/>
          </w:tcPr>
          <w:p w14:paraId="7E64BE74" w14:textId="77777777" w:rsidR="00D3671A" w:rsidRPr="00D3671A" w:rsidDel="004329E9" w:rsidRDefault="00D3671A" w:rsidP="00906F00">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D3671A">
              <w:rPr>
                <w:rFonts w:cs="Times New Roman"/>
                <w:sz w:val="22"/>
              </w:rPr>
              <w:t>0,82</w:t>
            </w:r>
          </w:p>
        </w:tc>
      </w:tr>
    </w:tbl>
    <w:p w14:paraId="66B1CA0E" w14:textId="77777777" w:rsidR="00626CE6" w:rsidRDefault="00D3671A" w:rsidP="00626CE6">
      <w:pPr>
        <w:spacing w:line="240" w:lineRule="auto"/>
        <w:ind w:left="993" w:right="991"/>
        <w:rPr>
          <w:rFonts w:cs="Times New Roman"/>
          <w:sz w:val="20"/>
          <w:szCs w:val="20"/>
        </w:rPr>
      </w:pPr>
      <w:r w:rsidRPr="00626CE6">
        <w:rPr>
          <w:rFonts w:cs="Times New Roman"/>
          <w:b/>
          <w:bCs/>
          <w:sz w:val="20"/>
          <w:szCs w:val="20"/>
        </w:rPr>
        <w:t>Fonte</w:t>
      </w:r>
      <w:r w:rsidRPr="00626CE6">
        <w:rPr>
          <w:rFonts w:cs="Times New Roman"/>
          <w:sz w:val="20"/>
          <w:szCs w:val="20"/>
        </w:rPr>
        <w:t xml:space="preserve">: dados da pesquisa. </w:t>
      </w:r>
    </w:p>
    <w:p w14:paraId="58173DD1" w14:textId="2D77C448" w:rsidR="00D3671A" w:rsidRPr="00626CE6" w:rsidRDefault="00D3671A" w:rsidP="00626CE6">
      <w:pPr>
        <w:spacing w:line="240" w:lineRule="auto"/>
        <w:ind w:left="993" w:right="991"/>
        <w:rPr>
          <w:rFonts w:cs="Times New Roman"/>
          <w:sz w:val="20"/>
          <w:szCs w:val="20"/>
        </w:rPr>
      </w:pPr>
      <w:r w:rsidRPr="00626CE6">
        <w:rPr>
          <w:rFonts w:cs="Times New Roman"/>
          <w:b/>
          <w:bCs/>
          <w:sz w:val="20"/>
          <w:szCs w:val="20"/>
        </w:rPr>
        <w:t>Nota</w:t>
      </w:r>
      <w:r w:rsidRPr="00626CE6">
        <w:rPr>
          <w:rFonts w:cs="Times New Roman"/>
          <w:sz w:val="20"/>
          <w:szCs w:val="20"/>
        </w:rPr>
        <w:t>: a variável dependente é o excesso de dividendos declarados; entre parênteses são reportados os erros-padrão. Como robustez, foi executado um segundo conjunto de regressões com eliminação de outliers, o que produziu os mesmos resultados em termos de significâncias estatísticas.</w:t>
      </w:r>
    </w:p>
    <w:p w14:paraId="103750B6" w14:textId="77777777" w:rsidR="00D3671A" w:rsidRDefault="00D3671A" w:rsidP="0034020A">
      <w:pPr>
        <w:rPr>
          <w:rFonts w:cs="Times New Roman"/>
          <w:b/>
          <w:szCs w:val="24"/>
        </w:rPr>
      </w:pPr>
    </w:p>
    <w:p w14:paraId="5FDD2650" w14:textId="34BBD310" w:rsidR="00D3671A" w:rsidRPr="00D3671A" w:rsidRDefault="00D3671A" w:rsidP="00D3671A">
      <w:pPr>
        <w:ind w:firstLine="851"/>
        <w:rPr>
          <w:rFonts w:cs="Times New Roman"/>
          <w:bCs/>
          <w:szCs w:val="24"/>
        </w:rPr>
      </w:pPr>
      <w:r w:rsidRPr="00D3671A">
        <w:rPr>
          <w:rFonts w:cs="Times New Roman"/>
          <w:bCs/>
          <w:szCs w:val="24"/>
        </w:rPr>
        <w:t xml:space="preserve">Conforme </w:t>
      </w:r>
      <w:r w:rsidR="00677B9D">
        <w:rPr>
          <w:rFonts w:cs="Times New Roman"/>
          <w:bCs/>
          <w:szCs w:val="24"/>
        </w:rPr>
        <w:t>verificado por meio das regressões</w:t>
      </w:r>
      <w:r w:rsidRPr="00D3671A">
        <w:rPr>
          <w:rFonts w:cs="Times New Roman"/>
          <w:bCs/>
          <w:szCs w:val="24"/>
        </w:rPr>
        <w:t>, nenhuma das variáveis explicativas listadas é suficiente para explicar o excesso de dividendos declarados, uma vez que não se pôde rejeitar</w:t>
      </w:r>
      <w:r w:rsidR="00677B9D">
        <w:rPr>
          <w:rFonts w:cs="Times New Roman"/>
          <w:bCs/>
          <w:szCs w:val="24"/>
        </w:rPr>
        <w:t>, a um nível de significância de 5%,</w:t>
      </w:r>
      <w:r w:rsidRPr="00D3671A">
        <w:rPr>
          <w:rFonts w:cs="Times New Roman"/>
          <w:bCs/>
          <w:szCs w:val="24"/>
        </w:rPr>
        <w:t xml:space="preserve"> a hipótese nula de que o coeficiente beta das variáveis independentes é igual a zero. </w:t>
      </w:r>
      <w:r w:rsidR="00677B9D">
        <w:rPr>
          <w:rFonts w:cs="Times New Roman"/>
          <w:bCs/>
          <w:szCs w:val="24"/>
        </w:rPr>
        <w:t>Portanto, esses modelos iniciais não evidenciam um padrão de comportamento do excesso de dividendos em função de características financeiras da firma.</w:t>
      </w:r>
    </w:p>
    <w:p w14:paraId="20B6DF10" w14:textId="77777777" w:rsidR="00800F3D" w:rsidRDefault="00800F3D" w:rsidP="0034020A">
      <w:pPr>
        <w:pStyle w:val="Ttulo1"/>
        <w:spacing w:before="0" w:after="0"/>
      </w:pPr>
      <w:bookmarkStart w:id="13" w:name="_Toc121217972"/>
      <w:r>
        <w:t>5 CONSIDERAÇÕES FINAIS</w:t>
      </w:r>
      <w:bookmarkEnd w:id="13"/>
    </w:p>
    <w:p w14:paraId="22981C71" w14:textId="77777777" w:rsidR="00800F3D" w:rsidRDefault="00800F3D" w:rsidP="0034020A">
      <w:pPr>
        <w:ind w:firstLine="851"/>
        <w:rPr>
          <w:rFonts w:cs="Times New Roman"/>
          <w:b/>
          <w:szCs w:val="24"/>
        </w:rPr>
      </w:pPr>
    </w:p>
    <w:p w14:paraId="4087D44C" w14:textId="503B0CD2" w:rsidR="00800F3D" w:rsidRDefault="00800F3D" w:rsidP="0034020A">
      <w:pPr>
        <w:ind w:firstLine="851"/>
        <w:rPr>
          <w:rFonts w:cs="Times New Roman"/>
          <w:szCs w:val="24"/>
        </w:rPr>
      </w:pPr>
      <w:r w:rsidRPr="009F4879">
        <w:rPr>
          <w:rFonts w:cs="Times New Roman"/>
          <w:szCs w:val="24"/>
        </w:rPr>
        <w:t xml:space="preserve">Em um mercado </w:t>
      </w:r>
      <w:r>
        <w:rPr>
          <w:rFonts w:cs="Times New Roman"/>
          <w:szCs w:val="24"/>
        </w:rPr>
        <w:t>de capitais</w:t>
      </w:r>
      <w:r w:rsidRPr="009F4879">
        <w:rPr>
          <w:rFonts w:cs="Times New Roman"/>
          <w:szCs w:val="24"/>
        </w:rPr>
        <w:t xml:space="preserve"> competitivo</w:t>
      </w:r>
      <w:r>
        <w:rPr>
          <w:rFonts w:cs="Times New Roman"/>
          <w:szCs w:val="24"/>
        </w:rPr>
        <w:t>, as empresas procuram cada vez mais engajar seus</w:t>
      </w:r>
      <w:r w:rsidRPr="009F4879">
        <w:rPr>
          <w:rFonts w:cs="Times New Roman"/>
          <w:szCs w:val="24"/>
        </w:rPr>
        <w:t xml:space="preserve"> investidores com políticas</w:t>
      </w:r>
      <w:r>
        <w:rPr>
          <w:rFonts w:cs="Times New Roman"/>
          <w:szCs w:val="24"/>
        </w:rPr>
        <w:t xml:space="preserve"> especiais, </w:t>
      </w:r>
      <w:r w:rsidRPr="009F4879">
        <w:rPr>
          <w:rFonts w:cs="Times New Roman"/>
          <w:szCs w:val="24"/>
        </w:rPr>
        <w:t>destaca</w:t>
      </w:r>
      <w:r>
        <w:rPr>
          <w:rFonts w:cs="Times New Roman"/>
          <w:szCs w:val="24"/>
        </w:rPr>
        <w:t>ndo</w:t>
      </w:r>
      <w:r w:rsidRPr="009F4879">
        <w:rPr>
          <w:rFonts w:cs="Times New Roman"/>
          <w:szCs w:val="24"/>
        </w:rPr>
        <w:t xml:space="preserve">-se a distribuição de </w:t>
      </w:r>
      <w:r w:rsidRPr="009F4879">
        <w:rPr>
          <w:rFonts w:cs="Times New Roman"/>
          <w:szCs w:val="24"/>
        </w:rPr>
        <w:lastRenderedPageBreak/>
        <w:t>dividendos.</w:t>
      </w:r>
      <w:r>
        <w:rPr>
          <w:rFonts w:cs="Times New Roman"/>
          <w:szCs w:val="24"/>
        </w:rPr>
        <w:t xml:space="preserve"> </w:t>
      </w:r>
      <w:r w:rsidR="00E675C2">
        <w:rPr>
          <w:rFonts w:cs="Times New Roman"/>
          <w:szCs w:val="24"/>
        </w:rPr>
        <w:t xml:space="preserve">A realização de </w:t>
      </w:r>
      <w:r>
        <w:rPr>
          <w:rFonts w:cs="Times New Roman"/>
          <w:szCs w:val="24"/>
        </w:rPr>
        <w:t xml:space="preserve">um </w:t>
      </w:r>
      <w:proofErr w:type="spellStart"/>
      <w:r w:rsidRPr="00673D34">
        <w:rPr>
          <w:rFonts w:cs="Times New Roman"/>
          <w:i/>
          <w:szCs w:val="24"/>
        </w:rPr>
        <w:t>payout</w:t>
      </w:r>
      <w:proofErr w:type="spellEnd"/>
      <w:r w:rsidRPr="009F4879">
        <w:rPr>
          <w:rFonts w:cs="Times New Roman"/>
          <w:szCs w:val="24"/>
        </w:rPr>
        <w:t xml:space="preserve"> </w:t>
      </w:r>
      <w:r>
        <w:rPr>
          <w:rFonts w:cs="Times New Roman"/>
          <w:szCs w:val="24"/>
        </w:rPr>
        <w:t xml:space="preserve">maior </w:t>
      </w:r>
      <w:r w:rsidRPr="009F4879">
        <w:rPr>
          <w:rFonts w:cs="Times New Roman"/>
          <w:szCs w:val="24"/>
        </w:rPr>
        <w:t>é</w:t>
      </w:r>
      <w:r>
        <w:rPr>
          <w:rFonts w:cs="Times New Roman"/>
          <w:szCs w:val="24"/>
        </w:rPr>
        <w:t xml:space="preserve"> </w:t>
      </w:r>
      <w:r w:rsidRPr="009F4879">
        <w:rPr>
          <w:rFonts w:cs="Times New Roman"/>
          <w:szCs w:val="24"/>
        </w:rPr>
        <w:t xml:space="preserve">uma forma de agradar os acionistas e </w:t>
      </w:r>
      <w:r w:rsidR="00E675C2">
        <w:rPr>
          <w:rFonts w:cs="Times New Roman"/>
          <w:szCs w:val="24"/>
        </w:rPr>
        <w:t xml:space="preserve">de atrair </w:t>
      </w:r>
      <w:r w:rsidRPr="009F4879">
        <w:rPr>
          <w:rFonts w:cs="Times New Roman"/>
          <w:szCs w:val="24"/>
        </w:rPr>
        <w:t>novos investidores</w:t>
      </w:r>
      <w:r>
        <w:rPr>
          <w:rFonts w:cs="Times New Roman"/>
          <w:szCs w:val="24"/>
        </w:rPr>
        <w:t xml:space="preserve">, conforme </w:t>
      </w:r>
      <w:r w:rsidRPr="0018094B">
        <w:rPr>
          <w:rFonts w:cs="Times New Roman"/>
          <w:szCs w:val="24"/>
        </w:rPr>
        <w:t>Airoldi e Nascimento (</w:t>
      </w:r>
      <w:r>
        <w:rPr>
          <w:rFonts w:cs="Times New Roman"/>
          <w:szCs w:val="24"/>
        </w:rPr>
        <w:t>2008</w:t>
      </w:r>
      <w:r w:rsidRPr="0018094B">
        <w:rPr>
          <w:rFonts w:cs="Times New Roman"/>
          <w:szCs w:val="24"/>
        </w:rPr>
        <w:t>)</w:t>
      </w:r>
      <w:r w:rsidRPr="009F4879">
        <w:rPr>
          <w:rFonts w:cs="Times New Roman"/>
          <w:szCs w:val="24"/>
        </w:rPr>
        <w:t>.</w:t>
      </w:r>
      <w:r>
        <w:rPr>
          <w:rFonts w:cs="Times New Roman"/>
          <w:szCs w:val="24"/>
        </w:rPr>
        <w:t xml:space="preserve"> Foi abordada a sistemática da distribuição de dividendos e JCP</w:t>
      </w:r>
      <w:r w:rsidR="00E675C2">
        <w:rPr>
          <w:rFonts w:cs="Times New Roman"/>
          <w:szCs w:val="24"/>
        </w:rPr>
        <w:t>,</w:t>
      </w:r>
      <w:r>
        <w:rPr>
          <w:rFonts w:cs="Times New Roman"/>
          <w:szCs w:val="24"/>
        </w:rPr>
        <w:t xml:space="preserve"> de acordo com as leis específicas e estudos realizados anteriormente, e realizada a análise dos estatutos sociais das empresas, </w:t>
      </w:r>
      <w:r w:rsidR="00E675C2">
        <w:rPr>
          <w:rFonts w:cs="Times New Roman"/>
          <w:szCs w:val="24"/>
        </w:rPr>
        <w:t xml:space="preserve">o que tornou </w:t>
      </w:r>
      <w:r>
        <w:rPr>
          <w:rFonts w:cs="Times New Roman"/>
          <w:szCs w:val="24"/>
        </w:rPr>
        <w:t xml:space="preserve">possível identificar as particularidades de cada empresa do índice, e coletar </w:t>
      </w:r>
      <w:r w:rsidR="00E675C2">
        <w:rPr>
          <w:rFonts w:cs="Times New Roman"/>
          <w:szCs w:val="24"/>
        </w:rPr>
        <w:t xml:space="preserve">os </w:t>
      </w:r>
      <w:r>
        <w:rPr>
          <w:rFonts w:cs="Times New Roman"/>
          <w:szCs w:val="24"/>
        </w:rPr>
        <w:t xml:space="preserve">dados </w:t>
      </w:r>
      <w:r w:rsidR="00E675C2">
        <w:rPr>
          <w:rFonts w:cs="Times New Roman"/>
          <w:szCs w:val="24"/>
        </w:rPr>
        <w:t xml:space="preserve">necessários </w:t>
      </w:r>
      <w:r>
        <w:rPr>
          <w:rFonts w:cs="Times New Roman"/>
          <w:szCs w:val="24"/>
        </w:rPr>
        <w:t>para o desenvolvimento da pesquisa.</w:t>
      </w:r>
    </w:p>
    <w:p w14:paraId="28D63974" w14:textId="5C0AC36B" w:rsidR="00800F3D" w:rsidRPr="00F50CF6" w:rsidRDefault="00800F3D" w:rsidP="0034020A">
      <w:pPr>
        <w:ind w:firstLine="851"/>
        <w:rPr>
          <w:rFonts w:cs="Times New Roman"/>
          <w:szCs w:val="24"/>
        </w:rPr>
      </w:pPr>
      <w:r>
        <w:rPr>
          <w:rFonts w:cs="Times New Roman"/>
          <w:szCs w:val="24"/>
        </w:rPr>
        <w:t xml:space="preserve">Foi </w:t>
      </w:r>
      <w:r w:rsidRPr="00F50CF6">
        <w:rPr>
          <w:rFonts w:cs="Times New Roman"/>
          <w:szCs w:val="24"/>
        </w:rPr>
        <w:t>constatad</w:t>
      </w:r>
      <w:r>
        <w:rPr>
          <w:rFonts w:cs="Times New Roman"/>
          <w:szCs w:val="24"/>
        </w:rPr>
        <w:t>o</w:t>
      </w:r>
      <w:r w:rsidRPr="00F50CF6">
        <w:rPr>
          <w:rFonts w:cs="Times New Roman"/>
          <w:szCs w:val="24"/>
        </w:rPr>
        <w:t xml:space="preserve"> com a estatística descritiva que as empresas que constituem o IDIV pagam dividendos superiores ao obrigatório.</w:t>
      </w:r>
      <w:r w:rsidR="00E675C2">
        <w:rPr>
          <w:rFonts w:cs="Times New Roman"/>
          <w:szCs w:val="24"/>
        </w:rPr>
        <w:t xml:space="preserve"> </w:t>
      </w:r>
      <w:r w:rsidRPr="00F50CF6">
        <w:rPr>
          <w:rFonts w:cs="Times New Roman"/>
          <w:szCs w:val="24"/>
        </w:rPr>
        <w:t>Como o período analisado foi afetado diretamente pela pandemia</w:t>
      </w:r>
      <w:r>
        <w:rPr>
          <w:rFonts w:cs="Times New Roman"/>
          <w:szCs w:val="24"/>
        </w:rPr>
        <w:t xml:space="preserve"> da Covid-19</w:t>
      </w:r>
      <w:r w:rsidRPr="00F50CF6">
        <w:rPr>
          <w:rFonts w:cs="Times New Roman"/>
          <w:szCs w:val="24"/>
        </w:rPr>
        <w:t xml:space="preserve">, pode-se observar claramente alguns aspectos que foram influenciados por esse fenômeno global, tais como a diferença entre a média de lucro das empresas </w:t>
      </w:r>
      <w:r w:rsidR="00E675C2">
        <w:rPr>
          <w:rFonts w:cs="Times New Roman"/>
          <w:szCs w:val="24"/>
        </w:rPr>
        <w:t xml:space="preserve">– </w:t>
      </w:r>
      <w:r w:rsidRPr="00F50CF6">
        <w:rPr>
          <w:rFonts w:cs="Times New Roman"/>
          <w:szCs w:val="24"/>
        </w:rPr>
        <w:t>qu</w:t>
      </w:r>
      <w:r w:rsidR="00E675C2">
        <w:rPr>
          <w:rFonts w:cs="Times New Roman"/>
          <w:szCs w:val="24"/>
        </w:rPr>
        <w:t>e</w:t>
      </w:r>
      <w:r w:rsidRPr="00F50CF6">
        <w:rPr>
          <w:rFonts w:cs="Times New Roman"/>
          <w:szCs w:val="24"/>
        </w:rPr>
        <w:t xml:space="preserve"> foi </w:t>
      </w:r>
      <w:r w:rsidR="00E675C2">
        <w:rPr>
          <w:rFonts w:cs="Times New Roman"/>
          <w:szCs w:val="24"/>
        </w:rPr>
        <w:t>aproximadamente</w:t>
      </w:r>
      <w:r w:rsidRPr="00F50CF6">
        <w:rPr>
          <w:rFonts w:cs="Times New Roman"/>
          <w:szCs w:val="24"/>
        </w:rPr>
        <w:t xml:space="preserve"> 3 vezes maior em 2021</w:t>
      </w:r>
      <w:r w:rsidR="00E675C2">
        <w:rPr>
          <w:rFonts w:cs="Times New Roman"/>
          <w:szCs w:val="24"/>
        </w:rPr>
        <w:t xml:space="preserve"> –</w:t>
      </w:r>
      <w:r w:rsidRPr="00F50CF6">
        <w:rPr>
          <w:rFonts w:cs="Times New Roman"/>
          <w:szCs w:val="24"/>
        </w:rPr>
        <w:t xml:space="preserve"> e pelos valores de dividendos declarados que foram maiores em comparação ao ano de 2020.</w:t>
      </w:r>
      <w:r>
        <w:rPr>
          <w:rFonts w:cs="Times New Roman"/>
          <w:szCs w:val="24"/>
        </w:rPr>
        <w:t xml:space="preserve"> Esta situação poderá ser melhor desenvolvida estendendo o período de análise para que tal variação seja identificada a partir de um período histórico maior, e isso facilite a análise apontando discrepâncias dentro da situação econômica mundial.</w:t>
      </w:r>
    </w:p>
    <w:p w14:paraId="44456BC8" w14:textId="37EDD6F3" w:rsidR="00800F3D" w:rsidRDefault="00800F3D" w:rsidP="0034020A">
      <w:pPr>
        <w:ind w:firstLine="851"/>
        <w:rPr>
          <w:rFonts w:cs="Times New Roman"/>
          <w:szCs w:val="24"/>
        </w:rPr>
      </w:pPr>
      <w:r w:rsidRPr="00F50CF6">
        <w:rPr>
          <w:rFonts w:cs="Times New Roman"/>
          <w:szCs w:val="24"/>
        </w:rPr>
        <w:t>Desse modo, foi constatada a existência de um excesso de dividendos declarado e calculado seu percentual, utilizando indicadores financeiros como variáveis independentes, e se executando regressões lineares, percebe-se que tal diferença não se explica por tais indicadores, se fazendo necessário um processo de averiguação com outros tipos de variáveis, levando em considerações fatores inerente aos setores e ao mercado em que as empresas estão inseridas, quantificar fatores qualitativos para que se possa encontrar itens relevantes para explicar tais desempenhos.</w:t>
      </w:r>
    </w:p>
    <w:p w14:paraId="0406CA90" w14:textId="79DFDE65" w:rsidR="00800F3D" w:rsidRPr="0034020A" w:rsidRDefault="00800F3D" w:rsidP="002F3F6E">
      <w:pPr>
        <w:pStyle w:val="Ttulo1"/>
        <w:spacing w:before="0" w:after="0"/>
      </w:pPr>
      <w:bookmarkStart w:id="14" w:name="_Toc121217973"/>
      <w:r>
        <w:t>REFERÊ</w:t>
      </w:r>
      <w:r w:rsidRPr="00F008DF">
        <w:t>NCIAS</w:t>
      </w:r>
      <w:bookmarkEnd w:id="14"/>
    </w:p>
    <w:p w14:paraId="1395ADC3" w14:textId="77777777" w:rsidR="00800F3D" w:rsidRDefault="00800F3D" w:rsidP="002F3F6E">
      <w:pPr>
        <w:spacing w:line="240" w:lineRule="auto"/>
        <w:rPr>
          <w:rFonts w:cs="Times New Roman"/>
          <w:b/>
          <w:szCs w:val="24"/>
        </w:rPr>
      </w:pPr>
    </w:p>
    <w:p w14:paraId="7037D533" w14:textId="079F1D72" w:rsidR="00800F3D" w:rsidRPr="00FF7D82" w:rsidRDefault="00800F3D" w:rsidP="002F3F6E">
      <w:pPr>
        <w:spacing w:line="240" w:lineRule="auto"/>
        <w:jc w:val="left"/>
        <w:rPr>
          <w:rFonts w:cs="Times New Roman"/>
          <w:szCs w:val="24"/>
        </w:rPr>
      </w:pPr>
      <w:r w:rsidRPr="00FF7D82">
        <w:rPr>
          <w:rFonts w:cs="Times New Roman"/>
          <w:szCs w:val="24"/>
        </w:rPr>
        <w:t>AIROLDI, Â</w:t>
      </w:r>
      <w:r w:rsidR="00845608">
        <w:rPr>
          <w:rFonts w:cs="Times New Roman"/>
          <w:szCs w:val="24"/>
        </w:rPr>
        <w:t>.</w:t>
      </w:r>
      <w:r w:rsidRPr="00FF7D82">
        <w:rPr>
          <w:rFonts w:cs="Times New Roman"/>
          <w:szCs w:val="24"/>
        </w:rPr>
        <w:t>; NASCIMENTO, D. Distribuição de dividendos</w:t>
      </w:r>
      <w:r>
        <w:rPr>
          <w:rFonts w:cs="Times New Roman"/>
          <w:szCs w:val="24"/>
        </w:rPr>
        <w:t xml:space="preserve">: </w:t>
      </w:r>
      <w:r w:rsidRPr="00FF7D82">
        <w:rPr>
          <w:rFonts w:cs="Times New Roman"/>
          <w:szCs w:val="24"/>
        </w:rPr>
        <w:t>A influência da distribuição de dividendos das empresa</w:t>
      </w:r>
      <w:r>
        <w:rPr>
          <w:rFonts w:cs="Times New Roman"/>
          <w:szCs w:val="24"/>
        </w:rPr>
        <w:t>s no valor da cotação das ações, 2008.</w:t>
      </w:r>
    </w:p>
    <w:p w14:paraId="28FAEAAF" w14:textId="77777777" w:rsidR="00800F3D" w:rsidRPr="00F008DF" w:rsidRDefault="00800F3D" w:rsidP="002F3F6E">
      <w:pPr>
        <w:spacing w:line="240" w:lineRule="auto"/>
        <w:jc w:val="left"/>
        <w:rPr>
          <w:rFonts w:cs="Times New Roman"/>
          <w:b/>
          <w:szCs w:val="24"/>
        </w:rPr>
      </w:pPr>
    </w:p>
    <w:p w14:paraId="3D09F771" w14:textId="77777777" w:rsidR="00800F3D" w:rsidRDefault="00800F3D" w:rsidP="002F3F6E">
      <w:pPr>
        <w:spacing w:line="240" w:lineRule="auto"/>
        <w:jc w:val="left"/>
        <w:rPr>
          <w:rFonts w:cs="Times New Roman"/>
          <w:szCs w:val="24"/>
        </w:rPr>
      </w:pPr>
      <w:r w:rsidRPr="00F008DF">
        <w:rPr>
          <w:rFonts w:cs="Times New Roman"/>
          <w:szCs w:val="24"/>
        </w:rPr>
        <w:t>ASSAF NETO, A. Mercado Financeiro. 7. ed. São Paulo: Atlas, 2006</w:t>
      </w:r>
    </w:p>
    <w:p w14:paraId="5EE73399" w14:textId="77777777" w:rsidR="00800F3D" w:rsidRPr="00F008DF" w:rsidRDefault="00800F3D" w:rsidP="002F3F6E">
      <w:pPr>
        <w:spacing w:line="240" w:lineRule="auto"/>
        <w:jc w:val="left"/>
        <w:rPr>
          <w:rFonts w:cs="Times New Roman"/>
          <w:szCs w:val="24"/>
        </w:rPr>
      </w:pPr>
    </w:p>
    <w:p w14:paraId="66B370BC" w14:textId="77777777" w:rsidR="00800F3D" w:rsidRDefault="00800F3D" w:rsidP="002F3F6E">
      <w:pPr>
        <w:spacing w:line="240" w:lineRule="auto"/>
        <w:jc w:val="left"/>
        <w:rPr>
          <w:rFonts w:cs="Times New Roman"/>
          <w:szCs w:val="24"/>
        </w:rPr>
      </w:pPr>
      <w:r w:rsidRPr="00F008DF">
        <w:rPr>
          <w:rFonts w:cs="Times New Roman"/>
          <w:szCs w:val="24"/>
        </w:rPr>
        <w:t>BRASIL. Lei nº 6.404, de 15 de dezembro de 1976. Dispõe sobre as sociedades por ações. Disponível em: &lt;</w:t>
      </w:r>
      <w:hyperlink r:id="rId8" w:history="1">
        <w:r w:rsidRPr="00F008DF">
          <w:rPr>
            <w:rStyle w:val="Hyperlink"/>
            <w:rFonts w:cs="Times New Roman"/>
            <w:szCs w:val="24"/>
          </w:rPr>
          <w:t>http://www.planalto.gov.br/ccivil_03/leis/l6404compilada.htm</w:t>
        </w:r>
      </w:hyperlink>
      <w:r w:rsidRPr="00F008DF">
        <w:rPr>
          <w:rFonts w:cs="Times New Roman"/>
          <w:szCs w:val="24"/>
        </w:rPr>
        <w:t xml:space="preserve">&gt;. Acesso em </w:t>
      </w:r>
      <w:r>
        <w:rPr>
          <w:rFonts w:cs="Times New Roman"/>
          <w:szCs w:val="24"/>
        </w:rPr>
        <w:t>3</w:t>
      </w:r>
      <w:r w:rsidRPr="00F008DF">
        <w:rPr>
          <w:rFonts w:cs="Times New Roman"/>
          <w:szCs w:val="24"/>
        </w:rPr>
        <w:t>0 nov. 2022.</w:t>
      </w:r>
    </w:p>
    <w:p w14:paraId="0CF8DBAE" w14:textId="77777777" w:rsidR="00800F3D" w:rsidRPr="00F008DF" w:rsidRDefault="00800F3D" w:rsidP="002F3F6E">
      <w:pPr>
        <w:spacing w:line="240" w:lineRule="auto"/>
        <w:jc w:val="left"/>
        <w:rPr>
          <w:rFonts w:cs="Times New Roman"/>
          <w:szCs w:val="24"/>
        </w:rPr>
      </w:pPr>
    </w:p>
    <w:p w14:paraId="42104D98" w14:textId="77777777" w:rsidR="00800F3D" w:rsidRDefault="00800F3D" w:rsidP="002F3F6E">
      <w:pPr>
        <w:spacing w:line="240" w:lineRule="auto"/>
        <w:jc w:val="left"/>
        <w:rPr>
          <w:rFonts w:cs="Times New Roman"/>
          <w:szCs w:val="24"/>
        </w:rPr>
      </w:pPr>
      <w:r w:rsidRPr="00F008DF">
        <w:rPr>
          <w:rFonts w:cs="Times New Roman"/>
          <w:szCs w:val="24"/>
        </w:rPr>
        <w:t>BRASIL. LEI Nº. 9.249, de 26 de dezembro de 1995. Altera a legislação do imposto de renda das pessoas jurídicas, bem como da contribuição social sobre o lucro líquido, e dá outras providências. Lex: Diário Oficial da União, Brasília, 27 de dezembro de 1995. Disponível em: &lt;</w:t>
      </w:r>
      <w:r>
        <w:rPr>
          <w:rFonts w:cs="Times New Roman"/>
          <w:szCs w:val="24"/>
        </w:rPr>
        <w:t xml:space="preserve"> </w:t>
      </w:r>
      <w:hyperlink r:id="rId9" w:history="1">
        <w:r w:rsidRPr="00214FE8">
          <w:rPr>
            <w:rStyle w:val="Hyperlink"/>
            <w:rFonts w:cs="Times New Roman"/>
            <w:szCs w:val="24"/>
          </w:rPr>
          <w:t>http://www.planalto.gov.br/ccivil_03/leis/l9249.htm</w:t>
        </w:r>
      </w:hyperlink>
      <w:r>
        <w:rPr>
          <w:rFonts w:cs="Times New Roman"/>
          <w:szCs w:val="24"/>
        </w:rPr>
        <w:t xml:space="preserve"> </w:t>
      </w:r>
      <w:r w:rsidRPr="00F008DF">
        <w:rPr>
          <w:rFonts w:cs="Times New Roman"/>
          <w:szCs w:val="24"/>
        </w:rPr>
        <w:t>&gt;. Acesso</w:t>
      </w:r>
      <w:r>
        <w:rPr>
          <w:rFonts w:cs="Times New Roman"/>
          <w:szCs w:val="24"/>
        </w:rPr>
        <w:t xml:space="preserve"> em: 30 nov. 2022</w:t>
      </w:r>
      <w:r w:rsidRPr="00F008DF">
        <w:rPr>
          <w:rFonts w:cs="Times New Roman"/>
          <w:szCs w:val="24"/>
        </w:rPr>
        <w:t>.</w:t>
      </w:r>
    </w:p>
    <w:p w14:paraId="067DA095" w14:textId="77777777" w:rsidR="00800F3D" w:rsidRPr="00F008DF" w:rsidRDefault="00800F3D" w:rsidP="002F3F6E">
      <w:pPr>
        <w:spacing w:line="240" w:lineRule="auto"/>
        <w:jc w:val="left"/>
        <w:rPr>
          <w:rFonts w:cs="Times New Roman"/>
          <w:szCs w:val="24"/>
        </w:rPr>
      </w:pPr>
    </w:p>
    <w:p w14:paraId="1C8617DF" w14:textId="557245D0" w:rsidR="00800F3D" w:rsidRDefault="00800F3D" w:rsidP="002F3F6E">
      <w:pPr>
        <w:spacing w:line="240" w:lineRule="auto"/>
        <w:jc w:val="left"/>
        <w:rPr>
          <w:rFonts w:cs="Times New Roman"/>
          <w:szCs w:val="24"/>
          <w:shd w:val="clear" w:color="auto" w:fill="FFFFFF"/>
        </w:rPr>
      </w:pPr>
      <w:r w:rsidRPr="00F008DF">
        <w:rPr>
          <w:rFonts w:cs="Times New Roman"/>
          <w:szCs w:val="24"/>
          <w:shd w:val="clear" w:color="auto" w:fill="FFFFFF"/>
        </w:rPr>
        <w:t xml:space="preserve">COMISSÃO DE VALORES MOBILIÁRIOS (CVM). </w:t>
      </w:r>
      <w:r w:rsidRPr="00C175DE">
        <w:rPr>
          <w:rFonts w:cs="Times New Roman"/>
          <w:szCs w:val="24"/>
          <w:shd w:val="clear" w:color="auto" w:fill="FFFFFF"/>
        </w:rPr>
        <w:t>Consulta de Documentos de Companhias Registradas (abertas, estrangeiras e incentivadas), dispensadas de Registro e BDR Não Patrocinado</w:t>
      </w:r>
      <w:r>
        <w:rPr>
          <w:rFonts w:cs="Times New Roman"/>
          <w:szCs w:val="24"/>
          <w:shd w:val="clear" w:color="auto" w:fill="FFFFFF"/>
        </w:rPr>
        <w:t xml:space="preserve">. </w:t>
      </w:r>
      <w:r w:rsidRPr="00C175DE">
        <w:rPr>
          <w:rFonts w:cs="Times New Roman"/>
          <w:szCs w:val="24"/>
          <w:shd w:val="clear" w:color="auto" w:fill="FFFFFF"/>
        </w:rPr>
        <w:t>D</w:t>
      </w:r>
      <w:r w:rsidRPr="00F008DF">
        <w:rPr>
          <w:rFonts w:cs="Times New Roman"/>
          <w:szCs w:val="24"/>
          <w:shd w:val="clear" w:color="auto" w:fill="FFFFFF"/>
        </w:rPr>
        <w:t>isponível em: &lt;http://</w:t>
      </w:r>
      <w:r w:rsidRPr="00F008DF">
        <w:rPr>
          <w:rFonts w:cs="Times New Roman"/>
          <w:szCs w:val="24"/>
        </w:rPr>
        <w:t>https://www.gov.br/</w:t>
      </w:r>
      <w:proofErr w:type="spellStart"/>
      <w:r w:rsidRPr="00F008DF">
        <w:rPr>
          <w:rFonts w:cs="Times New Roman"/>
          <w:szCs w:val="24"/>
        </w:rPr>
        <w:t>cvm</w:t>
      </w:r>
      <w:proofErr w:type="spellEnd"/>
      <w:r w:rsidRPr="00F008DF">
        <w:rPr>
          <w:rFonts w:cs="Times New Roman"/>
          <w:szCs w:val="24"/>
        </w:rPr>
        <w:t>/</w:t>
      </w:r>
      <w:proofErr w:type="spellStart"/>
      <w:r w:rsidRPr="00F008DF">
        <w:rPr>
          <w:rFonts w:cs="Times New Roman"/>
          <w:szCs w:val="24"/>
        </w:rPr>
        <w:t>pt-br</w:t>
      </w:r>
      <w:proofErr w:type="spellEnd"/>
      <w:r w:rsidRPr="00F008DF">
        <w:rPr>
          <w:rFonts w:cs="Times New Roman"/>
          <w:szCs w:val="24"/>
          <w:shd w:val="clear" w:color="auto" w:fill="FFFFFF"/>
        </w:rPr>
        <w:t xml:space="preserve">&gt; Acesso em: 05 de nov. </w:t>
      </w:r>
      <w:r w:rsidR="00845608">
        <w:rPr>
          <w:rFonts w:cs="Times New Roman"/>
          <w:szCs w:val="24"/>
          <w:shd w:val="clear" w:color="auto" w:fill="FFFFFF"/>
        </w:rPr>
        <w:t>d</w:t>
      </w:r>
      <w:r w:rsidRPr="00F008DF">
        <w:rPr>
          <w:rFonts w:cs="Times New Roman"/>
          <w:szCs w:val="24"/>
          <w:shd w:val="clear" w:color="auto" w:fill="FFFFFF"/>
        </w:rPr>
        <w:t>e 2022.</w:t>
      </w:r>
    </w:p>
    <w:p w14:paraId="67E44F0B" w14:textId="77777777" w:rsidR="00800F3D" w:rsidRPr="003717F9" w:rsidRDefault="00800F3D" w:rsidP="002F3F6E">
      <w:pPr>
        <w:spacing w:line="240" w:lineRule="auto"/>
        <w:jc w:val="left"/>
        <w:rPr>
          <w:rFonts w:cs="Times New Roman"/>
          <w:szCs w:val="24"/>
        </w:rPr>
      </w:pPr>
    </w:p>
    <w:p w14:paraId="16688183" w14:textId="295B5690" w:rsidR="00336D2A" w:rsidRPr="003717F9" w:rsidRDefault="00336D2A" w:rsidP="002F3F6E">
      <w:pPr>
        <w:spacing w:line="240" w:lineRule="auto"/>
        <w:jc w:val="left"/>
        <w:rPr>
          <w:rFonts w:cs="Times New Roman"/>
          <w:szCs w:val="24"/>
          <w:shd w:val="clear" w:color="auto" w:fill="FFFFFF"/>
        </w:rPr>
      </w:pPr>
      <w:r w:rsidRPr="00186B19">
        <w:rPr>
          <w:rFonts w:cs="Times New Roman"/>
          <w:szCs w:val="24"/>
          <w:shd w:val="clear" w:color="auto" w:fill="FFFFFF"/>
        </w:rPr>
        <w:t>GALVÃO, K</w:t>
      </w:r>
      <w:r>
        <w:rPr>
          <w:rFonts w:cs="Times New Roman"/>
          <w:szCs w:val="24"/>
          <w:shd w:val="clear" w:color="auto" w:fill="FFFFFF"/>
        </w:rPr>
        <w:t xml:space="preserve">. </w:t>
      </w:r>
      <w:r w:rsidRPr="00845608">
        <w:rPr>
          <w:rFonts w:cs="Times New Roman"/>
          <w:i/>
          <w:iCs/>
          <w:szCs w:val="24"/>
          <w:shd w:val="clear" w:color="auto" w:fill="FFFFFF"/>
        </w:rPr>
        <w:t>et al</w:t>
      </w:r>
      <w:r w:rsidRPr="00186B19">
        <w:rPr>
          <w:rFonts w:cs="Times New Roman"/>
          <w:szCs w:val="24"/>
          <w:shd w:val="clear" w:color="auto" w:fill="FFFFFF"/>
        </w:rPr>
        <w:t xml:space="preserve">. Dividendos, juros sobre capital próprio e níveis de </w:t>
      </w:r>
      <w:proofErr w:type="spellStart"/>
      <w:r w:rsidRPr="00186B19">
        <w:rPr>
          <w:rFonts w:cs="Times New Roman"/>
          <w:szCs w:val="24"/>
          <w:shd w:val="clear" w:color="auto" w:fill="FFFFFF"/>
        </w:rPr>
        <w:t>payout</w:t>
      </w:r>
      <w:proofErr w:type="spellEnd"/>
      <w:r w:rsidRPr="00186B19">
        <w:rPr>
          <w:rFonts w:cs="Times New Roman"/>
          <w:szCs w:val="24"/>
          <w:shd w:val="clear" w:color="auto" w:fill="FFFFFF"/>
        </w:rPr>
        <w:t xml:space="preserve">: Um estudo investigativo sobre a política de distribuição de dividendos adotada pelas empresas listadas na </w:t>
      </w:r>
      <w:proofErr w:type="spellStart"/>
      <w:r w:rsidRPr="00186B19">
        <w:rPr>
          <w:rFonts w:cs="Times New Roman"/>
          <w:szCs w:val="24"/>
          <w:shd w:val="clear" w:color="auto" w:fill="FFFFFF"/>
        </w:rPr>
        <w:t>BM&amp;FBovespa</w:t>
      </w:r>
      <w:proofErr w:type="spellEnd"/>
      <w:r w:rsidRPr="00186B19">
        <w:rPr>
          <w:rFonts w:cs="Times New Roman"/>
          <w:szCs w:val="24"/>
          <w:shd w:val="clear" w:color="auto" w:fill="FFFFFF"/>
        </w:rPr>
        <w:t xml:space="preserve">. </w:t>
      </w:r>
      <w:r w:rsidRPr="003717F9">
        <w:rPr>
          <w:rFonts w:cs="Times New Roman"/>
          <w:b/>
          <w:szCs w:val="24"/>
          <w:shd w:val="clear" w:color="auto" w:fill="FFFFFF"/>
        </w:rPr>
        <w:t>Revista Contemporânea de Contabilidade</w:t>
      </w:r>
      <w:r w:rsidRPr="003717F9">
        <w:rPr>
          <w:rFonts w:cs="Times New Roman"/>
          <w:szCs w:val="24"/>
          <w:shd w:val="clear" w:color="auto" w:fill="FFFFFF"/>
        </w:rPr>
        <w:t>, v. 15, n. 36, p. 3-30, 2018.</w:t>
      </w:r>
    </w:p>
    <w:p w14:paraId="40438D05" w14:textId="77777777" w:rsidR="00336D2A" w:rsidRPr="003717F9" w:rsidRDefault="00336D2A" w:rsidP="002F3F6E">
      <w:pPr>
        <w:spacing w:line="240" w:lineRule="auto"/>
        <w:jc w:val="left"/>
        <w:rPr>
          <w:rFonts w:cs="Times New Roman"/>
          <w:szCs w:val="24"/>
        </w:rPr>
      </w:pPr>
    </w:p>
    <w:p w14:paraId="159C35F3" w14:textId="2FF5011A" w:rsidR="00800F3D" w:rsidRDefault="00800F3D" w:rsidP="002F3F6E">
      <w:pPr>
        <w:spacing w:line="240" w:lineRule="auto"/>
        <w:jc w:val="left"/>
        <w:rPr>
          <w:rFonts w:cs="Times New Roman"/>
          <w:szCs w:val="24"/>
        </w:rPr>
      </w:pPr>
      <w:r w:rsidRPr="00F008DF">
        <w:rPr>
          <w:rFonts w:cs="Times New Roman"/>
          <w:szCs w:val="24"/>
        </w:rPr>
        <w:t>GELBCKE</w:t>
      </w:r>
      <w:r>
        <w:rPr>
          <w:rFonts w:cs="Times New Roman"/>
          <w:szCs w:val="24"/>
        </w:rPr>
        <w:t>,</w:t>
      </w:r>
      <w:r w:rsidRPr="00F008DF">
        <w:rPr>
          <w:rFonts w:cs="Times New Roman"/>
          <w:szCs w:val="24"/>
        </w:rPr>
        <w:t xml:space="preserve"> E</w:t>
      </w:r>
      <w:r w:rsidR="00845608">
        <w:rPr>
          <w:rFonts w:cs="Times New Roman"/>
          <w:szCs w:val="24"/>
        </w:rPr>
        <w:t>.</w:t>
      </w:r>
      <w:r w:rsidRPr="00F008DF">
        <w:rPr>
          <w:rFonts w:cs="Times New Roman"/>
          <w:szCs w:val="24"/>
        </w:rPr>
        <w:t xml:space="preserve"> </w:t>
      </w:r>
      <w:r w:rsidRPr="00845608">
        <w:rPr>
          <w:rFonts w:cs="Times New Roman"/>
          <w:i/>
          <w:iCs/>
          <w:szCs w:val="24"/>
        </w:rPr>
        <w:t>et al</w:t>
      </w:r>
      <w:r w:rsidRPr="00F008DF">
        <w:rPr>
          <w:rFonts w:cs="Times New Roman"/>
          <w:szCs w:val="24"/>
        </w:rPr>
        <w:t xml:space="preserve">. </w:t>
      </w:r>
      <w:r w:rsidRPr="00F008DF">
        <w:rPr>
          <w:rFonts w:cs="Times New Roman"/>
          <w:b/>
          <w:szCs w:val="24"/>
        </w:rPr>
        <w:t>Manual de Contabilidade Societária</w:t>
      </w:r>
      <w:r w:rsidRPr="00F008DF">
        <w:rPr>
          <w:rFonts w:cs="Times New Roman"/>
          <w:szCs w:val="24"/>
        </w:rPr>
        <w:t>: Aplicável a todas as sociedades de acordo com as normas internacionais e do CPC. 3</w:t>
      </w:r>
      <w:r>
        <w:rPr>
          <w:rFonts w:cs="Times New Roman"/>
          <w:szCs w:val="24"/>
        </w:rPr>
        <w:t>.</w:t>
      </w:r>
      <w:r w:rsidRPr="00F008DF">
        <w:rPr>
          <w:rFonts w:cs="Times New Roman"/>
          <w:szCs w:val="24"/>
        </w:rPr>
        <w:t xml:space="preserve"> ed. São Paulo: Atlas, 2018.</w:t>
      </w:r>
    </w:p>
    <w:p w14:paraId="43BEF786" w14:textId="77777777" w:rsidR="00800F3D" w:rsidRDefault="00800F3D" w:rsidP="002F3F6E">
      <w:pPr>
        <w:spacing w:line="240" w:lineRule="auto"/>
        <w:jc w:val="left"/>
        <w:rPr>
          <w:rFonts w:cs="Times New Roman"/>
          <w:szCs w:val="24"/>
        </w:rPr>
      </w:pPr>
    </w:p>
    <w:p w14:paraId="102AA720" w14:textId="1260C504" w:rsidR="00800F3D" w:rsidRDefault="00800F3D" w:rsidP="002F3F6E">
      <w:pPr>
        <w:spacing w:line="240" w:lineRule="auto"/>
        <w:jc w:val="left"/>
        <w:rPr>
          <w:rFonts w:cs="Times New Roman"/>
          <w:szCs w:val="24"/>
        </w:rPr>
      </w:pPr>
      <w:r w:rsidRPr="00A00EE6">
        <w:rPr>
          <w:rFonts w:cs="Times New Roman"/>
          <w:szCs w:val="24"/>
        </w:rPr>
        <w:t xml:space="preserve">GONZÁLEZ, P. As mudanças nas políticas de dividendos e o mercado financeiro. </w:t>
      </w:r>
      <w:r w:rsidRPr="00A00EE6">
        <w:rPr>
          <w:rFonts w:cs="Times New Roman"/>
          <w:b/>
          <w:szCs w:val="24"/>
        </w:rPr>
        <w:t>Caderno de Estudos – FIPECAFI</w:t>
      </w:r>
      <w:r w:rsidRPr="00A00EE6">
        <w:rPr>
          <w:rFonts w:cs="Times New Roman"/>
          <w:szCs w:val="24"/>
        </w:rPr>
        <w:t>, v. 10, n. 19, p. 70-81, set. /dez. 1998.</w:t>
      </w:r>
    </w:p>
    <w:p w14:paraId="4F5A2920" w14:textId="77777777" w:rsidR="00800F3D" w:rsidRPr="00F008DF" w:rsidRDefault="00800F3D" w:rsidP="002F3F6E">
      <w:pPr>
        <w:spacing w:line="240" w:lineRule="auto"/>
        <w:jc w:val="left"/>
        <w:rPr>
          <w:rFonts w:cs="Times New Roman"/>
          <w:szCs w:val="24"/>
        </w:rPr>
      </w:pPr>
    </w:p>
    <w:p w14:paraId="50E89ACC" w14:textId="77777777" w:rsidR="00800F3D" w:rsidRPr="003717F9" w:rsidRDefault="00800F3D" w:rsidP="002F3F6E">
      <w:pPr>
        <w:spacing w:line="240" w:lineRule="auto"/>
        <w:jc w:val="left"/>
        <w:rPr>
          <w:rFonts w:cs="Times New Roman"/>
          <w:szCs w:val="24"/>
        </w:rPr>
      </w:pPr>
      <w:r w:rsidRPr="00F008DF">
        <w:rPr>
          <w:rFonts w:cs="Times New Roman"/>
          <w:szCs w:val="24"/>
        </w:rPr>
        <w:t>INSTITUTO BRASILEIRO DE GEOGRAFIA E ESTATÍSTICA. Produto Interno Bruto - PIB. Rio de Janeiro, 2021. Disponível em: &lt;</w:t>
      </w:r>
      <w:r>
        <w:rPr>
          <w:rFonts w:cs="Times New Roman"/>
          <w:szCs w:val="24"/>
        </w:rPr>
        <w:t xml:space="preserve"> </w:t>
      </w:r>
      <w:hyperlink r:id="rId10" w:history="1">
        <w:r w:rsidRPr="00214FE8">
          <w:rPr>
            <w:rStyle w:val="Hyperlink"/>
            <w:rFonts w:cs="Times New Roman"/>
            <w:szCs w:val="24"/>
          </w:rPr>
          <w:t>https://www.ibge.gov.br/explica/pib.php</w:t>
        </w:r>
      </w:hyperlink>
      <w:r>
        <w:rPr>
          <w:rFonts w:cs="Times New Roman"/>
          <w:szCs w:val="24"/>
        </w:rPr>
        <w:t xml:space="preserve"> </w:t>
      </w:r>
      <w:r w:rsidRPr="00F008DF">
        <w:rPr>
          <w:rFonts w:cs="Times New Roman"/>
          <w:szCs w:val="24"/>
        </w:rPr>
        <w:t xml:space="preserve">&gt;. </w:t>
      </w:r>
      <w:r w:rsidRPr="003717F9">
        <w:rPr>
          <w:rFonts w:cs="Times New Roman"/>
          <w:szCs w:val="24"/>
        </w:rPr>
        <w:t>Acesso em: 30 de nov. 2022.</w:t>
      </w:r>
    </w:p>
    <w:p w14:paraId="1669B880" w14:textId="77777777" w:rsidR="00800F3D" w:rsidRPr="003717F9" w:rsidRDefault="00800F3D" w:rsidP="002F3F6E">
      <w:pPr>
        <w:spacing w:line="240" w:lineRule="auto"/>
        <w:jc w:val="left"/>
        <w:rPr>
          <w:rFonts w:cs="Times New Roman"/>
          <w:szCs w:val="24"/>
        </w:rPr>
      </w:pPr>
    </w:p>
    <w:p w14:paraId="3A3EDE65" w14:textId="51EFDF56" w:rsidR="00800F3D" w:rsidRDefault="00800F3D" w:rsidP="002F3F6E">
      <w:pPr>
        <w:spacing w:line="240" w:lineRule="auto"/>
        <w:jc w:val="left"/>
        <w:rPr>
          <w:rFonts w:cs="Times New Roman"/>
          <w:szCs w:val="24"/>
        </w:rPr>
      </w:pPr>
      <w:r w:rsidRPr="00F008DF">
        <w:rPr>
          <w:rFonts w:cs="Times New Roman"/>
          <w:szCs w:val="24"/>
        </w:rPr>
        <w:t>PAIVA, R</w:t>
      </w:r>
      <w:r w:rsidR="00845608">
        <w:rPr>
          <w:rFonts w:cs="Times New Roman"/>
          <w:szCs w:val="24"/>
        </w:rPr>
        <w:t xml:space="preserve">. </w:t>
      </w:r>
      <w:r w:rsidRPr="00845608">
        <w:rPr>
          <w:rFonts w:cs="Times New Roman"/>
          <w:i/>
          <w:iCs/>
          <w:szCs w:val="24"/>
        </w:rPr>
        <w:t>et al</w:t>
      </w:r>
      <w:r w:rsidRPr="00F008DF">
        <w:rPr>
          <w:rFonts w:cs="Times New Roman"/>
          <w:szCs w:val="24"/>
        </w:rPr>
        <w:t xml:space="preserve">. O perfil do investidor individual no mercado financeiro. </w:t>
      </w:r>
      <w:r w:rsidRPr="00F008DF">
        <w:rPr>
          <w:rFonts w:cs="Times New Roman"/>
          <w:b/>
          <w:szCs w:val="24"/>
        </w:rPr>
        <w:t>Revista Vianna Sapiens</w:t>
      </w:r>
      <w:r w:rsidRPr="00F008DF">
        <w:rPr>
          <w:rFonts w:cs="Times New Roman"/>
          <w:szCs w:val="24"/>
        </w:rPr>
        <w:t>, v. 11, n. 2, p. 30-30, 2020.</w:t>
      </w:r>
    </w:p>
    <w:p w14:paraId="7BCEBB89" w14:textId="77777777" w:rsidR="00C86615" w:rsidRDefault="00C86615" w:rsidP="002F3F6E">
      <w:pPr>
        <w:spacing w:line="240" w:lineRule="auto"/>
        <w:jc w:val="left"/>
        <w:rPr>
          <w:rFonts w:cs="Times New Roman"/>
          <w:szCs w:val="24"/>
        </w:rPr>
      </w:pPr>
    </w:p>
    <w:p w14:paraId="477FC62C" w14:textId="7AF34951" w:rsidR="00C86615" w:rsidRDefault="00C86615" w:rsidP="00C86615">
      <w:pPr>
        <w:spacing w:line="240" w:lineRule="auto"/>
        <w:jc w:val="left"/>
        <w:rPr>
          <w:rFonts w:cs="Times New Roman"/>
          <w:szCs w:val="24"/>
        </w:rPr>
      </w:pPr>
      <w:r>
        <w:rPr>
          <w:rFonts w:cs="Times New Roman"/>
          <w:szCs w:val="24"/>
        </w:rPr>
        <w:t xml:space="preserve">ROCHA, A. </w:t>
      </w:r>
      <w:r w:rsidRPr="00C86615">
        <w:rPr>
          <w:rFonts w:cs="Times New Roman"/>
          <w:b/>
          <w:bCs/>
          <w:szCs w:val="24"/>
        </w:rPr>
        <w:t>O dividendo obrigatório será sempre 25% do lucro líquido?</w:t>
      </w:r>
      <w:r>
        <w:rPr>
          <w:rFonts w:cs="Times New Roman"/>
          <w:szCs w:val="24"/>
        </w:rPr>
        <w:t xml:space="preserve"> Valor Investe. Disponível em: &lt; </w:t>
      </w:r>
      <w:hyperlink r:id="rId11" w:history="1">
        <w:r w:rsidRPr="0075171F">
          <w:rPr>
            <w:rStyle w:val="Hyperlink"/>
            <w:rFonts w:cs="Times New Roman"/>
            <w:szCs w:val="24"/>
          </w:rPr>
          <w:t>https://valorinveste.globo.com/blogs/andre-rocha/post/2019/12/o-dividendo-obrigatorio-sera-sempre-25percent-do-lucro-liquido.ghtml</w:t>
        </w:r>
      </w:hyperlink>
      <w:r>
        <w:rPr>
          <w:rFonts w:cs="Times New Roman"/>
          <w:szCs w:val="24"/>
        </w:rPr>
        <w:t xml:space="preserve"> &gt;. Acesso em 30 jul. 2023.</w:t>
      </w:r>
    </w:p>
    <w:p w14:paraId="18E6A9CD" w14:textId="77777777" w:rsidR="00800F3D" w:rsidRDefault="00800F3D" w:rsidP="002F3F6E">
      <w:pPr>
        <w:spacing w:line="240" w:lineRule="auto"/>
        <w:jc w:val="left"/>
        <w:rPr>
          <w:rFonts w:cs="Times New Roman"/>
          <w:szCs w:val="24"/>
        </w:rPr>
      </w:pPr>
    </w:p>
    <w:p w14:paraId="640CE088" w14:textId="77777777" w:rsidR="00800F3D" w:rsidRDefault="00800F3D" w:rsidP="002F3F6E">
      <w:pPr>
        <w:spacing w:line="240" w:lineRule="auto"/>
        <w:jc w:val="left"/>
        <w:rPr>
          <w:rFonts w:cs="Times New Roman"/>
          <w:szCs w:val="24"/>
        </w:rPr>
      </w:pPr>
      <w:r>
        <w:rPr>
          <w:rFonts w:cs="Times New Roman"/>
          <w:szCs w:val="24"/>
        </w:rPr>
        <w:t xml:space="preserve">SANTOS, A. </w:t>
      </w:r>
      <w:r w:rsidRPr="00880BAC">
        <w:rPr>
          <w:rFonts w:cs="Times New Roman"/>
          <w:i/>
          <w:iCs/>
          <w:szCs w:val="24"/>
        </w:rPr>
        <w:t>et al</w:t>
      </w:r>
      <w:r>
        <w:rPr>
          <w:rFonts w:cs="Times New Roman"/>
          <w:szCs w:val="24"/>
        </w:rPr>
        <w:t xml:space="preserve">. </w:t>
      </w:r>
      <w:r w:rsidRPr="00A112F0">
        <w:rPr>
          <w:rFonts w:cs="Times New Roman"/>
          <w:b/>
          <w:bCs/>
          <w:szCs w:val="24"/>
        </w:rPr>
        <w:t>Manual de contabilidade societária</w:t>
      </w:r>
      <w:r>
        <w:rPr>
          <w:rFonts w:cs="Times New Roman"/>
          <w:szCs w:val="24"/>
        </w:rPr>
        <w:t xml:space="preserve">. 4. ed. São Paulo: </w:t>
      </w:r>
      <w:proofErr w:type="spellStart"/>
      <w:r>
        <w:rPr>
          <w:rFonts w:cs="Times New Roman"/>
          <w:szCs w:val="24"/>
        </w:rPr>
        <w:t>Gen</w:t>
      </w:r>
      <w:proofErr w:type="spellEnd"/>
      <w:r>
        <w:rPr>
          <w:rFonts w:cs="Times New Roman"/>
          <w:szCs w:val="24"/>
        </w:rPr>
        <w:t>-Atlas, 2022.</w:t>
      </w:r>
    </w:p>
    <w:p w14:paraId="5D0EB10C" w14:textId="77777777" w:rsidR="00800F3D" w:rsidRPr="00F008DF" w:rsidRDefault="00800F3D" w:rsidP="002F3F6E">
      <w:pPr>
        <w:spacing w:line="240" w:lineRule="auto"/>
        <w:jc w:val="left"/>
        <w:rPr>
          <w:rFonts w:cs="Times New Roman"/>
          <w:szCs w:val="24"/>
        </w:rPr>
      </w:pPr>
    </w:p>
    <w:p w14:paraId="17AB0BED" w14:textId="559B6DA0" w:rsidR="00800F3D" w:rsidRDefault="00800F3D" w:rsidP="002F3F6E">
      <w:pPr>
        <w:spacing w:line="240" w:lineRule="auto"/>
        <w:jc w:val="left"/>
        <w:rPr>
          <w:rFonts w:cs="Times New Roman"/>
          <w:szCs w:val="24"/>
        </w:rPr>
      </w:pPr>
      <w:r w:rsidRPr="00F008DF">
        <w:rPr>
          <w:rFonts w:cs="Times New Roman"/>
          <w:szCs w:val="24"/>
        </w:rPr>
        <w:t>SILVA, N</w:t>
      </w:r>
      <w:r w:rsidR="00845608">
        <w:rPr>
          <w:rFonts w:cs="Times New Roman"/>
          <w:szCs w:val="24"/>
        </w:rPr>
        <w:t xml:space="preserve">. </w:t>
      </w:r>
      <w:r w:rsidRPr="00845608">
        <w:rPr>
          <w:rFonts w:cs="Times New Roman"/>
          <w:i/>
          <w:iCs/>
          <w:szCs w:val="24"/>
        </w:rPr>
        <w:t>et al</w:t>
      </w:r>
      <w:r w:rsidRPr="00F008DF">
        <w:rPr>
          <w:rFonts w:cs="Times New Roman"/>
          <w:szCs w:val="24"/>
        </w:rPr>
        <w:t>. Empresas Brasileiras Emissoras de ADRs: Um estudo da distribuição de dividendos em períodos de crise. In: </w:t>
      </w:r>
      <w:r w:rsidRPr="00F008DF">
        <w:rPr>
          <w:rFonts w:cs="Times New Roman"/>
          <w:b/>
          <w:bCs/>
          <w:szCs w:val="24"/>
        </w:rPr>
        <w:t>Anais do Congresso Brasileiro de Custos-ABC</w:t>
      </w:r>
      <w:r w:rsidRPr="00F008DF">
        <w:rPr>
          <w:rFonts w:cs="Times New Roman"/>
          <w:szCs w:val="24"/>
        </w:rPr>
        <w:t>. 2016.</w:t>
      </w:r>
    </w:p>
    <w:p w14:paraId="17F55286" w14:textId="77777777" w:rsidR="00800F3D" w:rsidRPr="00F008DF" w:rsidRDefault="00800F3D" w:rsidP="002F3F6E">
      <w:pPr>
        <w:spacing w:line="240" w:lineRule="auto"/>
        <w:jc w:val="left"/>
        <w:rPr>
          <w:rFonts w:cs="Times New Roman"/>
          <w:szCs w:val="24"/>
        </w:rPr>
      </w:pPr>
    </w:p>
    <w:p w14:paraId="0DF4001B" w14:textId="77777777" w:rsidR="00800F3D" w:rsidRDefault="00800F3D" w:rsidP="002F3F6E">
      <w:pPr>
        <w:spacing w:line="240" w:lineRule="auto"/>
        <w:jc w:val="left"/>
        <w:rPr>
          <w:rFonts w:cs="Times New Roman"/>
          <w:szCs w:val="24"/>
          <w:shd w:val="clear" w:color="auto" w:fill="FFFFFF"/>
        </w:rPr>
      </w:pPr>
      <w:r w:rsidRPr="00F008DF">
        <w:rPr>
          <w:rFonts w:cs="Times New Roman"/>
          <w:szCs w:val="24"/>
          <w:shd w:val="clear" w:color="auto" w:fill="FFFFFF"/>
        </w:rPr>
        <w:t xml:space="preserve">STATUS INVEST. Status </w:t>
      </w:r>
      <w:proofErr w:type="spellStart"/>
      <w:r w:rsidRPr="00F008DF">
        <w:rPr>
          <w:rFonts w:cs="Times New Roman"/>
          <w:szCs w:val="24"/>
          <w:shd w:val="clear" w:color="auto" w:fill="FFFFFF"/>
        </w:rPr>
        <w:t>Invest</w:t>
      </w:r>
      <w:proofErr w:type="spellEnd"/>
      <w:r w:rsidRPr="00F008DF">
        <w:rPr>
          <w:rFonts w:cs="Times New Roman"/>
          <w:szCs w:val="24"/>
          <w:shd w:val="clear" w:color="auto" w:fill="FFFFFF"/>
        </w:rPr>
        <w:t>: tudo o que você precisa saber sobre investimentos em um só lugar. Página inicial. Disponível em: &lt;https://</w:t>
      </w:r>
      <w:r w:rsidRPr="00F008DF">
        <w:rPr>
          <w:rFonts w:cs="Times New Roman"/>
          <w:szCs w:val="24"/>
        </w:rPr>
        <w:t xml:space="preserve"> </w:t>
      </w:r>
      <w:r w:rsidRPr="00F008DF">
        <w:rPr>
          <w:rFonts w:cs="Times New Roman"/>
          <w:szCs w:val="24"/>
          <w:shd w:val="clear" w:color="auto" w:fill="FFFFFF"/>
        </w:rPr>
        <w:t>https://statusinvest.com.br/&gt;. Acesso em: 05 de jun. de 2022.</w:t>
      </w:r>
    </w:p>
    <w:p w14:paraId="64B4CE6B" w14:textId="77777777" w:rsidR="00800F3D" w:rsidRPr="00F008DF" w:rsidRDefault="00800F3D" w:rsidP="002F3F6E">
      <w:pPr>
        <w:spacing w:line="240" w:lineRule="auto"/>
        <w:jc w:val="left"/>
        <w:rPr>
          <w:rFonts w:cs="Times New Roman"/>
          <w:szCs w:val="24"/>
        </w:rPr>
      </w:pPr>
    </w:p>
    <w:p w14:paraId="075FCB12" w14:textId="77777777" w:rsidR="00800F3D" w:rsidRDefault="00800F3D" w:rsidP="002F3F6E">
      <w:pPr>
        <w:spacing w:line="240" w:lineRule="auto"/>
        <w:jc w:val="left"/>
        <w:rPr>
          <w:rFonts w:cs="Times New Roman"/>
          <w:szCs w:val="24"/>
        </w:rPr>
      </w:pPr>
      <w:r w:rsidRPr="00F008DF">
        <w:rPr>
          <w:rFonts w:cs="Times New Roman"/>
          <w:szCs w:val="24"/>
        </w:rPr>
        <w:t xml:space="preserve">TRADEMAP. </w:t>
      </w:r>
      <w:proofErr w:type="spellStart"/>
      <w:r w:rsidRPr="00F008DF">
        <w:rPr>
          <w:rFonts w:cs="Times New Roman"/>
          <w:szCs w:val="24"/>
        </w:rPr>
        <w:t>Trademap</w:t>
      </w:r>
      <w:proofErr w:type="spellEnd"/>
      <w:r w:rsidRPr="00F008DF">
        <w:rPr>
          <w:rFonts w:cs="Times New Roman"/>
          <w:szCs w:val="24"/>
        </w:rPr>
        <w:t>: Investimento, ações e mercado financeiro em um só lugar. Página inicial. Disponível em: &lt;https://portal.trademap.com.br/home&gt;</w:t>
      </w:r>
      <w:r w:rsidRPr="00F008DF">
        <w:rPr>
          <w:rFonts w:cs="Times New Roman"/>
          <w:szCs w:val="24"/>
          <w:shd w:val="clear" w:color="auto" w:fill="FFFFFF"/>
        </w:rPr>
        <w:t xml:space="preserve"> </w:t>
      </w:r>
      <w:r w:rsidRPr="00F008DF">
        <w:rPr>
          <w:rFonts w:cs="Times New Roman"/>
          <w:szCs w:val="24"/>
        </w:rPr>
        <w:t>Acesso em: 05 de jun. de 2022.</w:t>
      </w:r>
    </w:p>
    <w:p w14:paraId="00FE301C" w14:textId="77777777" w:rsidR="00800F3D" w:rsidRPr="00F008DF" w:rsidRDefault="00800F3D" w:rsidP="002F3F6E">
      <w:pPr>
        <w:spacing w:line="240" w:lineRule="auto"/>
        <w:jc w:val="left"/>
        <w:rPr>
          <w:rFonts w:cs="Times New Roman"/>
          <w:szCs w:val="24"/>
        </w:rPr>
      </w:pPr>
    </w:p>
    <w:p w14:paraId="6DFEED51" w14:textId="0D39FDF0" w:rsidR="007144E8" w:rsidRPr="004A046B" w:rsidRDefault="00800F3D" w:rsidP="004A046B">
      <w:pPr>
        <w:spacing w:line="240" w:lineRule="auto"/>
        <w:jc w:val="left"/>
        <w:rPr>
          <w:rFonts w:cs="Times New Roman"/>
          <w:szCs w:val="24"/>
        </w:rPr>
      </w:pPr>
      <w:r w:rsidRPr="00F008DF">
        <w:rPr>
          <w:rFonts w:cs="Times New Roman"/>
          <w:szCs w:val="24"/>
        </w:rPr>
        <w:t>VANCIN, D</w:t>
      </w:r>
      <w:r w:rsidR="00845608">
        <w:rPr>
          <w:rFonts w:cs="Times New Roman"/>
          <w:szCs w:val="24"/>
        </w:rPr>
        <w:t>.</w:t>
      </w:r>
      <w:r w:rsidRPr="00F008DF">
        <w:rPr>
          <w:rFonts w:cs="Times New Roman"/>
          <w:szCs w:val="24"/>
        </w:rPr>
        <w:t xml:space="preserve">; PROCIANOY, J. Os Fatores Determinantes do Pagamento de Dividendos: o Efeito do Obrigatório Mínimo Legal e Contratual nas Empresas Brasileiras. </w:t>
      </w:r>
      <w:r w:rsidRPr="00F008DF">
        <w:rPr>
          <w:rFonts w:cs="Times New Roman"/>
          <w:b/>
          <w:szCs w:val="24"/>
        </w:rPr>
        <w:t>Revista Brasileira de Finanças</w:t>
      </w:r>
      <w:r w:rsidRPr="00F008DF">
        <w:rPr>
          <w:rFonts w:cs="Times New Roman"/>
          <w:szCs w:val="24"/>
        </w:rPr>
        <w:t>, v. 14, n. 1, p. 89-123, 2016.</w:t>
      </w:r>
    </w:p>
    <w:bookmarkEnd w:id="0"/>
    <w:p w14:paraId="6DFEEDA0" w14:textId="77777777" w:rsidR="007144E8" w:rsidRDefault="007144E8" w:rsidP="00287DCC">
      <w:pPr>
        <w:spacing w:line="240" w:lineRule="auto"/>
        <w:rPr>
          <w:rFonts w:eastAsia="Arial" w:cs="Times New Roman"/>
          <w:spacing w:val="-2"/>
          <w:szCs w:val="24"/>
        </w:rPr>
      </w:pPr>
    </w:p>
    <w:sectPr w:rsidR="007144E8" w:rsidSect="000050F4">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806A" w14:textId="77777777" w:rsidR="000050F4" w:rsidRDefault="000050F4">
      <w:pPr>
        <w:spacing w:line="240" w:lineRule="auto"/>
      </w:pPr>
      <w:r>
        <w:separator/>
      </w:r>
    </w:p>
  </w:endnote>
  <w:endnote w:type="continuationSeparator" w:id="0">
    <w:p w14:paraId="45463D84" w14:textId="77777777" w:rsidR="000050F4" w:rsidRDefault="00005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6DFEEDA8" w14:textId="77777777" w:rsidR="007144E8" w:rsidRDefault="0034020A">
        <w:pPr>
          <w:pStyle w:val="Rodap"/>
          <w:jc w:val="right"/>
        </w:pPr>
        <w:r>
          <w:fldChar w:fldCharType="begin"/>
        </w:r>
        <w:r>
          <w:instrText>PAGE   \* MERGEFORMAT</w:instrText>
        </w:r>
        <w:r>
          <w:fldChar w:fldCharType="separate"/>
        </w:r>
        <w:r>
          <w:t>4</w:t>
        </w:r>
        <w:r>
          <w:fldChar w:fldCharType="end"/>
        </w:r>
      </w:p>
    </w:sdtContent>
  </w:sdt>
  <w:p w14:paraId="6DFEEDA9" w14:textId="77777777" w:rsidR="007144E8" w:rsidRDefault="007144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8975" w14:textId="77777777" w:rsidR="000050F4" w:rsidRDefault="000050F4">
      <w:r>
        <w:separator/>
      </w:r>
    </w:p>
  </w:footnote>
  <w:footnote w:type="continuationSeparator" w:id="0">
    <w:p w14:paraId="4A29998E" w14:textId="77777777" w:rsidR="000050F4" w:rsidRDefault="00005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EDA5" w14:textId="77777777" w:rsidR="007144E8" w:rsidRDefault="0034020A">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DFEEDAA" wp14:editId="6DFEEDAB">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6DFEEDA6" w14:textId="77777777" w:rsidR="007144E8" w:rsidRDefault="007144E8">
    <w:pPr>
      <w:pStyle w:val="Cabealho"/>
      <w:jc w:val="center"/>
      <w:rPr>
        <w:szCs w:val="20"/>
      </w:rPr>
    </w:pPr>
  </w:p>
  <w:p w14:paraId="6DFEEDA7" w14:textId="77777777" w:rsidR="007144E8" w:rsidRDefault="007144E8">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133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50F4"/>
    <w:rsid w:val="00026EAA"/>
    <w:rsid w:val="00027FD4"/>
    <w:rsid w:val="00032D95"/>
    <w:rsid w:val="000621F1"/>
    <w:rsid w:val="0006670E"/>
    <w:rsid w:val="000E71B1"/>
    <w:rsid w:val="000F4525"/>
    <w:rsid w:val="000F626D"/>
    <w:rsid w:val="00127A73"/>
    <w:rsid w:val="00136273"/>
    <w:rsid w:val="00141B1C"/>
    <w:rsid w:val="00143EE1"/>
    <w:rsid w:val="001538D6"/>
    <w:rsid w:val="00161512"/>
    <w:rsid w:val="00165B96"/>
    <w:rsid w:val="00166AB1"/>
    <w:rsid w:val="00177795"/>
    <w:rsid w:val="00186DC9"/>
    <w:rsid w:val="001E02B6"/>
    <w:rsid w:val="001F380B"/>
    <w:rsid w:val="001F4845"/>
    <w:rsid w:val="0020372B"/>
    <w:rsid w:val="002047DA"/>
    <w:rsid w:val="002330C8"/>
    <w:rsid w:val="002536A1"/>
    <w:rsid w:val="0028391D"/>
    <w:rsid w:val="00284D01"/>
    <w:rsid w:val="00287DCC"/>
    <w:rsid w:val="002A2D3E"/>
    <w:rsid w:val="002E6D98"/>
    <w:rsid w:val="002F3F6E"/>
    <w:rsid w:val="0030231E"/>
    <w:rsid w:val="00303946"/>
    <w:rsid w:val="00336D2A"/>
    <w:rsid w:val="00336E24"/>
    <w:rsid w:val="0034020A"/>
    <w:rsid w:val="00343551"/>
    <w:rsid w:val="00347ECA"/>
    <w:rsid w:val="003717F9"/>
    <w:rsid w:val="003C0DAC"/>
    <w:rsid w:val="003C12D0"/>
    <w:rsid w:val="003D32DB"/>
    <w:rsid w:val="003E2F7F"/>
    <w:rsid w:val="003F6CA4"/>
    <w:rsid w:val="0040364A"/>
    <w:rsid w:val="004348A8"/>
    <w:rsid w:val="00445C74"/>
    <w:rsid w:val="00465B55"/>
    <w:rsid w:val="00483E9E"/>
    <w:rsid w:val="00494D4F"/>
    <w:rsid w:val="004A046B"/>
    <w:rsid w:val="004C343B"/>
    <w:rsid w:val="004D3F46"/>
    <w:rsid w:val="004F0CC2"/>
    <w:rsid w:val="004F3D85"/>
    <w:rsid w:val="00501639"/>
    <w:rsid w:val="00513A35"/>
    <w:rsid w:val="0052411B"/>
    <w:rsid w:val="005558DA"/>
    <w:rsid w:val="00563179"/>
    <w:rsid w:val="005924AE"/>
    <w:rsid w:val="005A59AA"/>
    <w:rsid w:val="005B5D17"/>
    <w:rsid w:val="005C2ECB"/>
    <w:rsid w:val="005D7039"/>
    <w:rsid w:val="005E5B08"/>
    <w:rsid w:val="005F008A"/>
    <w:rsid w:val="00615733"/>
    <w:rsid w:val="00616B2F"/>
    <w:rsid w:val="00626CE6"/>
    <w:rsid w:val="00666E13"/>
    <w:rsid w:val="00677B9D"/>
    <w:rsid w:val="00681DD2"/>
    <w:rsid w:val="006C14C9"/>
    <w:rsid w:val="006E3F0A"/>
    <w:rsid w:val="006E7AA1"/>
    <w:rsid w:val="00707FE4"/>
    <w:rsid w:val="007111A1"/>
    <w:rsid w:val="007144E8"/>
    <w:rsid w:val="00733353"/>
    <w:rsid w:val="00735977"/>
    <w:rsid w:val="00752BE2"/>
    <w:rsid w:val="00754A94"/>
    <w:rsid w:val="00766621"/>
    <w:rsid w:val="007B0E81"/>
    <w:rsid w:val="007D2E76"/>
    <w:rsid w:val="007E0D79"/>
    <w:rsid w:val="007F67E5"/>
    <w:rsid w:val="00800F3D"/>
    <w:rsid w:val="00802080"/>
    <w:rsid w:val="00816EC0"/>
    <w:rsid w:val="0082396C"/>
    <w:rsid w:val="00841E42"/>
    <w:rsid w:val="00845608"/>
    <w:rsid w:val="00867376"/>
    <w:rsid w:val="00871A6C"/>
    <w:rsid w:val="00880BAC"/>
    <w:rsid w:val="008956FE"/>
    <w:rsid w:val="00896C12"/>
    <w:rsid w:val="008A339D"/>
    <w:rsid w:val="008C3F87"/>
    <w:rsid w:val="008E307F"/>
    <w:rsid w:val="008F022B"/>
    <w:rsid w:val="009010A6"/>
    <w:rsid w:val="00940D7B"/>
    <w:rsid w:val="0094733B"/>
    <w:rsid w:val="0096546C"/>
    <w:rsid w:val="0097354F"/>
    <w:rsid w:val="009765A2"/>
    <w:rsid w:val="009A2315"/>
    <w:rsid w:val="009A6829"/>
    <w:rsid w:val="009B0264"/>
    <w:rsid w:val="009B4716"/>
    <w:rsid w:val="009F6C8A"/>
    <w:rsid w:val="00A00A8D"/>
    <w:rsid w:val="00A12657"/>
    <w:rsid w:val="00A2426E"/>
    <w:rsid w:val="00A25565"/>
    <w:rsid w:val="00A44B3F"/>
    <w:rsid w:val="00A5554A"/>
    <w:rsid w:val="00A81A91"/>
    <w:rsid w:val="00AD1852"/>
    <w:rsid w:val="00AE451A"/>
    <w:rsid w:val="00B02FEC"/>
    <w:rsid w:val="00B32633"/>
    <w:rsid w:val="00B330C1"/>
    <w:rsid w:val="00B45CFF"/>
    <w:rsid w:val="00B47C9D"/>
    <w:rsid w:val="00B659CA"/>
    <w:rsid w:val="00B81FD8"/>
    <w:rsid w:val="00B92EC3"/>
    <w:rsid w:val="00B94C5B"/>
    <w:rsid w:val="00BA360B"/>
    <w:rsid w:val="00BB1C31"/>
    <w:rsid w:val="00BB5A48"/>
    <w:rsid w:val="00BC5706"/>
    <w:rsid w:val="00BE0388"/>
    <w:rsid w:val="00BF3CE1"/>
    <w:rsid w:val="00BF4C5B"/>
    <w:rsid w:val="00C04C87"/>
    <w:rsid w:val="00C216AC"/>
    <w:rsid w:val="00C22554"/>
    <w:rsid w:val="00C25DFC"/>
    <w:rsid w:val="00C32117"/>
    <w:rsid w:val="00C3648A"/>
    <w:rsid w:val="00C40B5D"/>
    <w:rsid w:val="00C44790"/>
    <w:rsid w:val="00C46E16"/>
    <w:rsid w:val="00C86615"/>
    <w:rsid w:val="00C93346"/>
    <w:rsid w:val="00CB1D1A"/>
    <w:rsid w:val="00CE3BF6"/>
    <w:rsid w:val="00D03375"/>
    <w:rsid w:val="00D3671A"/>
    <w:rsid w:val="00D41C6E"/>
    <w:rsid w:val="00D60598"/>
    <w:rsid w:val="00D67A0A"/>
    <w:rsid w:val="00DB456E"/>
    <w:rsid w:val="00DB765D"/>
    <w:rsid w:val="00E05CD1"/>
    <w:rsid w:val="00E36B5A"/>
    <w:rsid w:val="00E37BF1"/>
    <w:rsid w:val="00E675C2"/>
    <w:rsid w:val="00EB0A81"/>
    <w:rsid w:val="00EF382F"/>
    <w:rsid w:val="00F01D2A"/>
    <w:rsid w:val="00F04F2A"/>
    <w:rsid w:val="00F533A8"/>
    <w:rsid w:val="00F6009E"/>
    <w:rsid w:val="00F610C1"/>
    <w:rsid w:val="00F64981"/>
    <w:rsid w:val="00F7012C"/>
    <w:rsid w:val="00FA5855"/>
    <w:rsid w:val="00FB3485"/>
    <w:rsid w:val="00FC2561"/>
    <w:rsid w:val="00FC39DE"/>
    <w:rsid w:val="00FD0E1B"/>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ECE1"/>
  <w15:docId w15:val="{8546DFF4-3EB6-4919-870C-A16CFAFB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CE6"/>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626CE6"/>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626CE6"/>
    <w:pPr>
      <w:keepNext/>
      <w:keepLines/>
      <w:spacing w:before="240" w:after="240"/>
      <w:outlineLvl w:val="1"/>
    </w:pPr>
    <w:rPr>
      <w:rFonts w:eastAsia="Arial" w:cstheme="majorBidi"/>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626CE6"/>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626CE6"/>
    <w:rPr>
      <w:rFonts w:ascii="Roboto Lt" w:eastAsia="Arial" w:hAnsi="Roboto Lt" w:cstheme="majorBidi"/>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styleId="Refdecomentrio">
    <w:name w:val="annotation reference"/>
    <w:basedOn w:val="Fontepargpadro"/>
    <w:uiPriority w:val="99"/>
    <w:semiHidden/>
    <w:unhideWhenUsed/>
    <w:rsid w:val="00800F3D"/>
    <w:rPr>
      <w:sz w:val="16"/>
      <w:szCs w:val="16"/>
    </w:rPr>
  </w:style>
  <w:style w:type="paragraph" w:styleId="Textodecomentrio">
    <w:name w:val="annotation text"/>
    <w:basedOn w:val="Normal"/>
    <w:link w:val="TextodecomentrioChar"/>
    <w:uiPriority w:val="99"/>
    <w:unhideWhenUsed/>
    <w:rsid w:val="00800F3D"/>
    <w:pPr>
      <w:spacing w:line="240" w:lineRule="auto"/>
    </w:pPr>
    <w:rPr>
      <w:sz w:val="20"/>
      <w:szCs w:val="20"/>
    </w:rPr>
  </w:style>
  <w:style w:type="character" w:customStyle="1" w:styleId="TextodecomentrioChar">
    <w:name w:val="Texto de comentário Char"/>
    <w:basedOn w:val="Fontepargpadro"/>
    <w:link w:val="Textodecomentrio"/>
    <w:uiPriority w:val="99"/>
    <w:rsid w:val="00800F3D"/>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800F3D"/>
    <w:rPr>
      <w:b/>
      <w:bCs/>
    </w:rPr>
  </w:style>
  <w:style w:type="character" w:customStyle="1" w:styleId="AssuntodocomentrioChar">
    <w:name w:val="Assunto do comentário Char"/>
    <w:basedOn w:val="TextodecomentrioChar"/>
    <w:link w:val="Assuntodocomentrio"/>
    <w:uiPriority w:val="99"/>
    <w:semiHidden/>
    <w:rsid w:val="00800F3D"/>
    <w:rPr>
      <w:rFonts w:ascii="Times New Roman" w:hAnsi="Times New Roman"/>
      <w:b/>
      <w:bCs/>
    </w:rPr>
  </w:style>
  <w:style w:type="table" w:styleId="TabelaSimples5">
    <w:name w:val="Plain Table 5"/>
    <w:basedOn w:val="Tabelanormal"/>
    <w:uiPriority w:val="45"/>
    <w:rsid w:val="00800F3D"/>
    <w:rPr>
      <w:rFonts w:eastAsiaTheme="minorHAns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egenda">
    <w:name w:val="caption"/>
    <w:basedOn w:val="Normal"/>
    <w:next w:val="Normal"/>
    <w:uiPriority w:val="35"/>
    <w:unhideWhenUsed/>
    <w:qFormat/>
    <w:rsid w:val="00800F3D"/>
    <w:pPr>
      <w:tabs>
        <w:tab w:val="clear" w:pos="851"/>
      </w:tabs>
      <w:spacing w:after="200" w:line="240" w:lineRule="auto"/>
      <w:jc w:val="left"/>
    </w:pPr>
    <w:rPr>
      <w:rFonts w:asciiTheme="minorHAnsi" w:eastAsiaTheme="minorHAnsi" w:hAnsiTheme="minorHAnsi"/>
      <w:i/>
      <w:iCs/>
      <w:color w:val="44546A" w:themeColor="text2"/>
      <w:sz w:val="18"/>
      <w:szCs w:val="18"/>
      <w:lang w:eastAsia="en-US"/>
    </w:rPr>
  </w:style>
  <w:style w:type="table" w:styleId="Tabelacomgrade">
    <w:name w:val="Table Grid"/>
    <w:basedOn w:val="Tabelanormal"/>
    <w:uiPriority w:val="39"/>
    <w:rsid w:val="00800F3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7Colorida">
    <w:name w:val="List Table 7 Colorful"/>
    <w:basedOn w:val="Tabelanormal"/>
    <w:uiPriority w:val="52"/>
    <w:rsid w:val="00800F3D"/>
    <w:rPr>
      <w:rFonts w:eastAsiaTheme="minorHAnsi"/>
      <w:color w:val="000000" w:themeColor="text1"/>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800F3D"/>
    <w:rPr>
      <w:rFonts w:eastAsiaTheme="minorHAns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800F3D"/>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Fontepargpadro"/>
    <w:uiPriority w:val="99"/>
    <w:unhideWhenUsed/>
    <w:rsid w:val="00800F3D"/>
    <w:rPr>
      <w:color w:val="0563C1" w:themeColor="hyperlink"/>
      <w:u w:val="single"/>
    </w:rPr>
  </w:style>
  <w:style w:type="character" w:styleId="MenoPendente">
    <w:name w:val="Unresolved Mention"/>
    <w:basedOn w:val="Fontepargpadro"/>
    <w:uiPriority w:val="99"/>
    <w:semiHidden/>
    <w:unhideWhenUsed/>
    <w:rsid w:val="00C86615"/>
    <w:rPr>
      <w:color w:val="605E5C"/>
      <w:shd w:val="clear" w:color="auto" w:fill="E1DFDD"/>
    </w:rPr>
  </w:style>
  <w:style w:type="paragraph" w:styleId="Ttulo">
    <w:name w:val="Title"/>
    <w:basedOn w:val="Normal"/>
    <w:next w:val="Normal"/>
    <w:link w:val="TtuloChar"/>
    <w:autoRedefine/>
    <w:uiPriority w:val="10"/>
    <w:qFormat/>
    <w:rsid w:val="00626CE6"/>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626CE6"/>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626CE6"/>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626CE6"/>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6404compilada.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orinveste.globo.com/blogs/andre-rocha/post/2019/12/o-dividendo-obrigatorio-sera-sempre-25percent-do-lucro-liquido.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ge.gov.br/explica/pib.php" TargetMode="External"/><Relationship Id="rId4" Type="http://schemas.openxmlformats.org/officeDocument/2006/relationships/settings" Target="settings.xml"/><Relationship Id="rId9" Type="http://schemas.openxmlformats.org/officeDocument/2006/relationships/hyperlink" Target="http://www.planalto.gov.br/ccivil_03/leis/l9249.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4413</Words>
  <Characters>23832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3</cp:revision>
  <cp:lastPrinted>2024-03-20T15:19:00Z</cp:lastPrinted>
  <dcterms:created xsi:type="dcterms:W3CDTF">2024-03-20T15:19:00Z</dcterms:created>
  <dcterms:modified xsi:type="dcterms:W3CDTF">2024-03-20T15:20:00Z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