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E33B7" w14:textId="77777777" w:rsidR="00AA4AE5" w:rsidRPr="00DD4BF6" w:rsidRDefault="002770E2" w:rsidP="0055337E">
      <w:pPr>
        <w:jc w:val="center"/>
        <w:rPr>
          <w:rFonts w:eastAsia="Arial" w:cs="Times New Roman"/>
          <w:b/>
          <w:szCs w:val="24"/>
        </w:rPr>
      </w:pPr>
      <w:r w:rsidRPr="00DD4BF6">
        <w:rPr>
          <w:rFonts w:eastAsia="Arial" w:cs="Times New Roman"/>
          <w:b/>
          <w:szCs w:val="24"/>
        </w:rPr>
        <w:t xml:space="preserve">GT </w:t>
      </w:r>
      <w:r w:rsidR="001D32C9" w:rsidRPr="00DD4BF6">
        <w:rPr>
          <w:rFonts w:eastAsia="Arial" w:cs="Times New Roman"/>
          <w:b/>
          <w:szCs w:val="24"/>
        </w:rPr>
        <w:t>CASOS PARA ENSINO</w:t>
      </w:r>
    </w:p>
    <w:p w14:paraId="38B29B58" w14:textId="77777777" w:rsidR="00AA4AE5" w:rsidRPr="00DD4BF6" w:rsidRDefault="00AA4AE5" w:rsidP="0055337E">
      <w:pPr>
        <w:rPr>
          <w:rFonts w:eastAsia="Arial" w:cs="Times New Roman"/>
          <w:b/>
          <w:szCs w:val="24"/>
        </w:rPr>
      </w:pPr>
    </w:p>
    <w:p w14:paraId="36FE4AB9" w14:textId="6954CE29" w:rsidR="00AA4AE5" w:rsidRDefault="00AD18D1" w:rsidP="0055337E">
      <w:pPr>
        <w:jc w:val="center"/>
        <w:rPr>
          <w:rFonts w:eastAsia="Arial" w:cs="Times New Roman"/>
          <w:b/>
          <w:szCs w:val="24"/>
        </w:rPr>
      </w:pPr>
      <w:r>
        <w:rPr>
          <w:rFonts w:eastAsia="Arial" w:cs="Times New Roman"/>
          <w:b/>
          <w:szCs w:val="24"/>
        </w:rPr>
        <w:t>CONTRATAÇÃO DE CONSULTORIA PARA REDUZIR PRESTAÇÃO DE FINANCIAMENTO DE CARRO</w:t>
      </w:r>
      <w:r w:rsidR="00593B9F">
        <w:rPr>
          <w:rFonts w:eastAsia="Arial" w:cs="Times New Roman"/>
          <w:b/>
          <w:szCs w:val="24"/>
        </w:rPr>
        <w:t xml:space="preserve">: CASO PARA ENSINO COM </w:t>
      </w:r>
      <w:r w:rsidR="0045171C">
        <w:rPr>
          <w:rFonts w:eastAsia="Arial" w:cs="Times New Roman"/>
          <w:b/>
          <w:szCs w:val="24"/>
        </w:rPr>
        <w:t xml:space="preserve">POSSIBILIDADE DE </w:t>
      </w:r>
      <w:r w:rsidR="00593B9F">
        <w:rPr>
          <w:rFonts w:eastAsia="Arial" w:cs="Times New Roman"/>
          <w:b/>
          <w:szCs w:val="24"/>
        </w:rPr>
        <w:t>SIMULAÇÃO</w:t>
      </w:r>
      <w:r w:rsidR="00154F16">
        <w:rPr>
          <w:rFonts w:eastAsia="Arial" w:cs="Times New Roman"/>
          <w:b/>
          <w:szCs w:val="24"/>
        </w:rPr>
        <w:t xml:space="preserve"> DA </w:t>
      </w:r>
      <w:r w:rsidR="00FB104A">
        <w:rPr>
          <w:rFonts w:eastAsia="Arial" w:cs="Times New Roman"/>
          <w:b/>
          <w:szCs w:val="24"/>
        </w:rPr>
        <w:t>NEGOCIAÇÃO</w:t>
      </w:r>
    </w:p>
    <w:p w14:paraId="2F8852BB" w14:textId="77777777" w:rsidR="0085715C" w:rsidRPr="00DD4BF6" w:rsidRDefault="0085715C" w:rsidP="0055337E">
      <w:pPr>
        <w:jc w:val="center"/>
        <w:rPr>
          <w:rFonts w:eastAsia="Arial" w:cs="Times New Roman"/>
          <w:b/>
          <w:szCs w:val="24"/>
        </w:rPr>
      </w:pPr>
    </w:p>
    <w:p w14:paraId="1FC1383F" w14:textId="7FFF85F0" w:rsidR="0085715C" w:rsidRDefault="0085715C" w:rsidP="0085715C">
      <w:pPr>
        <w:jc w:val="right"/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>Fábio Luiz de Oliveira Bezerra</w:t>
      </w:r>
      <w:r w:rsidR="00BF7744">
        <w:rPr>
          <w:rStyle w:val="Refdenotaderodap"/>
          <w:rFonts w:eastAsia="Times New Roman" w:cs="Times New Roman"/>
          <w:szCs w:val="24"/>
        </w:rPr>
        <w:footnoteReference w:customMarkFollows="1" w:id="1"/>
        <w:t>*</w:t>
      </w:r>
    </w:p>
    <w:p w14:paraId="0B0DE727" w14:textId="3603896F" w:rsidR="00D60CFE" w:rsidRDefault="0085744E" w:rsidP="00D60CFE">
      <w:pPr>
        <w:jc w:val="right"/>
        <w:rPr>
          <w:rFonts w:eastAsia="Times New Roman" w:cs="Times New Roman"/>
          <w:szCs w:val="24"/>
        </w:rPr>
      </w:pPr>
      <w:r>
        <w:rPr>
          <w:rFonts w:eastAsia="Arial" w:cs="Times New Roman"/>
          <w:szCs w:val="24"/>
        </w:rPr>
        <w:t>L</w:t>
      </w:r>
      <w:r w:rsidR="00B47680">
        <w:rPr>
          <w:rFonts w:eastAsia="Arial" w:cs="Times New Roman"/>
          <w:szCs w:val="24"/>
        </w:rPr>
        <w:t>í</w:t>
      </w:r>
      <w:r>
        <w:rPr>
          <w:rFonts w:eastAsia="Arial" w:cs="Times New Roman"/>
          <w:szCs w:val="24"/>
        </w:rPr>
        <w:t xml:space="preserve">via </w:t>
      </w:r>
      <w:proofErr w:type="spellStart"/>
      <w:r>
        <w:rPr>
          <w:rFonts w:eastAsia="Arial" w:cs="Times New Roman"/>
          <w:szCs w:val="24"/>
        </w:rPr>
        <w:t>C</w:t>
      </w:r>
      <w:r w:rsidR="00B47680">
        <w:rPr>
          <w:rFonts w:eastAsia="Arial" w:cs="Times New Roman"/>
          <w:szCs w:val="24"/>
        </w:rPr>
        <w:t>armé</w:t>
      </w:r>
      <w:r>
        <w:rPr>
          <w:rFonts w:eastAsia="Arial" w:cs="Times New Roman"/>
          <w:szCs w:val="24"/>
        </w:rPr>
        <w:t>lia</w:t>
      </w:r>
      <w:proofErr w:type="spellEnd"/>
      <w:r w:rsidR="00B47680">
        <w:rPr>
          <w:rFonts w:eastAsia="Arial" w:cs="Times New Roman"/>
          <w:szCs w:val="24"/>
        </w:rPr>
        <w:t xml:space="preserve"> Nascimento Costa</w:t>
      </w:r>
      <w:r w:rsidR="00C11314">
        <w:rPr>
          <w:rStyle w:val="Refdenotaderodap"/>
          <w:rFonts w:eastAsia="Times New Roman" w:cs="Times New Roman"/>
          <w:szCs w:val="24"/>
        </w:rPr>
        <w:footnoteReference w:customMarkFollows="1" w:id="2"/>
        <w:t>**</w:t>
      </w:r>
    </w:p>
    <w:p w14:paraId="2891C30B" w14:textId="2F64CE3E" w:rsidR="00D1408A" w:rsidRDefault="00D1408A" w:rsidP="00D1408A">
      <w:pPr>
        <w:jc w:val="right"/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>Ana Cecília da Silva Lima</w:t>
      </w:r>
      <w:r w:rsidR="00023E76">
        <w:rPr>
          <w:rStyle w:val="Refdenotaderodap"/>
          <w:rFonts w:eastAsia="Arial" w:cs="Times New Roman"/>
          <w:szCs w:val="24"/>
        </w:rPr>
        <w:footnoteReference w:customMarkFollows="1" w:id="3"/>
        <w:t>***</w:t>
      </w:r>
    </w:p>
    <w:p w14:paraId="0D6F28FF" w14:textId="77777777" w:rsidR="00526970" w:rsidRPr="00DD4BF6" w:rsidRDefault="00526970" w:rsidP="00526970">
      <w:pPr>
        <w:jc w:val="right"/>
        <w:rPr>
          <w:rFonts w:eastAsia="Arial" w:cs="Times New Roman"/>
          <w:b/>
          <w:szCs w:val="24"/>
        </w:rPr>
      </w:pPr>
      <w:r w:rsidRPr="00DD4BF6">
        <w:rPr>
          <w:rFonts w:eastAsia="Arial" w:cs="Times New Roman"/>
          <w:b/>
          <w:color w:val="FF0000"/>
          <w:szCs w:val="24"/>
        </w:rPr>
        <w:t>[</w:t>
      </w:r>
      <w:proofErr w:type="gramStart"/>
      <w:r w:rsidRPr="00DD4BF6">
        <w:rPr>
          <w:rFonts w:eastAsia="Arial" w:cs="Times New Roman"/>
          <w:b/>
          <w:color w:val="FF0000"/>
          <w:szCs w:val="24"/>
        </w:rPr>
        <w:t>omitir</w:t>
      </w:r>
      <w:proofErr w:type="gramEnd"/>
      <w:r w:rsidRPr="00DD4BF6">
        <w:rPr>
          <w:rFonts w:eastAsia="Arial" w:cs="Times New Roman"/>
          <w:b/>
          <w:color w:val="FF0000"/>
          <w:szCs w:val="24"/>
        </w:rPr>
        <w:t xml:space="preserve"> autoria ao salvar no formato/versão “PDF”]</w:t>
      </w:r>
    </w:p>
    <w:p w14:paraId="40BC291D" w14:textId="77777777" w:rsidR="00D1408A" w:rsidRDefault="00D1408A" w:rsidP="00D60CFE">
      <w:pPr>
        <w:jc w:val="right"/>
        <w:rPr>
          <w:rFonts w:eastAsia="Times New Roman" w:cs="Times New Roman"/>
          <w:szCs w:val="24"/>
        </w:rPr>
      </w:pPr>
    </w:p>
    <w:p w14:paraId="5789C5F5" w14:textId="77777777" w:rsidR="0055337E" w:rsidRPr="00DD4BF6" w:rsidRDefault="0055337E" w:rsidP="0055337E">
      <w:pPr>
        <w:rPr>
          <w:rFonts w:eastAsia="Arial" w:cs="Times New Roman"/>
          <w:szCs w:val="24"/>
        </w:rPr>
      </w:pPr>
    </w:p>
    <w:p w14:paraId="5B7C1D92" w14:textId="77777777" w:rsidR="0055337E" w:rsidRPr="00DD4BF6" w:rsidRDefault="009617F1" w:rsidP="00932BC5">
      <w:pPr>
        <w:spacing w:line="240" w:lineRule="auto"/>
        <w:ind w:firstLine="0"/>
        <w:rPr>
          <w:rFonts w:eastAsia="Arial" w:cs="Times New Roman"/>
          <w:b/>
          <w:caps/>
          <w:szCs w:val="24"/>
        </w:rPr>
      </w:pPr>
      <w:r w:rsidRPr="00DD4BF6">
        <w:rPr>
          <w:rFonts w:eastAsia="Arial" w:cs="Times New Roman"/>
          <w:b/>
          <w:caps/>
          <w:szCs w:val="24"/>
        </w:rPr>
        <w:t>Resumo</w:t>
      </w:r>
    </w:p>
    <w:p w14:paraId="39C203B3" w14:textId="52B962D8" w:rsidR="00DD4BF6" w:rsidRPr="001D736D" w:rsidRDefault="003F303C" w:rsidP="001D736D">
      <w:pPr>
        <w:spacing w:line="240" w:lineRule="auto"/>
        <w:ind w:firstLine="0"/>
        <w:rPr>
          <w:rFonts w:eastAsia="Arial"/>
        </w:rPr>
      </w:pPr>
      <w:r>
        <w:rPr>
          <w:rFonts w:eastAsia="Arial"/>
        </w:rPr>
        <w:t>O presente caso de ensino descreve a situação de vulnerabilidade em que se encontra um mutuário de um financiamento para aquisição de um carro usado, o qual, após ter levado em conta a orientação de uma empresa de consultoria não jurídica, busca reduzir o valor da prestação</w:t>
      </w:r>
      <w:r w:rsidR="007D79E9">
        <w:rPr>
          <w:rFonts w:eastAsia="Arial"/>
        </w:rPr>
        <w:t xml:space="preserve">. </w:t>
      </w:r>
      <w:r w:rsidR="00DA726D">
        <w:rPr>
          <w:rFonts w:eastAsia="Arial"/>
        </w:rPr>
        <w:t>O mutuário, por meio de escritório advocatício indicado pela consultoria, ajuíza uma ação de revisão de contrato</w:t>
      </w:r>
      <w:r>
        <w:rPr>
          <w:rFonts w:eastAsia="Arial"/>
        </w:rPr>
        <w:t xml:space="preserve">, mas que acaba </w:t>
      </w:r>
      <w:r w:rsidR="000044EA">
        <w:rPr>
          <w:rFonts w:eastAsia="Arial"/>
        </w:rPr>
        <w:t xml:space="preserve">não obtendo êxito nessa demanda e ainda </w:t>
      </w:r>
      <w:r>
        <w:rPr>
          <w:rFonts w:eastAsia="Arial"/>
        </w:rPr>
        <w:t>perde o automóvel</w:t>
      </w:r>
      <w:r w:rsidR="000044EA">
        <w:rPr>
          <w:rFonts w:eastAsia="Arial"/>
        </w:rPr>
        <w:t>, porque deixou de pagar as prestações mensais</w:t>
      </w:r>
      <w:r w:rsidR="00F45AFA">
        <w:rPr>
          <w:rFonts w:eastAsia="Arial"/>
        </w:rPr>
        <w:t xml:space="preserve"> do financiamento</w:t>
      </w:r>
      <w:r w:rsidR="000044EA">
        <w:rPr>
          <w:rFonts w:eastAsia="Arial"/>
        </w:rPr>
        <w:t xml:space="preserve">. </w:t>
      </w:r>
      <w:r w:rsidR="001D736D">
        <w:rPr>
          <w:rFonts w:eastAsia="Arial"/>
        </w:rPr>
        <w:t xml:space="preserve">O objetivo do presente caso de ensino é levar os discentes à reflexão dos aspectos sociais e jurídicos que permeiam o problema, especificamente acerca da análise dos institutos jurídicos que estão inseridos nesta situação, tais como </w:t>
      </w:r>
      <w:r w:rsidR="007104F1">
        <w:rPr>
          <w:rFonts w:eastAsia="Arial"/>
        </w:rPr>
        <w:t xml:space="preserve">modalidades de obrigações, princípios da boa-fé objetiva, responsabilidade subjetiva e responsabilidade objetiva, </w:t>
      </w:r>
      <w:r w:rsidR="001D736D">
        <w:rPr>
          <w:rFonts w:eastAsia="Arial"/>
        </w:rPr>
        <w:t>para o fim de tomar uma decisão como</w:t>
      </w:r>
      <w:r w:rsidR="00FF023E">
        <w:rPr>
          <w:rFonts w:eastAsia="Arial"/>
        </w:rPr>
        <w:t xml:space="preserve"> se fosse o julgador da demanda, quanto às ações judiciais ajuizadas para reparar o dano sofrido.</w:t>
      </w:r>
    </w:p>
    <w:p w14:paraId="6314C942" w14:textId="4EB07B52" w:rsidR="00384D65" w:rsidRPr="00DD4BF6" w:rsidRDefault="009617F1" w:rsidP="00E22433">
      <w:pPr>
        <w:ind w:firstLine="0"/>
        <w:rPr>
          <w:rFonts w:eastAsia="Arial" w:cs="Times New Roman"/>
          <w:szCs w:val="24"/>
        </w:rPr>
      </w:pPr>
      <w:r w:rsidRPr="00DD4BF6">
        <w:rPr>
          <w:rFonts w:eastAsia="Arial" w:cs="Times New Roman"/>
          <w:b/>
          <w:szCs w:val="24"/>
        </w:rPr>
        <w:t xml:space="preserve">Palavras-chave: </w:t>
      </w:r>
      <w:r w:rsidR="00C419B6" w:rsidRPr="00C419B6">
        <w:rPr>
          <w:rFonts w:eastAsia="Arial" w:cs="Times New Roman"/>
          <w:szCs w:val="24"/>
        </w:rPr>
        <w:t>Obrigações. Contratos.</w:t>
      </w:r>
      <w:r w:rsidR="00C419B6">
        <w:rPr>
          <w:rFonts w:eastAsia="Arial" w:cs="Times New Roman"/>
          <w:szCs w:val="24"/>
        </w:rPr>
        <w:t xml:space="preserve"> Princípio da boa-fé objetiva</w:t>
      </w:r>
      <w:r w:rsidR="002E4610" w:rsidRPr="00DD4BF6">
        <w:rPr>
          <w:rFonts w:eastAsia="Arial" w:cs="Times New Roman"/>
          <w:szCs w:val="24"/>
        </w:rPr>
        <w:t>.</w:t>
      </w:r>
      <w:r w:rsidR="00E22433" w:rsidRPr="00E22433">
        <w:rPr>
          <w:rFonts w:eastAsia="Arial" w:cs="Times New Roman"/>
          <w:szCs w:val="24"/>
        </w:rPr>
        <w:t xml:space="preserve"> </w:t>
      </w:r>
      <w:r w:rsidR="00E22433" w:rsidRPr="00721E1F">
        <w:rPr>
          <w:rFonts w:eastAsia="Arial" w:cs="Times New Roman"/>
          <w:szCs w:val="24"/>
        </w:rPr>
        <w:t>Caso para ensino.</w:t>
      </w:r>
    </w:p>
    <w:p w14:paraId="2F79E403" w14:textId="77777777" w:rsidR="00384D65" w:rsidRPr="00DD4BF6" w:rsidRDefault="00384D65" w:rsidP="00DD4BF6">
      <w:pPr>
        <w:rPr>
          <w:rFonts w:eastAsia="Arial" w:cs="Times New Roman"/>
          <w:spacing w:val="-2"/>
          <w:szCs w:val="24"/>
        </w:rPr>
      </w:pPr>
    </w:p>
    <w:p w14:paraId="722D044E" w14:textId="70C30DD8" w:rsidR="00C93F74" w:rsidRDefault="00384D65" w:rsidP="00FB1D38">
      <w:pPr>
        <w:pStyle w:val="Ttulo1"/>
        <w:rPr>
          <w:rFonts w:eastAsia="Arial"/>
        </w:rPr>
      </w:pPr>
      <w:r w:rsidRPr="00DD4BF6">
        <w:rPr>
          <w:rFonts w:eastAsia="Arial"/>
        </w:rPr>
        <w:t>APRESENTAÇÃO DO CASO</w:t>
      </w:r>
    </w:p>
    <w:p w14:paraId="2B6BC26B" w14:textId="60FCD803" w:rsidR="00B06F79" w:rsidRDefault="00FB396C" w:rsidP="00411DEF">
      <w:r>
        <w:t xml:space="preserve">O </w:t>
      </w:r>
      <w:r w:rsidR="00B06F79">
        <w:t>estudo do direito das obrigações</w:t>
      </w:r>
      <w:r w:rsidR="00F365C9">
        <w:t xml:space="preserve"> indica várias fontes das quais emanam as obrigações civis. Destacam-se, nesse particular, os contratos, mas não se esgotam nele. Há </w:t>
      </w:r>
      <w:r w:rsidR="00F365C9">
        <w:lastRenderedPageBreak/>
        <w:t>também a promessa de recompensa, o enriquecimento sem causa, assim como o ato ilícito extracontratual.</w:t>
      </w:r>
    </w:p>
    <w:p w14:paraId="5EF7CD05" w14:textId="2EDF4326" w:rsidR="00411DEF" w:rsidRDefault="00411DEF" w:rsidP="00411DEF">
      <w:r>
        <w:t>As fontes das obrigações são os fatos jurídicos gerados a partir da incidência da norma, e</w:t>
      </w:r>
      <w:r w:rsidR="00331673">
        <w:t>,</w:t>
      </w:r>
      <w:r>
        <w:t xml:space="preserve"> como seu consequente, surgem alguns tipos de obrigações, denominadas de modalidades, como a obrigação de dar, obrigação de fazer e obrigação de não fazer.</w:t>
      </w:r>
    </w:p>
    <w:p w14:paraId="5F7E4250" w14:textId="77777777" w:rsidR="000B2F2E" w:rsidRDefault="000B2F2E" w:rsidP="00411DEF">
      <w:r>
        <w:t>Nessas fontes de obrigações, para além dessas modalidades, há ainda alguns deveres anexos que devem ser respeitados pelas partes, e decorrem diretamente da lei, não sendo objeto de convenção pelos celebrantes, mas cujo descumprimento leva também ao inadimplemento da obrigação.</w:t>
      </w:r>
    </w:p>
    <w:p w14:paraId="05F6F8CE" w14:textId="66C5AB3C" w:rsidR="00200360" w:rsidRPr="00200360" w:rsidRDefault="000B2F2E" w:rsidP="00200360">
      <w:r>
        <w:t xml:space="preserve">Para aprofundar essa matéria, </w:t>
      </w:r>
      <w:r w:rsidR="00E248B1">
        <w:t xml:space="preserve">notadamente para compreender a conexão entre obrigação e dever anexo, </w:t>
      </w:r>
      <w:r>
        <w:t xml:space="preserve">será feito o estudo do caso abaixo, que é </w:t>
      </w:r>
      <w:r w:rsidR="00200360">
        <w:t xml:space="preserve">apresentado em duas fases: o relato inicial </w:t>
      </w:r>
      <w:r w:rsidR="001C12F7">
        <w:t xml:space="preserve">(seção 1.1) </w:t>
      </w:r>
      <w:r w:rsidR="00200360">
        <w:t>e, em seguida, a situação-problema que necessitará de uma solução jurídica pelos discentes</w:t>
      </w:r>
      <w:r w:rsidR="001C12F7">
        <w:t xml:space="preserve"> (seção 1.2)</w:t>
      </w:r>
      <w:r w:rsidR="00200360">
        <w:t>.</w:t>
      </w:r>
    </w:p>
    <w:p w14:paraId="2DF67033" w14:textId="67358401" w:rsidR="00902A2C" w:rsidRDefault="00902A2C" w:rsidP="00902A2C">
      <w:pPr>
        <w:pStyle w:val="Ttulo2"/>
        <w:rPr>
          <w:rFonts w:eastAsia="Arial"/>
        </w:rPr>
      </w:pPr>
      <w:r>
        <w:rPr>
          <w:rFonts w:eastAsia="Arial"/>
        </w:rPr>
        <w:t>Relato inicial</w:t>
      </w:r>
    </w:p>
    <w:p w14:paraId="1684838F" w14:textId="4C1DCAB5" w:rsidR="00BE67B1" w:rsidRDefault="001B6C0F" w:rsidP="000B2A37">
      <w:pPr>
        <w:rPr>
          <w:rFonts w:eastAsia="Arial"/>
        </w:rPr>
      </w:pPr>
      <w:r w:rsidRPr="001B6C0F">
        <w:rPr>
          <w:rFonts w:eastAsia="Arial"/>
        </w:rPr>
        <w:t>Pedro Silveira</w:t>
      </w:r>
      <w:r w:rsidR="000E60AA">
        <w:rPr>
          <w:rFonts w:eastAsia="Arial"/>
        </w:rPr>
        <w:t>, brasileiro, casado, reside com sua mulher e seus três filhos ado</w:t>
      </w:r>
      <w:r w:rsidR="00BE67B1">
        <w:rPr>
          <w:rFonts w:eastAsia="Arial"/>
        </w:rPr>
        <w:t>lescentes, na capital do estad</w:t>
      </w:r>
      <w:r w:rsidR="000B2A37">
        <w:rPr>
          <w:rFonts w:eastAsia="Arial"/>
        </w:rPr>
        <w:t>o, em um imóvel de três cômodos, alugad</w:t>
      </w:r>
      <w:r w:rsidR="00E039CD">
        <w:rPr>
          <w:rFonts w:eastAsia="Arial"/>
        </w:rPr>
        <w:t>o</w:t>
      </w:r>
      <w:r w:rsidR="000B2A37">
        <w:rPr>
          <w:rFonts w:eastAsia="Arial"/>
        </w:rPr>
        <w:t xml:space="preserve"> há alguns anos.</w:t>
      </w:r>
    </w:p>
    <w:p w14:paraId="1DAFE1E4" w14:textId="161355EA" w:rsidR="00E039CD" w:rsidRDefault="00E039CD" w:rsidP="000B2A37">
      <w:pPr>
        <w:rPr>
          <w:rFonts w:eastAsia="Arial"/>
        </w:rPr>
      </w:pPr>
      <w:r>
        <w:rPr>
          <w:rFonts w:eastAsia="Arial"/>
        </w:rPr>
        <w:t xml:space="preserve">Para evitar o descolamento por ônibus de sua casa até os locais de prestação de serviços (seus clientes residem em bairros que ficam distantes do </w:t>
      </w:r>
      <w:r w:rsidR="00FA71FD">
        <w:rPr>
          <w:rFonts w:eastAsia="Arial"/>
        </w:rPr>
        <w:t xml:space="preserve">seu </w:t>
      </w:r>
      <w:r>
        <w:rPr>
          <w:rFonts w:eastAsia="Arial"/>
        </w:rPr>
        <w:t xml:space="preserve">bairro), </w:t>
      </w:r>
      <w:r w:rsidR="00FA71FD">
        <w:rPr>
          <w:rFonts w:eastAsia="Arial"/>
        </w:rPr>
        <w:t xml:space="preserve">Pedro </w:t>
      </w:r>
      <w:r>
        <w:rPr>
          <w:rFonts w:eastAsia="Arial"/>
        </w:rPr>
        <w:t>teve a ideia de adquirir um carro.</w:t>
      </w:r>
    </w:p>
    <w:p w14:paraId="4E7DE668" w14:textId="77777777" w:rsidR="008535B8" w:rsidRDefault="00E039CD" w:rsidP="000B2A37">
      <w:pPr>
        <w:rPr>
          <w:rFonts w:eastAsia="Arial"/>
        </w:rPr>
      </w:pPr>
      <w:r>
        <w:rPr>
          <w:rFonts w:eastAsia="Arial"/>
        </w:rPr>
        <w:t xml:space="preserve">Como não podia comprar um carro novo, cujo valor superava R$ 100.000,00, buscou uma loja de revenda de carro, e, após negociação, fechou a aquisição de um </w:t>
      </w:r>
      <w:proofErr w:type="spellStart"/>
      <w:r>
        <w:rPr>
          <w:rFonts w:eastAsia="Arial"/>
        </w:rPr>
        <w:t>Onix</w:t>
      </w:r>
      <w:proofErr w:type="spellEnd"/>
      <w:r>
        <w:rPr>
          <w:rFonts w:eastAsia="Arial"/>
        </w:rPr>
        <w:t>, seminovo, no valor de R$ 50.000,00</w:t>
      </w:r>
      <w:r w:rsidR="005E1E6D">
        <w:rPr>
          <w:rFonts w:eastAsia="Arial"/>
        </w:rPr>
        <w:t>.</w:t>
      </w:r>
    </w:p>
    <w:p w14:paraId="30FCD9C3" w14:textId="77777777" w:rsidR="003A1397" w:rsidRDefault="005E1E6D" w:rsidP="000B2A37">
      <w:pPr>
        <w:rPr>
          <w:rFonts w:eastAsia="Arial"/>
        </w:rPr>
      </w:pPr>
      <w:r>
        <w:rPr>
          <w:rFonts w:eastAsia="Arial"/>
        </w:rPr>
        <w:t>Deu de entrada o valor de R$ 15.000,00 e financiou o restante junto ao banco Bradesco, para pagar em 36 meses.</w:t>
      </w:r>
      <w:r w:rsidR="008535B8">
        <w:rPr>
          <w:rFonts w:eastAsia="Arial"/>
        </w:rPr>
        <w:t xml:space="preserve"> A prestação ficou em R$ 1.500,00 mensais.</w:t>
      </w:r>
    </w:p>
    <w:p w14:paraId="7486530A" w14:textId="44634FE5" w:rsidR="00E039CD" w:rsidRDefault="00F4543A" w:rsidP="000B2A37">
      <w:pPr>
        <w:rPr>
          <w:rFonts w:eastAsia="Arial"/>
        </w:rPr>
      </w:pPr>
      <w:r>
        <w:rPr>
          <w:rFonts w:eastAsia="Arial"/>
        </w:rPr>
        <w:t>Após aprovação do financiamento e recebimento do valor, a loja de revenda de carro</w:t>
      </w:r>
      <w:r w:rsidR="00080496">
        <w:rPr>
          <w:rFonts w:eastAsia="Arial"/>
        </w:rPr>
        <w:t xml:space="preserve"> transferiu o automóvel para o nome de Pedro, mas com a restrição consistente de alienação fiduciária para o Banco Bradesco, como garantia do financiamento.</w:t>
      </w:r>
    </w:p>
    <w:p w14:paraId="5311E1F7" w14:textId="77777777" w:rsidR="001B4F4C" w:rsidRDefault="001B6C0F" w:rsidP="00CB1987">
      <w:pPr>
        <w:rPr>
          <w:rFonts w:eastAsia="Arial"/>
        </w:rPr>
      </w:pPr>
      <w:r w:rsidRPr="001B6C0F">
        <w:rPr>
          <w:rFonts w:eastAsia="Arial"/>
        </w:rPr>
        <w:t>Após pagar 6 parcelas</w:t>
      </w:r>
      <w:r w:rsidR="001B4F4C">
        <w:rPr>
          <w:rFonts w:eastAsia="Arial"/>
        </w:rPr>
        <w:t xml:space="preserve"> mensais, alguns clientes de Pedro não renovaram o contrato de pintura, e ele começou a ficar em dificuldades financeiras.</w:t>
      </w:r>
    </w:p>
    <w:p w14:paraId="188EE917" w14:textId="08940ACC" w:rsidR="00BA56B3" w:rsidRDefault="001B4F4C" w:rsidP="00CB1987">
      <w:pPr>
        <w:rPr>
          <w:rFonts w:eastAsia="Arial"/>
        </w:rPr>
      </w:pPr>
      <w:r>
        <w:rPr>
          <w:rFonts w:eastAsia="Arial"/>
        </w:rPr>
        <w:lastRenderedPageBreak/>
        <w:t xml:space="preserve">Nesse momento, ele </w:t>
      </w:r>
      <w:r w:rsidR="001B6C0F" w:rsidRPr="001B6C0F">
        <w:rPr>
          <w:rFonts w:eastAsia="Arial"/>
        </w:rPr>
        <w:t>viu um anúncio de uma consultoria que prometia reduzir o valor da prestação ajustada com o banco, e</w:t>
      </w:r>
      <w:r w:rsidR="009908E7">
        <w:rPr>
          <w:rFonts w:eastAsia="Arial"/>
        </w:rPr>
        <w:t>, assim,</w:t>
      </w:r>
      <w:r w:rsidR="001B6C0F" w:rsidRPr="001B6C0F">
        <w:rPr>
          <w:rFonts w:eastAsia="Arial"/>
        </w:rPr>
        <w:t xml:space="preserve"> se dirigiu ao estabelecimento para saber dos detalhes.</w:t>
      </w:r>
    </w:p>
    <w:p w14:paraId="5CC95154" w14:textId="407A84DE" w:rsidR="003D0321" w:rsidRDefault="003D0321" w:rsidP="003D0321">
      <w:pPr>
        <w:pStyle w:val="Ttulo2"/>
        <w:rPr>
          <w:rFonts w:eastAsia="Arial"/>
        </w:rPr>
      </w:pPr>
      <w:r>
        <w:rPr>
          <w:rFonts w:eastAsia="Arial"/>
        </w:rPr>
        <w:t>Situação</w:t>
      </w:r>
      <w:r w:rsidR="004B074E">
        <w:rPr>
          <w:rFonts w:eastAsia="Arial"/>
        </w:rPr>
        <w:t>-</w:t>
      </w:r>
      <w:r>
        <w:rPr>
          <w:rFonts w:eastAsia="Arial"/>
        </w:rPr>
        <w:t>problema</w:t>
      </w:r>
    </w:p>
    <w:p w14:paraId="052BAE4B" w14:textId="564CD662" w:rsidR="00983A36" w:rsidRDefault="00335DEC" w:rsidP="00CB1987">
      <w:pPr>
        <w:rPr>
          <w:rFonts w:eastAsia="Arial"/>
        </w:rPr>
      </w:pPr>
      <w:r w:rsidRPr="00335DEC">
        <w:rPr>
          <w:rFonts w:eastAsia="Arial"/>
        </w:rPr>
        <w:t>Seguindo a orientação da consultoria</w:t>
      </w:r>
      <w:r w:rsidR="00E151D7">
        <w:rPr>
          <w:rStyle w:val="Refdenotaderodap"/>
          <w:rFonts w:eastAsia="Arial"/>
        </w:rPr>
        <w:footnoteReference w:id="4"/>
      </w:r>
      <w:r w:rsidRPr="00335DEC">
        <w:rPr>
          <w:rFonts w:eastAsia="Arial"/>
        </w:rPr>
        <w:t>, o consumidor deixou de pagar as prestações seguintes, e procurou o escritório de advocatíci</w:t>
      </w:r>
      <w:r w:rsidR="00983A36">
        <w:rPr>
          <w:rFonts w:eastAsia="Arial"/>
        </w:rPr>
        <w:t>o conveniado com a consultoria.</w:t>
      </w:r>
    </w:p>
    <w:p w14:paraId="05F55173" w14:textId="77777777" w:rsidR="00752509" w:rsidRDefault="00335DEC" w:rsidP="00CB1987">
      <w:pPr>
        <w:rPr>
          <w:rFonts w:eastAsia="Arial"/>
        </w:rPr>
      </w:pPr>
      <w:r w:rsidRPr="00335DEC">
        <w:rPr>
          <w:rFonts w:eastAsia="Arial"/>
        </w:rPr>
        <w:t>O escritório de advocatícia cobrou R$ 1.000,00 para custas e despesas e iniciais, formalizou contrato de honorários, com cláusula expressa de que atuará na técnica processual, mas que o re</w:t>
      </w:r>
      <w:r w:rsidR="00752509">
        <w:rPr>
          <w:rFonts w:eastAsia="Arial"/>
        </w:rPr>
        <w:t>sultado pode não ser favorável.</w:t>
      </w:r>
    </w:p>
    <w:p w14:paraId="29D3BDEB" w14:textId="77777777" w:rsidR="00D11FFA" w:rsidRDefault="00752509" w:rsidP="00CB1987">
      <w:pPr>
        <w:rPr>
          <w:rFonts w:eastAsia="Arial"/>
        </w:rPr>
      </w:pPr>
      <w:r>
        <w:rPr>
          <w:rFonts w:eastAsia="Arial"/>
        </w:rPr>
        <w:t>Assim, Pedro</w:t>
      </w:r>
      <w:r w:rsidR="00335DEC" w:rsidRPr="00335DEC">
        <w:rPr>
          <w:rFonts w:eastAsia="Arial"/>
        </w:rPr>
        <w:t xml:space="preserve">, por seu advogado, ajuizou ação de revisão do financiamento. A justiça, contudo, julgou improcedente o pedido de revisão do financiamento, e ainda deferiu pedido do Banco, determinando a apreensão do carro e entrega ao banco. </w:t>
      </w:r>
    </w:p>
    <w:p w14:paraId="77D6FA3E" w14:textId="77777777" w:rsidR="008669BC" w:rsidRDefault="00D11FFA" w:rsidP="00CB1987">
      <w:pPr>
        <w:rPr>
          <w:rFonts w:eastAsia="Arial"/>
        </w:rPr>
      </w:pPr>
      <w:r>
        <w:rPr>
          <w:rFonts w:eastAsia="Arial"/>
        </w:rPr>
        <w:t xml:space="preserve">Pedro </w:t>
      </w:r>
      <w:r w:rsidR="00335DEC" w:rsidRPr="00335DEC">
        <w:rPr>
          <w:rFonts w:eastAsia="Arial"/>
        </w:rPr>
        <w:t xml:space="preserve">ficou sem o carro, com uma dívida enorme e teve seu nome negativado em cadastro de inadimplentes. </w:t>
      </w:r>
    </w:p>
    <w:p w14:paraId="70DF0FA4" w14:textId="42E0D52C" w:rsidR="003526CE" w:rsidRDefault="008669BC" w:rsidP="003526CE">
      <w:pPr>
        <w:rPr>
          <w:rFonts w:eastAsia="Arial"/>
        </w:rPr>
      </w:pPr>
      <w:r>
        <w:rPr>
          <w:rFonts w:eastAsia="Arial"/>
        </w:rPr>
        <w:t xml:space="preserve">Ele </w:t>
      </w:r>
      <w:r w:rsidR="00335DEC" w:rsidRPr="00335DEC">
        <w:rPr>
          <w:rFonts w:eastAsia="Arial"/>
        </w:rPr>
        <w:t>foi à Defensoria Pública, que ajuizou uma ação para responsabilizar a consultoria e outra ação para responsabilizar o escritório de advoc</w:t>
      </w:r>
      <w:r w:rsidR="003526CE">
        <w:rPr>
          <w:rFonts w:eastAsia="Arial"/>
        </w:rPr>
        <w:t>acia pelos danos causados a ela, as quais, após o devido trâmite legal, encontram-se pronto para julgamento por sentença.</w:t>
      </w:r>
    </w:p>
    <w:p w14:paraId="331322CB" w14:textId="7C254373" w:rsidR="00DD4BF6" w:rsidRDefault="00DD4BF6" w:rsidP="00FB1D38">
      <w:pPr>
        <w:pStyle w:val="Ttulo1"/>
        <w:rPr>
          <w:rFonts w:eastAsia="Arial"/>
        </w:rPr>
      </w:pPr>
      <w:r>
        <w:rPr>
          <w:rFonts w:eastAsia="Arial"/>
        </w:rPr>
        <w:t>NOTAS DE ENSINO</w:t>
      </w:r>
    </w:p>
    <w:p w14:paraId="4BF6C910" w14:textId="77777777" w:rsidR="001315CB" w:rsidRDefault="001315CB" w:rsidP="00CE222C">
      <w:pPr>
        <w:rPr>
          <w:rFonts w:eastAsia="Arial"/>
        </w:rPr>
      </w:pPr>
      <w:r>
        <w:rPr>
          <w:rFonts w:eastAsia="Arial"/>
        </w:rPr>
        <w:t>As notas desta seção são destinadas à aplicação do caso para ensino, devendo ser reservadas para o professor e seus monitores.</w:t>
      </w:r>
    </w:p>
    <w:p w14:paraId="3353DC41" w14:textId="3DD181B0" w:rsidR="00AB3FD1" w:rsidRDefault="00B77666" w:rsidP="00934D34">
      <w:pPr>
        <w:rPr>
          <w:rFonts w:eastAsia="Arial"/>
        </w:rPr>
      </w:pPr>
      <w:r>
        <w:rPr>
          <w:rFonts w:eastAsia="Arial"/>
        </w:rPr>
        <w:t>C</w:t>
      </w:r>
      <w:r w:rsidR="00934D34">
        <w:rPr>
          <w:rFonts w:eastAsia="Arial"/>
        </w:rPr>
        <w:t>aso para ensino</w:t>
      </w:r>
      <w:r>
        <w:rPr>
          <w:rFonts w:eastAsia="Arial"/>
        </w:rPr>
        <w:t xml:space="preserve">, seguindo o magistério de </w:t>
      </w:r>
      <w:proofErr w:type="spellStart"/>
      <w:r>
        <w:rPr>
          <w:rFonts w:eastAsia="Arial"/>
        </w:rPr>
        <w:t>Roesch</w:t>
      </w:r>
      <w:proofErr w:type="spellEnd"/>
      <w:r>
        <w:rPr>
          <w:rFonts w:eastAsia="Arial"/>
        </w:rPr>
        <w:t xml:space="preserve"> (2004, p. 89), consiste em</w:t>
      </w:r>
      <w:r w:rsidR="00934D34">
        <w:rPr>
          <w:rFonts w:eastAsia="Arial"/>
        </w:rPr>
        <w:t xml:space="preserve"> relato de situações da vida das organizações, construído com propósitos educacionais específicos, </w:t>
      </w:r>
      <w:r w:rsidR="00E53E1A">
        <w:rPr>
          <w:rFonts w:eastAsia="Arial"/>
        </w:rPr>
        <w:t xml:space="preserve">notadamente para desenvolver nos participantes </w:t>
      </w:r>
      <w:r w:rsidR="0038789D">
        <w:rPr>
          <w:rFonts w:eastAsia="Arial"/>
        </w:rPr>
        <w:t xml:space="preserve">o aperfeiçoamento do conhecimento, as </w:t>
      </w:r>
      <w:r w:rsidR="00E53E1A">
        <w:rPr>
          <w:rFonts w:eastAsia="Arial"/>
        </w:rPr>
        <w:t xml:space="preserve">habilidades </w:t>
      </w:r>
      <w:r w:rsidR="0038789D">
        <w:rPr>
          <w:rFonts w:eastAsia="Arial"/>
        </w:rPr>
        <w:t>na aplicação deste conhecimento e comportamentos considerados essenciais para a resolução do problema.</w:t>
      </w:r>
    </w:p>
    <w:p w14:paraId="3DF66E00" w14:textId="3A5DE972" w:rsidR="00CD113C" w:rsidRDefault="00CD113C" w:rsidP="00CD113C">
      <w:pPr>
        <w:rPr>
          <w:rFonts w:eastAsia="Arial"/>
        </w:rPr>
      </w:pPr>
      <w:r>
        <w:rPr>
          <w:rFonts w:eastAsia="Arial"/>
        </w:rPr>
        <w:t xml:space="preserve">No dizer de </w:t>
      </w:r>
      <w:proofErr w:type="spellStart"/>
      <w:r>
        <w:rPr>
          <w:rFonts w:eastAsia="Arial"/>
        </w:rPr>
        <w:t>Albertone</w:t>
      </w:r>
      <w:proofErr w:type="spellEnd"/>
      <w:r>
        <w:rPr>
          <w:rFonts w:eastAsia="Arial"/>
        </w:rPr>
        <w:t xml:space="preserve"> e Silva (2018</w:t>
      </w:r>
      <w:r w:rsidR="00C35047">
        <w:rPr>
          <w:rFonts w:eastAsia="Arial"/>
        </w:rPr>
        <w:t>, p. 750</w:t>
      </w:r>
      <w:r>
        <w:rPr>
          <w:rFonts w:eastAsia="Arial"/>
        </w:rPr>
        <w:t xml:space="preserve">), um </w:t>
      </w:r>
      <w:r w:rsidRPr="00CD113C">
        <w:rPr>
          <w:rFonts w:eastAsia="Arial"/>
        </w:rPr>
        <w:t xml:space="preserve">caso para ensino é uma descrição de uma situação administrativa, rica de </w:t>
      </w:r>
      <w:r>
        <w:rPr>
          <w:rFonts w:eastAsia="Arial"/>
        </w:rPr>
        <w:t xml:space="preserve">detalhes, que “imita ou simula uma situação real”, de </w:t>
      </w:r>
      <w:r>
        <w:rPr>
          <w:rFonts w:eastAsia="Arial"/>
        </w:rPr>
        <w:lastRenderedPageBreak/>
        <w:t>maneira que representa a realidade, possibilitando a toma de decisão em ambiente de risco controlado.</w:t>
      </w:r>
    </w:p>
    <w:p w14:paraId="0DD63E6A" w14:textId="12164631" w:rsidR="00D8799B" w:rsidRDefault="00D8799B" w:rsidP="00D8799B">
      <w:pPr>
        <w:rPr>
          <w:rFonts w:eastAsia="Arial"/>
        </w:rPr>
      </w:pPr>
      <w:r>
        <w:rPr>
          <w:rFonts w:eastAsia="Arial"/>
        </w:rPr>
        <w:t>Uma das grandes vantagens do método</w:t>
      </w:r>
      <w:r w:rsidR="00D82D2E">
        <w:rPr>
          <w:rFonts w:eastAsia="Arial"/>
        </w:rPr>
        <w:t xml:space="preserve">, apregoa </w:t>
      </w:r>
      <w:proofErr w:type="spellStart"/>
      <w:r w:rsidR="00D82D2E">
        <w:rPr>
          <w:rFonts w:eastAsia="Arial"/>
        </w:rPr>
        <w:t>Roesch</w:t>
      </w:r>
      <w:proofErr w:type="spellEnd"/>
      <w:r w:rsidR="00D82D2E">
        <w:rPr>
          <w:rFonts w:eastAsia="Arial"/>
        </w:rPr>
        <w:t xml:space="preserve"> (2004, p. 96), </w:t>
      </w:r>
      <w:r>
        <w:rPr>
          <w:rFonts w:eastAsia="Arial"/>
        </w:rPr>
        <w:t>é colocar os discentes na posição do tomador da decisão pa</w:t>
      </w:r>
      <w:r w:rsidR="00D82D2E">
        <w:rPr>
          <w:rFonts w:eastAsia="Arial"/>
        </w:rPr>
        <w:t>ra solução do problema</w:t>
      </w:r>
      <w:r>
        <w:rPr>
          <w:rFonts w:eastAsia="Arial"/>
        </w:rPr>
        <w:t>.</w:t>
      </w:r>
    </w:p>
    <w:p w14:paraId="550DDA4E" w14:textId="253F7A7B" w:rsidR="005C7C0F" w:rsidRDefault="00EE54FF" w:rsidP="005C7C0F">
      <w:pPr>
        <w:rPr>
          <w:rFonts w:eastAsia="Arial"/>
        </w:rPr>
      </w:pPr>
      <w:r>
        <w:rPr>
          <w:rFonts w:eastAsia="Arial"/>
        </w:rPr>
        <w:t>Os casos para ensino são, em regra, elaborados a p</w:t>
      </w:r>
      <w:r w:rsidR="009A083F">
        <w:rPr>
          <w:rFonts w:eastAsia="Arial"/>
        </w:rPr>
        <w:t xml:space="preserve">artir de pesquisa empírica, mas, como bem pontua </w:t>
      </w:r>
      <w:proofErr w:type="spellStart"/>
      <w:r w:rsidR="009A083F">
        <w:rPr>
          <w:rFonts w:eastAsia="Arial"/>
        </w:rPr>
        <w:t>Roesch</w:t>
      </w:r>
      <w:proofErr w:type="spellEnd"/>
      <w:r w:rsidR="009A083F">
        <w:rPr>
          <w:rFonts w:eastAsia="Arial"/>
        </w:rPr>
        <w:t xml:space="preserve"> (2007, p. 218), </w:t>
      </w:r>
      <w:r>
        <w:rPr>
          <w:rFonts w:eastAsia="Arial"/>
        </w:rPr>
        <w:t>“alguns casos derivam essencialmente e materiais publ</w:t>
      </w:r>
      <w:r w:rsidR="009A083F">
        <w:rPr>
          <w:rFonts w:eastAsia="Arial"/>
        </w:rPr>
        <w:t>icados”</w:t>
      </w:r>
      <w:r w:rsidR="005C7C0F">
        <w:rPr>
          <w:rFonts w:eastAsia="Arial"/>
        </w:rPr>
        <w:t>. De forma mais ampla, a elaboração de um caso é</w:t>
      </w:r>
      <w:r w:rsidR="003379E1">
        <w:rPr>
          <w:rFonts w:eastAsia="Arial"/>
        </w:rPr>
        <w:t xml:space="preserve"> </w:t>
      </w:r>
      <w:r w:rsidR="005C7C0F">
        <w:rPr>
          <w:rFonts w:eastAsia="Arial"/>
        </w:rPr>
        <w:t>“</w:t>
      </w:r>
      <w:r w:rsidR="005C7C0F" w:rsidRPr="005C7C0F">
        <w:rPr>
          <w:rFonts w:eastAsia="Arial"/>
        </w:rPr>
        <w:t>basead</w:t>
      </w:r>
      <w:r w:rsidR="003379E1">
        <w:rPr>
          <w:rFonts w:eastAsia="Arial"/>
        </w:rPr>
        <w:t xml:space="preserve">a em trabalho de campo ou em </w:t>
      </w:r>
      <w:r w:rsidR="005C7C0F" w:rsidRPr="005C7C0F">
        <w:rPr>
          <w:rFonts w:eastAsia="Arial"/>
        </w:rPr>
        <w:t>experiência</w:t>
      </w:r>
      <w:r w:rsidR="003379E1">
        <w:rPr>
          <w:rFonts w:eastAsia="Arial"/>
        </w:rPr>
        <w:t xml:space="preserve"> </w:t>
      </w:r>
      <w:r w:rsidR="005C7C0F" w:rsidRPr="005C7C0F">
        <w:rPr>
          <w:rFonts w:eastAsia="Arial"/>
        </w:rPr>
        <w:t>de</w:t>
      </w:r>
      <w:r w:rsidR="003379E1">
        <w:rPr>
          <w:rFonts w:eastAsia="Arial"/>
        </w:rPr>
        <w:t xml:space="preserve"> </w:t>
      </w:r>
      <w:r w:rsidR="005C7C0F" w:rsidRPr="005C7C0F">
        <w:rPr>
          <w:rFonts w:eastAsia="Arial"/>
        </w:rPr>
        <w:t>consultoria</w:t>
      </w:r>
      <w:r w:rsidR="003379E1">
        <w:rPr>
          <w:rFonts w:eastAsia="Arial"/>
        </w:rPr>
        <w:t xml:space="preserve"> </w:t>
      </w:r>
      <w:r w:rsidR="005C7C0F" w:rsidRPr="005C7C0F">
        <w:rPr>
          <w:rFonts w:eastAsia="Arial"/>
        </w:rPr>
        <w:t>ou,</w:t>
      </w:r>
      <w:r w:rsidR="003379E1">
        <w:rPr>
          <w:rFonts w:eastAsia="Arial"/>
        </w:rPr>
        <w:t xml:space="preserve"> ainda, em dados documentais e/ou </w:t>
      </w:r>
      <w:r w:rsidR="005C7C0F" w:rsidRPr="005C7C0F">
        <w:rPr>
          <w:rFonts w:eastAsia="Arial"/>
        </w:rPr>
        <w:t>bibliográficos</w:t>
      </w:r>
      <w:r w:rsidR="005C7C0F">
        <w:rPr>
          <w:rFonts w:eastAsia="Arial"/>
        </w:rPr>
        <w:t>”</w:t>
      </w:r>
      <w:r w:rsidR="00AC21F5">
        <w:rPr>
          <w:rFonts w:eastAsia="Arial"/>
        </w:rPr>
        <w:t xml:space="preserve"> </w:t>
      </w:r>
      <w:r w:rsidR="00C92ADE">
        <w:rPr>
          <w:rFonts w:eastAsia="Arial"/>
        </w:rPr>
        <w:t>(A</w:t>
      </w:r>
      <w:r w:rsidR="00AC21F5">
        <w:rPr>
          <w:rFonts w:eastAsia="Arial"/>
        </w:rPr>
        <w:t>NPAD, 2011)</w:t>
      </w:r>
      <w:r w:rsidR="005C7C0F">
        <w:rPr>
          <w:rFonts w:eastAsia="Arial"/>
        </w:rPr>
        <w:t>.</w:t>
      </w:r>
    </w:p>
    <w:p w14:paraId="539B0013" w14:textId="74CB5AF1" w:rsidR="00A32F21" w:rsidRPr="00A32F21" w:rsidRDefault="00A32F21" w:rsidP="00850B14">
      <w:pPr>
        <w:rPr>
          <w:rFonts w:eastAsia="Arial"/>
        </w:rPr>
      </w:pPr>
      <w:r>
        <w:rPr>
          <w:rFonts w:eastAsia="Arial"/>
        </w:rPr>
        <w:t xml:space="preserve">No campo jurídico, </w:t>
      </w:r>
      <w:r w:rsidR="00850B14">
        <w:rPr>
          <w:rFonts w:eastAsia="Arial"/>
        </w:rPr>
        <w:t xml:space="preserve">a aplicação do método é atribuída a </w:t>
      </w:r>
      <w:r w:rsidR="00850B14" w:rsidRPr="00850B14">
        <w:rPr>
          <w:rFonts w:eastAsia="Arial"/>
        </w:rPr>
        <w:t xml:space="preserve">Christopher Columbus </w:t>
      </w:r>
      <w:proofErr w:type="spellStart"/>
      <w:r w:rsidR="00850B14" w:rsidRPr="00850B14">
        <w:rPr>
          <w:rFonts w:eastAsia="Arial"/>
        </w:rPr>
        <w:t>Langdell</w:t>
      </w:r>
      <w:proofErr w:type="spellEnd"/>
      <w:r w:rsidR="00850B14" w:rsidRPr="00850B14">
        <w:rPr>
          <w:rFonts w:eastAsia="Arial"/>
        </w:rPr>
        <w:t>,</w:t>
      </w:r>
      <w:r w:rsidR="00850B14">
        <w:rPr>
          <w:rFonts w:eastAsia="Arial"/>
        </w:rPr>
        <w:t xml:space="preserve"> em seu curso sobre contratos na </w:t>
      </w:r>
      <w:r w:rsidR="00850B14" w:rsidRPr="00551C32">
        <w:rPr>
          <w:rFonts w:eastAsia="Arial"/>
          <w:i/>
        </w:rPr>
        <w:t xml:space="preserve">Harvard Law </w:t>
      </w:r>
      <w:proofErr w:type="spellStart"/>
      <w:r w:rsidR="00850B14" w:rsidRPr="00551C32">
        <w:rPr>
          <w:rFonts w:eastAsia="Arial"/>
          <w:i/>
        </w:rPr>
        <w:t>School</w:t>
      </w:r>
      <w:proofErr w:type="spellEnd"/>
      <w:r w:rsidR="008D2A33">
        <w:rPr>
          <w:rFonts w:eastAsia="Arial"/>
        </w:rPr>
        <w:t xml:space="preserve">, </w:t>
      </w:r>
      <w:r>
        <w:rPr>
          <w:rFonts w:eastAsia="Arial"/>
        </w:rPr>
        <w:t xml:space="preserve">entendido </w:t>
      </w:r>
      <w:r w:rsidR="008D2A33">
        <w:rPr>
          <w:rFonts w:eastAsia="Arial"/>
        </w:rPr>
        <w:t xml:space="preserve">como </w:t>
      </w:r>
      <w:r>
        <w:rPr>
          <w:rFonts w:eastAsia="Arial"/>
        </w:rPr>
        <w:t>“</w:t>
      </w:r>
      <w:r w:rsidRPr="00A32F21">
        <w:rPr>
          <w:rFonts w:eastAsia="Arial"/>
        </w:rPr>
        <w:t>um instrumento didático que objetiva o ensino de habilidades voltadas para o desenvolvimento e a prática do raciocínio jurídico por meio da análise de decisões judiciais</w:t>
      </w:r>
      <w:r>
        <w:rPr>
          <w:rFonts w:eastAsia="Arial"/>
        </w:rPr>
        <w:t>”</w:t>
      </w:r>
      <w:r w:rsidR="003B397B">
        <w:rPr>
          <w:rFonts w:eastAsia="Arial"/>
        </w:rPr>
        <w:t xml:space="preserve"> (</w:t>
      </w:r>
      <w:r w:rsidR="003B397B">
        <w:t>RAMOS; SCHORSCHER</w:t>
      </w:r>
      <w:r w:rsidR="003B397B">
        <w:rPr>
          <w:rFonts w:eastAsia="Arial"/>
        </w:rPr>
        <w:t>, 2020, p. 73)</w:t>
      </w:r>
      <w:r w:rsidR="00B31C17">
        <w:rPr>
          <w:rFonts w:eastAsia="Arial"/>
        </w:rPr>
        <w:t>, mas que</w:t>
      </w:r>
      <w:r w:rsidR="00AB3914">
        <w:rPr>
          <w:rFonts w:eastAsia="Arial"/>
        </w:rPr>
        <w:t>, atualmente,</w:t>
      </w:r>
      <w:r w:rsidR="00B31C17">
        <w:rPr>
          <w:rFonts w:eastAsia="Arial"/>
        </w:rPr>
        <w:t xml:space="preserve"> não se limita apenas a comentários de julgados já realizados</w:t>
      </w:r>
      <w:r w:rsidR="005B4F90">
        <w:rPr>
          <w:rFonts w:eastAsia="Arial"/>
        </w:rPr>
        <w:t>, englobando a situação jurídica como um todo, inclusive com possibilidade de soluções extrajudiciais.</w:t>
      </w:r>
    </w:p>
    <w:p w14:paraId="134C268A" w14:textId="0D860628" w:rsidR="009E3D7D" w:rsidRDefault="00C8701A" w:rsidP="00EE54FF">
      <w:pPr>
        <w:rPr>
          <w:rFonts w:eastAsia="Arial"/>
        </w:rPr>
      </w:pPr>
      <w:r>
        <w:rPr>
          <w:rFonts w:eastAsia="Arial"/>
        </w:rPr>
        <w:t xml:space="preserve">No presente trabalho, o caso é inspirado e construído a partir de </w:t>
      </w:r>
      <w:r w:rsidR="009E3D7D">
        <w:rPr>
          <w:rFonts w:eastAsia="Arial"/>
        </w:rPr>
        <w:t>uma situação real, que ocorre nos centros das capitais, onde chovem panfl</w:t>
      </w:r>
      <w:r w:rsidR="009B657A">
        <w:rPr>
          <w:rFonts w:eastAsia="Arial"/>
        </w:rPr>
        <w:t>etos oferecendo vantagens irreais, e que, infelizmente, muitos cidadãos acabam caindo.</w:t>
      </w:r>
    </w:p>
    <w:p w14:paraId="1798E828" w14:textId="60188660" w:rsidR="004C06D6" w:rsidRPr="00DD4BF6" w:rsidRDefault="00F53D45" w:rsidP="00934D34">
      <w:pPr>
        <w:rPr>
          <w:rFonts w:eastAsia="Arial"/>
        </w:rPr>
      </w:pPr>
      <w:r>
        <w:rPr>
          <w:rFonts w:eastAsia="Arial"/>
        </w:rPr>
        <w:t xml:space="preserve">O presente caso de ensino </w:t>
      </w:r>
      <w:r w:rsidR="006E1858">
        <w:rPr>
          <w:rFonts w:eastAsia="Arial"/>
        </w:rPr>
        <w:t xml:space="preserve">descreve </w:t>
      </w:r>
      <w:r w:rsidR="003D0B86">
        <w:rPr>
          <w:rFonts w:eastAsia="Arial"/>
        </w:rPr>
        <w:t>a situação de vulnerabilidade em que se encontra um mutuário de um financiamento para aquisição de um carro usado, o qual, após ter levado em conta a orientação de uma empresa de consultoria não jurídica, busca um escritório advocatício para tentar reduzir o valor da prestação, mas que acaba perde</w:t>
      </w:r>
      <w:r w:rsidR="000B6513">
        <w:rPr>
          <w:rFonts w:eastAsia="Arial"/>
        </w:rPr>
        <w:t>ndo</w:t>
      </w:r>
      <w:r w:rsidR="003D0B86">
        <w:rPr>
          <w:rFonts w:eastAsia="Arial"/>
        </w:rPr>
        <w:t xml:space="preserve"> o automóvel</w:t>
      </w:r>
      <w:r w:rsidR="00EA3129">
        <w:rPr>
          <w:rFonts w:eastAsia="Arial"/>
        </w:rPr>
        <w:t>.</w:t>
      </w:r>
    </w:p>
    <w:p w14:paraId="33C2E4C9" w14:textId="2A4AE67A" w:rsidR="00CA6835" w:rsidRDefault="00CA6835" w:rsidP="003C1463">
      <w:pPr>
        <w:pStyle w:val="Ttulo2"/>
        <w:rPr>
          <w:rFonts w:eastAsia="Arial"/>
        </w:rPr>
      </w:pPr>
      <w:r>
        <w:rPr>
          <w:rFonts w:eastAsia="Arial"/>
        </w:rPr>
        <w:t>Objetivos Educaciona</w:t>
      </w:r>
      <w:r w:rsidR="005E4665">
        <w:rPr>
          <w:rFonts w:eastAsia="Arial"/>
        </w:rPr>
        <w:t>is</w:t>
      </w:r>
    </w:p>
    <w:p w14:paraId="16789FD4" w14:textId="0AE3A656" w:rsidR="003C1463" w:rsidRDefault="00BA7ADD" w:rsidP="002320E2">
      <w:r>
        <w:t xml:space="preserve">A visão contemporânea da educação não se restringe à transmissão de conhecimento (saber), mas </w:t>
      </w:r>
      <w:r w:rsidR="00341FA6">
        <w:t xml:space="preserve">contempla a </w:t>
      </w:r>
      <w:r>
        <w:t xml:space="preserve">formação de habilidades (saber fazer) e </w:t>
      </w:r>
      <w:r w:rsidR="00B14418">
        <w:t xml:space="preserve">o </w:t>
      </w:r>
      <w:r>
        <w:t xml:space="preserve">desenvolvimento de condutas (saber ser), </w:t>
      </w:r>
      <w:r w:rsidR="002320E2">
        <w:t>incluindo a parte ética do comportamento das partes (ASSMANN; SUNG, 2000), tudo para realização de funções predeterminadas</w:t>
      </w:r>
    </w:p>
    <w:p w14:paraId="4AFE1E66" w14:textId="77777777" w:rsidR="005F6646" w:rsidRDefault="009C2AAB" w:rsidP="005F6646">
      <w:pPr>
        <w:rPr>
          <w:rFonts w:eastAsia="Arial"/>
        </w:rPr>
      </w:pPr>
      <w:r>
        <w:rPr>
          <w:rFonts w:eastAsia="Arial"/>
        </w:rPr>
        <w:t xml:space="preserve">O objetivo do presente caso de ensino é levar os discentes à reflexão dos aspectos sociais e jurídicos que permeiam o problema, especificamente acerca da análise dos institutos </w:t>
      </w:r>
      <w:r>
        <w:rPr>
          <w:rFonts w:eastAsia="Arial"/>
        </w:rPr>
        <w:lastRenderedPageBreak/>
        <w:t>jurídicos que estão inseridos nesta situação, tais como modalidades de obrigações, princípios da boa-fé objetiva, responsabilidade subjetiva e responsabilidade objetiva</w:t>
      </w:r>
      <w:r w:rsidR="005F6646">
        <w:rPr>
          <w:rFonts w:eastAsia="Arial"/>
        </w:rPr>
        <w:t>.</w:t>
      </w:r>
    </w:p>
    <w:p w14:paraId="6F89217A" w14:textId="56B03008" w:rsidR="009C2AAB" w:rsidRPr="001D736D" w:rsidRDefault="005F6646" w:rsidP="005F6646">
      <w:pPr>
        <w:rPr>
          <w:rFonts w:eastAsia="Arial"/>
        </w:rPr>
      </w:pPr>
      <w:r>
        <w:rPr>
          <w:rFonts w:eastAsia="Arial"/>
        </w:rPr>
        <w:t xml:space="preserve">Almeja-se que os discentes fundamentem as decisões nas duas ações judiciais propostas pelo particular, </w:t>
      </w:r>
      <w:r w:rsidR="009C2AAB">
        <w:rPr>
          <w:rFonts w:eastAsia="Arial"/>
        </w:rPr>
        <w:t>como se fosse o julgador da demanda.</w:t>
      </w:r>
    </w:p>
    <w:p w14:paraId="7CFCF6FC" w14:textId="677574CD" w:rsidR="009C2AAB" w:rsidRPr="003C1463" w:rsidRDefault="00E54FA8" w:rsidP="003C1463">
      <w:r>
        <w:t>Dada a possibilidade também de se inserir simulação do momento que o particular contrata a empresa de consultoria</w:t>
      </w:r>
      <w:r w:rsidR="00E32F72">
        <w:t xml:space="preserve">, tem-se ainda o objetivo de que os discentes se coloquem na posição </w:t>
      </w:r>
      <w:r w:rsidR="00286112">
        <w:t>das duas partes celebrantes desse contrato.</w:t>
      </w:r>
    </w:p>
    <w:p w14:paraId="0748FE97" w14:textId="61821DE9" w:rsidR="00CA6835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t>Disciplinas e possibilidades de apli</w:t>
      </w:r>
      <w:r w:rsidR="005E4665">
        <w:rPr>
          <w:rFonts w:eastAsia="Arial"/>
        </w:rPr>
        <w:t>cação do caso</w:t>
      </w:r>
    </w:p>
    <w:p w14:paraId="5AA80DAE" w14:textId="77777777" w:rsidR="00A65D5B" w:rsidRDefault="00FC4D9D" w:rsidP="003C1463">
      <w:r>
        <w:t xml:space="preserve">O presente caso de ensino foi desenhado para aplicação nas disciplinas de Direito Civil, seja </w:t>
      </w:r>
      <w:r w:rsidR="00915891">
        <w:t>na cadeira de</w:t>
      </w:r>
      <w:r>
        <w:t xml:space="preserve"> Obrigações</w:t>
      </w:r>
      <w:r w:rsidR="00026591">
        <w:t xml:space="preserve"> (Direito Civil II)</w:t>
      </w:r>
      <w:r>
        <w:t>, seja na ca</w:t>
      </w:r>
      <w:r w:rsidR="00915891">
        <w:t>deira</w:t>
      </w:r>
      <w:r>
        <w:t xml:space="preserve"> de Contratos</w:t>
      </w:r>
      <w:r w:rsidR="00026591">
        <w:t xml:space="preserve"> (Direito Civil III, Direito Civil IV)</w:t>
      </w:r>
      <w:r w:rsidR="00A65D5B">
        <w:t>.</w:t>
      </w:r>
    </w:p>
    <w:p w14:paraId="0D25FB1E" w14:textId="6D9FCE94" w:rsidR="00FC4D9D" w:rsidRDefault="00A65D5B" w:rsidP="003C1463">
      <w:r>
        <w:t xml:space="preserve">É cabível também a utilização do presente caso na disciplina de </w:t>
      </w:r>
      <w:r w:rsidR="005045C1">
        <w:t>Responsabili</w:t>
      </w:r>
      <w:r>
        <w:t xml:space="preserve">dade Civil (Direito Civil VIII), visto que cuida de aspectos aplicados a determinada área do direito civil, como </w:t>
      </w:r>
      <w:r w:rsidR="00604D8D">
        <w:t>financiamento bancário.</w:t>
      </w:r>
    </w:p>
    <w:p w14:paraId="358927BA" w14:textId="78124CEE" w:rsidR="00EA3129" w:rsidRPr="003C1463" w:rsidRDefault="00BC0F39" w:rsidP="003C1463">
      <w:r>
        <w:t xml:space="preserve">Também pode ser utilizado o caso de ensino nas disciplinas de prática jurídica, que envolvam </w:t>
      </w:r>
      <w:r w:rsidR="00554074">
        <w:t xml:space="preserve">temática </w:t>
      </w:r>
      <w:r w:rsidR="006573D2">
        <w:t>do direito civil, como são as disciplinas de Análise de Casos Concretos I (DPR3217) e Análise de Casos Concretos II (DPR3307).</w:t>
      </w:r>
    </w:p>
    <w:p w14:paraId="02C16981" w14:textId="402DBBF9" w:rsidR="00CA6835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t>Aspecto</w:t>
      </w:r>
      <w:r w:rsidR="005E4665">
        <w:rPr>
          <w:rFonts w:eastAsia="Arial"/>
        </w:rPr>
        <w:t>s pedagógicos para a aplicação</w:t>
      </w:r>
    </w:p>
    <w:p w14:paraId="58CEE991" w14:textId="77777777" w:rsidR="004116F7" w:rsidRDefault="004116F7" w:rsidP="00223BAB">
      <w:r w:rsidRPr="004116F7">
        <w:t>O caso tem uma duração de uma hora e quarenta minutos, equivalente a duas aulas.</w:t>
      </w:r>
    </w:p>
    <w:p w14:paraId="5906AEE5" w14:textId="63F40DD5" w:rsidR="00EA3129" w:rsidRDefault="00CA7ED2" w:rsidP="00EA3129">
      <w:r>
        <w:t>Para solução do caso, p</w:t>
      </w:r>
      <w:r w:rsidR="00EA3129">
        <w:t>ode-se dividir a turma em grupos.</w:t>
      </w:r>
      <w:r>
        <w:t xml:space="preserve"> </w:t>
      </w:r>
      <w:r w:rsidR="00EA3129">
        <w:t>Cada grupo deve responder todas as questões envolvidas.</w:t>
      </w:r>
      <w:r>
        <w:t xml:space="preserve"> </w:t>
      </w:r>
      <w:r w:rsidR="00EA3129">
        <w:t>Na discussão das questões, pode-se dividir as questões pelos grupos, para que eles comecem, para evitar redundância nas respostas.</w:t>
      </w:r>
    </w:p>
    <w:p w14:paraId="1C0C8F1C" w14:textId="5713523E" w:rsidR="00325243" w:rsidRPr="003C1463" w:rsidRDefault="00325243" w:rsidP="00325243">
      <w:r>
        <w:t xml:space="preserve">No momento da contratação da consultora, pode </w:t>
      </w:r>
      <w:r w:rsidRPr="00911EC4">
        <w:t xml:space="preserve">ser realizado uma simulação </w:t>
      </w:r>
      <w:r>
        <w:t xml:space="preserve">deste evento. </w:t>
      </w:r>
      <w:r w:rsidR="0077392D">
        <w:t xml:space="preserve">Importante a formação de </w:t>
      </w:r>
      <w:r w:rsidRPr="00911EC4">
        <w:t>dois grupos de alunos, uma para fazer o papel de Pedro e outro para fazer o papel da consultoria</w:t>
      </w:r>
      <w:r w:rsidR="00F30B0B">
        <w:t xml:space="preserve">. Neste particular, é relevante apresentar algumas </w:t>
      </w:r>
      <w:r w:rsidR="006B3D97">
        <w:t>orientações para cada um desses dois papéis.</w:t>
      </w:r>
    </w:p>
    <w:p w14:paraId="2B37B538" w14:textId="3F80312D" w:rsidR="00325243" w:rsidRDefault="00325243" w:rsidP="00325243">
      <w:r w:rsidRPr="00A65657">
        <w:rPr>
          <w:i/>
        </w:rPr>
        <w:t>Orientação para o grupo 1 (mutuário):</w:t>
      </w:r>
      <w:r>
        <w:t xml:space="preserve"> O tutor deverá orientar o grupo a manter uma atitude de dúvida quanto à proposta da consultoria, buscando obter da consultoria uma informação de certeza de que obterá resultado favorável na justiça. Deverá também o grupo tentar obter algum documento que formalize a contratação da consultoria, mas poderá fechar </w:t>
      </w:r>
      <w:r>
        <w:lastRenderedPageBreak/>
        <w:t xml:space="preserve">negócio verbalmente, e até mesmo pagar até R$ 1.000,00, pela consultoria e indicação de um escritório de advocacia. </w:t>
      </w:r>
      <w:r w:rsidR="003379E1">
        <w:t>Ainda, deverá perguntar se pode deixar de pagar as prestações.</w:t>
      </w:r>
    </w:p>
    <w:p w14:paraId="28B41DA5" w14:textId="77777777" w:rsidR="007A35B7" w:rsidRDefault="00325243" w:rsidP="007A35B7">
      <w:r w:rsidRPr="00B717DD">
        <w:rPr>
          <w:i/>
        </w:rPr>
        <w:t>Orientação para o grupo 2 (consultoria):</w:t>
      </w:r>
      <w:r>
        <w:t xml:space="preserve"> </w:t>
      </w:r>
      <w:r w:rsidR="007A35B7">
        <w:t>O tutor deverá orientar o grupo a agir com deslealdade, oferecendo soluções irreais. Não dar margem para que o consumidor pense que há um risco na contratação, indagar se a pessoa tem conhecimento jurídico (para desqualificar qualquer opinião sobre a inviabilidade da revisão do financiamento). A consultoria deve dizer que os bancos são vilões, que cobram juros altos, e que na Justiça reduzirá o valor da parcela mensal do financiamento. Orientar a deixar de pagar a prestação, inclusive dizendo que a próxima mensalidade seja revertida para pagar a consultoria. Recusar formalizar no papel a negociação, mas exigir pagamento de pelo menos R$ 500,00, pelos serviços de consultoria e de encaminhamento para um escritório de advocacia, para ajuizar a ação. Não deixar claro se esse valor já inclui os honorários advocatícios.</w:t>
      </w:r>
    </w:p>
    <w:p w14:paraId="56BB2BE7" w14:textId="4DBB623A" w:rsidR="006E2491" w:rsidRDefault="006E2491" w:rsidP="00325243">
      <w:r>
        <w:t>Pode-se dividir a aplicação do caso em algumas fases:</w:t>
      </w:r>
    </w:p>
    <w:p w14:paraId="0C0F9857" w14:textId="1D3BF4A6" w:rsidR="006E2491" w:rsidRDefault="006E2491" w:rsidP="006E2491">
      <w:pPr>
        <w:pStyle w:val="PargrafodaLista"/>
        <w:numPr>
          <w:ilvl w:val="0"/>
          <w:numId w:val="6"/>
        </w:numPr>
      </w:pPr>
      <w:r>
        <w:t>Fase 1: Explicações iniciais a todos na sala (</w:t>
      </w:r>
      <w:r w:rsidR="007F5CEA">
        <w:t>10</w:t>
      </w:r>
      <w:r>
        <w:t xml:space="preserve"> min). </w:t>
      </w:r>
      <w:r w:rsidR="00896885">
        <w:t>C</w:t>
      </w:r>
      <w:r>
        <w:t>ontratação de consultoria para obter refinanciamento de carro.</w:t>
      </w:r>
      <w:r w:rsidR="00896885">
        <w:t xml:space="preserve"> Apresenta-se o relato inicial do caso.</w:t>
      </w:r>
    </w:p>
    <w:p w14:paraId="1B7F13F6" w14:textId="317DC90F" w:rsidR="00896885" w:rsidRPr="00896885" w:rsidRDefault="00896885" w:rsidP="00896885">
      <w:pPr>
        <w:pStyle w:val="PargrafodaLista"/>
        <w:numPr>
          <w:ilvl w:val="0"/>
          <w:numId w:val="6"/>
        </w:numPr>
      </w:pPr>
      <w:r>
        <w:t xml:space="preserve">Fase </w:t>
      </w:r>
      <w:r w:rsidRPr="00896885">
        <w:t>2: Orientação dos grupos (</w:t>
      </w:r>
      <w:r w:rsidR="00D61205">
        <w:t>20</w:t>
      </w:r>
      <w:r w:rsidRPr="00896885">
        <w:t xml:space="preserve"> min). Os tutores orientam, separadamente, fora da s</w:t>
      </w:r>
      <w:r w:rsidR="002B0EB9">
        <w:t>ala, cada grupo G1 e G2</w:t>
      </w:r>
      <w:r w:rsidRPr="00896885">
        <w:t>. Os demais grupos ficam na sala.</w:t>
      </w:r>
    </w:p>
    <w:p w14:paraId="2D8B7ED2" w14:textId="0C7D6A6E" w:rsidR="00896885" w:rsidRPr="00896885" w:rsidRDefault="00896885" w:rsidP="00896885">
      <w:pPr>
        <w:pStyle w:val="PargrafodaLista"/>
        <w:numPr>
          <w:ilvl w:val="0"/>
          <w:numId w:val="6"/>
        </w:numPr>
      </w:pPr>
      <w:r>
        <w:t>Fase 3</w:t>
      </w:r>
      <w:r w:rsidRPr="00896885">
        <w:t>: Simulação da contratação da consultoria. Negociação entre os grupos G1 e G2 (</w:t>
      </w:r>
      <w:r w:rsidR="00922014">
        <w:t>20</w:t>
      </w:r>
      <w:r w:rsidRPr="00896885">
        <w:t xml:space="preserve"> min).</w:t>
      </w:r>
    </w:p>
    <w:p w14:paraId="32CD5DC8" w14:textId="17E50787" w:rsidR="00896885" w:rsidRPr="00896885" w:rsidRDefault="00896885" w:rsidP="00896885">
      <w:pPr>
        <w:pStyle w:val="PargrafodaLista"/>
        <w:numPr>
          <w:ilvl w:val="0"/>
          <w:numId w:val="6"/>
        </w:numPr>
      </w:pPr>
      <w:r>
        <w:t>Fase 4</w:t>
      </w:r>
      <w:r w:rsidRPr="00896885">
        <w:t xml:space="preserve">: </w:t>
      </w:r>
      <w:r>
        <w:t>Apr</w:t>
      </w:r>
      <w:r w:rsidR="007F5CEA">
        <w:t xml:space="preserve">esenta-se a situação-problema </w:t>
      </w:r>
      <w:r w:rsidRPr="00896885">
        <w:t>(</w:t>
      </w:r>
      <w:r w:rsidR="007F5CEA">
        <w:t>10</w:t>
      </w:r>
      <w:r w:rsidRPr="00896885">
        <w:t xml:space="preserve"> min).</w:t>
      </w:r>
    </w:p>
    <w:p w14:paraId="54D6177B" w14:textId="2BFFA3AB" w:rsidR="00896885" w:rsidRPr="00896885" w:rsidRDefault="00896885" w:rsidP="00896885">
      <w:pPr>
        <w:pStyle w:val="PargrafodaLista"/>
        <w:numPr>
          <w:ilvl w:val="0"/>
          <w:numId w:val="6"/>
        </w:numPr>
      </w:pPr>
      <w:r>
        <w:t xml:space="preserve">Fase </w:t>
      </w:r>
      <w:r w:rsidRPr="00896885">
        <w:t>5: Debate (40 min), sendo discussão interna nos grupos (20 minutos) e depois respostas às questões e debate com todos (20 minutos).</w:t>
      </w:r>
    </w:p>
    <w:p w14:paraId="596F1013" w14:textId="5583E574" w:rsidR="00CA6835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t>Alte</w:t>
      </w:r>
      <w:r w:rsidR="005E4665">
        <w:rPr>
          <w:rFonts w:eastAsia="Arial"/>
        </w:rPr>
        <w:t>rnativas de solução para o caso</w:t>
      </w:r>
    </w:p>
    <w:p w14:paraId="71FB0743" w14:textId="0D872C0B" w:rsidR="00D73D20" w:rsidRDefault="009340E7" w:rsidP="003C1463">
      <w:r>
        <w:t xml:space="preserve">Para este caso, não há </w:t>
      </w:r>
      <w:r w:rsidR="00D73D20" w:rsidRPr="00D73D20">
        <w:t>uma resposta única. A solução dependerá da abordagem de cada um dos negócios jurídicos envolvidos. Dado que o caso de ensino não abrange todas as informações reais, há espaço para os alunos avaliarem e considerarem outras circunstâncias relevantes para a resolução do problema.</w:t>
      </w:r>
    </w:p>
    <w:p w14:paraId="4B58656F" w14:textId="2FDD8CE0" w:rsidR="00217C5D" w:rsidRDefault="00217C5D" w:rsidP="003C1463">
      <w:r>
        <w:t xml:space="preserve">Em uma análise estrita do caso, sem outras considerações fáticas, pode-se esperar que </w:t>
      </w:r>
      <w:r w:rsidR="00EC7D7C">
        <w:t xml:space="preserve">seja feita a diferença entre obrigação de meio e obrigação de resultado para poder avaliar se o </w:t>
      </w:r>
      <w:r w:rsidR="00EC7D7C">
        <w:lastRenderedPageBreak/>
        <w:t xml:space="preserve">que se obrigou a consultoria </w:t>
      </w:r>
      <w:r w:rsidR="00FF4BAE">
        <w:t>(obrigação de resultado</w:t>
      </w:r>
      <w:r w:rsidR="00A349AA">
        <w:t>, no caso específico</w:t>
      </w:r>
      <w:r w:rsidR="00FF4BAE">
        <w:t xml:space="preserve">) </w:t>
      </w:r>
      <w:r w:rsidR="00EC7D7C">
        <w:t>e o escritório advocatícios é realmente válido</w:t>
      </w:r>
      <w:r w:rsidR="00FF4BAE">
        <w:t xml:space="preserve"> (obrigação de meio</w:t>
      </w:r>
      <w:r w:rsidR="00A349AA">
        <w:t>, no caso específico</w:t>
      </w:r>
      <w:r w:rsidR="00FF4BAE">
        <w:t>)</w:t>
      </w:r>
      <w:r w:rsidR="00EC7D7C">
        <w:t>.</w:t>
      </w:r>
    </w:p>
    <w:p w14:paraId="6172281E" w14:textId="551C53E4" w:rsidR="00617CB2" w:rsidRDefault="00617CB2" w:rsidP="003C1463">
      <w:r>
        <w:t>Um ponto que dá margem para várias interpretações diz respeito à parceria entre a consultoria e o escritório advocatícios</w:t>
      </w:r>
      <w:r w:rsidR="00083960">
        <w:t>.</w:t>
      </w:r>
      <w:r w:rsidR="00CD2923">
        <w:t xml:space="preserve"> Em um primeiro momento, </w:t>
      </w:r>
      <w:r w:rsidR="009D3072">
        <w:t>os anúncios dão a entender que o escritório advocatício está associado diretamente à empresa de consultoria.</w:t>
      </w:r>
    </w:p>
    <w:p w14:paraId="3ACB3050" w14:textId="22B256CA" w:rsidR="00103F0C" w:rsidRDefault="00103F0C" w:rsidP="003C1463">
      <w:r>
        <w:t>Todas essas circunstâncias devem ser ponderas na discussão do caso.</w:t>
      </w:r>
    </w:p>
    <w:p w14:paraId="78C39C7F" w14:textId="671119A7" w:rsidR="00CA6835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t>Discussão e De</w:t>
      </w:r>
      <w:r w:rsidR="0069712E">
        <w:rPr>
          <w:rFonts w:eastAsia="Arial"/>
        </w:rPr>
        <w:t>cisão Real do caso</w:t>
      </w:r>
    </w:p>
    <w:p w14:paraId="42FE77EB" w14:textId="4BEA6398" w:rsidR="003C1463" w:rsidRDefault="00477B63" w:rsidP="003C1463">
      <w:r>
        <w:t>Verificam-se três fontes</w:t>
      </w:r>
      <w:r w:rsidR="00E43A89">
        <w:t xml:space="preserve"> de obrigações no caso relatado, conforme a seguir.</w:t>
      </w:r>
    </w:p>
    <w:p w14:paraId="565DB8E2" w14:textId="533A029C" w:rsidR="00477B63" w:rsidRDefault="00477B63" w:rsidP="003C1463">
      <w:r>
        <w:t>Um contrato de financiamento, entre o mutuário e banco, com obrigação de pagar.</w:t>
      </w:r>
    </w:p>
    <w:p w14:paraId="7382F376" w14:textId="5AF5C95C" w:rsidR="00477B63" w:rsidRDefault="00477B63" w:rsidP="003C1463">
      <w:r>
        <w:t>Um contrato de prestação de serviços de consultoria, entre o mutuário e a empresa de consultoria, que assumiu obrigação de resu</w:t>
      </w:r>
      <w:r w:rsidR="00732237">
        <w:t>ltado.</w:t>
      </w:r>
    </w:p>
    <w:p w14:paraId="223AB021" w14:textId="5E1E81D8" w:rsidR="00732237" w:rsidRDefault="00732237" w:rsidP="003C1463">
      <w:r>
        <w:t xml:space="preserve">Um contrato de prestação de serviços advocatícios, entre o mutuário e o escritório de advogados, </w:t>
      </w:r>
      <w:r w:rsidR="00880EEE">
        <w:t>que assumiu expressamente obrigação apenas de meio.</w:t>
      </w:r>
    </w:p>
    <w:p w14:paraId="53681ED3" w14:textId="55DA3DB9" w:rsidR="008F097F" w:rsidRDefault="008F097F" w:rsidP="003C1463">
      <w:r>
        <w:t xml:space="preserve">Como </w:t>
      </w:r>
      <w:r w:rsidR="00D47439">
        <w:t>a</w:t>
      </w:r>
      <w:r>
        <w:t xml:space="preserve"> </w:t>
      </w:r>
      <w:r w:rsidR="00CA731C">
        <w:t xml:space="preserve">consultoria assumiu obrigação de resultado, e este não veio a acontecer, pois a ação do mutuário para revisão do valor da prestação foi julgada improcedente, fica evidente que </w:t>
      </w:r>
      <w:r w:rsidR="00225D20">
        <w:t>há responsabilidade civil a ser arcada pela empresa de consultoria.</w:t>
      </w:r>
    </w:p>
    <w:p w14:paraId="6DDACF9E" w14:textId="225A3B32" w:rsidR="0073602F" w:rsidRDefault="00A41867" w:rsidP="00C6082E">
      <w:r>
        <w:t>Já o escritório advocatício realizou devidamente a sua obrigação no contrato que realizou, pois não assumiu nenhum resultado, tendo se comprometido a fazer tudo dentro da técnica jurídica, sem erros e sem perda de prazos.</w:t>
      </w:r>
    </w:p>
    <w:p w14:paraId="7A9DC3EE" w14:textId="3B2620B5" w:rsidR="00E022A0" w:rsidRDefault="00E022A0" w:rsidP="00C6082E">
      <w:r>
        <w:t>Quanto ao contrato de mútuo, não há muita controvérsia, devendo ser assumido que as obrigações conveniadas não são abusivas.</w:t>
      </w:r>
      <w:r w:rsidR="006458C0">
        <w:t xml:space="preserve"> O objetivo do caso não é o debate das cláusulas do financiamento bancário, mas sim verificar como se comporta terceiras pessoas em relação a induzir ou contribuir para o rompimento do contrato pelo mutuário.</w:t>
      </w:r>
    </w:p>
    <w:p w14:paraId="5A54A742" w14:textId="25A74B55" w:rsidR="00CA6835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t>Sugestões d</w:t>
      </w:r>
      <w:r w:rsidR="005E4665">
        <w:rPr>
          <w:rFonts w:eastAsia="Arial"/>
        </w:rPr>
        <w:t>e assuntos a serem trabalhados</w:t>
      </w:r>
    </w:p>
    <w:p w14:paraId="1E01CD54" w14:textId="7D8320CA" w:rsidR="003C1463" w:rsidRDefault="003422CA" w:rsidP="003C1463">
      <w:r>
        <w:t xml:space="preserve">Dentro da discussão em grupo, o docente poderá tratar de aspectos </w:t>
      </w:r>
      <w:r w:rsidR="008B3B44">
        <w:t xml:space="preserve">teóricos </w:t>
      </w:r>
      <w:r>
        <w:t xml:space="preserve">do direito obrigacional, como as </w:t>
      </w:r>
      <w:r w:rsidR="008B3B44">
        <w:t xml:space="preserve">fontes e as </w:t>
      </w:r>
      <w:r>
        <w:t>modalidades das obrigações a</w:t>
      </w:r>
      <w:r w:rsidR="008B3B44">
        <w:t>ssumidas, assim como aspectos mais práticos relacionados com a responsabilização das partes, seja de maneira objetiva, seja de maneira subjetiva.</w:t>
      </w:r>
    </w:p>
    <w:p w14:paraId="2A8DE729" w14:textId="227D7E03" w:rsidR="008B3B44" w:rsidRDefault="008B3B44" w:rsidP="003C1463">
      <w:r>
        <w:t>Os princípios do direito obrigacional merecem também muita atenção neste caso, especialmente o princípio da boa-fé objetiva, e os deveres anexos que são dele irradiados.</w:t>
      </w:r>
    </w:p>
    <w:p w14:paraId="362628D7" w14:textId="667DECEB" w:rsidR="0042353C" w:rsidRDefault="002D1E75" w:rsidP="003C1463">
      <w:r>
        <w:lastRenderedPageBreak/>
        <w:t xml:space="preserve">O docente pode também </w:t>
      </w:r>
      <w:r w:rsidR="002F42C1">
        <w:t>diferenciar a tutela interna da tutela externa do crédito, com ênfase especial a este último.</w:t>
      </w:r>
      <w:r w:rsidR="0042353C">
        <w:t xml:space="preserve"> Enquanto a t</w:t>
      </w:r>
      <w:r w:rsidR="0042353C" w:rsidRPr="0042353C">
        <w:t xml:space="preserve">utela interna </w:t>
      </w:r>
      <w:r w:rsidR="0042353C">
        <w:t>diz respeito ao cumprimento da prestação pactuada, “</w:t>
      </w:r>
      <w:r w:rsidR="0042353C" w:rsidRPr="0042353C">
        <w:t>a tutela externa do crédito não tem por fito responsabilizar o terceiro pelo inadimplemento, no lugar do devedor, mas pela violação do direito do credor, ao impedir, impossibilitar ou dificultar sua satisfação pelo adimplemento</w:t>
      </w:r>
      <w:r w:rsidR="0042353C">
        <w:t>”, como bem pontua Lobo (2022, p. 97).</w:t>
      </w:r>
    </w:p>
    <w:p w14:paraId="461122DF" w14:textId="062AD782" w:rsidR="00CA6835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t>Q</w:t>
      </w:r>
      <w:r w:rsidR="005E4665">
        <w:rPr>
          <w:rFonts w:eastAsia="Arial"/>
        </w:rPr>
        <w:t>uestões para discussão do caso</w:t>
      </w:r>
    </w:p>
    <w:p w14:paraId="349A4A01" w14:textId="4AADBA29" w:rsidR="00FA6B0A" w:rsidRDefault="00FA6B0A" w:rsidP="00FA6B0A">
      <w:r>
        <w:t>Para encaminhamento das discussões pelos discentes e para estruturar a resposta de cada um, formulam-se algumas questões que deverão ser abordadas na solução do problema:</w:t>
      </w:r>
    </w:p>
    <w:p w14:paraId="7949D312" w14:textId="77777777" w:rsidR="00896885" w:rsidRDefault="004B4A09" w:rsidP="00896885">
      <w:pPr>
        <w:pStyle w:val="PargrafodaLista"/>
        <w:numPr>
          <w:ilvl w:val="0"/>
          <w:numId w:val="7"/>
        </w:numPr>
      </w:pPr>
      <w:r w:rsidRPr="00F26B93">
        <w:t>Qual a fonte da obrigação assumida pelo mutuário perante o banco?</w:t>
      </w:r>
    </w:p>
    <w:p w14:paraId="0A0A8546" w14:textId="77777777" w:rsidR="00896885" w:rsidRDefault="004B4A09" w:rsidP="00896885">
      <w:pPr>
        <w:pStyle w:val="PargrafodaLista"/>
        <w:numPr>
          <w:ilvl w:val="0"/>
          <w:numId w:val="7"/>
        </w:numPr>
      </w:pPr>
      <w:r w:rsidRPr="00F26B93">
        <w:t>Qual a modalidade da obrigação? Dar, fazer, ou não fazer?</w:t>
      </w:r>
      <w:bookmarkStart w:id="1" w:name="_heading=h.wn2vtggdt495" w:colFirst="0" w:colLast="0"/>
      <w:bookmarkEnd w:id="1"/>
    </w:p>
    <w:p w14:paraId="004BD775" w14:textId="77777777" w:rsidR="00896885" w:rsidRDefault="004B4A09" w:rsidP="00896885">
      <w:pPr>
        <w:pStyle w:val="PargrafodaLista"/>
        <w:numPr>
          <w:ilvl w:val="0"/>
          <w:numId w:val="7"/>
        </w:numPr>
      </w:pPr>
      <w:r w:rsidRPr="00F26B93">
        <w:t>Qual a fonte da obrigação assumida pela consultoria perante o mutuário/consumidor?</w:t>
      </w:r>
      <w:bookmarkStart w:id="2" w:name="_heading=h.us1i8a8kiq40" w:colFirst="0" w:colLast="0"/>
      <w:bookmarkEnd w:id="2"/>
    </w:p>
    <w:p w14:paraId="3AEC85D5" w14:textId="77777777" w:rsidR="00896885" w:rsidRDefault="004B4A09" w:rsidP="00896885">
      <w:pPr>
        <w:pStyle w:val="PargrafodaLista"/>
        <w:numPr>
          <w:ilvl w:val="0"/>
          <w:numId w:val="7"/>
        </w:numPr>
      </w:pPr>
      <w:r w:rsidRPr="00F26B93">
        <w:t>Pode ser considerada promessa de recompensa? Por que sim ou não?</w:t>
      </w:r>
    </w:p>
    <w:p w14:paraId="48EDED41" w14:textId="77777777" w:rsidR="00896885" w:rsidRDefault="004B4A09" w:rsidP="00896885">
      <w:pPr>
        <w:pStyle w:val="PargrafodaLista"/>
        <w:numPr>
          <w:ilvl w:val="0"/>
          <w:numId w:val="7"/>
        </w:numPr>
      </w:pPr>
      <w:r w:rsidRPr="00F26B93">
        <w:t>Qual a modalidade da obrigação assumida pela consultoria? Dar, fazer, ou não fazer?</w:t>
      </w:r>
    </w:p>
    <w:p w14:paraId="5347E1D6" w14:textId="77777777" w:rsidR="00896885" w:rsidRDefault="004B4A09" w:rsidP="00896885">
      <w:pPr>
        <w:pStyle w:val="PargrafodaLista"/>
        <w:numPr>
          <w:ilvl w:val="0"/>
          <w:numId w:val="7"/>
        </w:numPr>
      </w:pPr>
      <w:r w:rsidRPr="00F26B93">
        <w:t xml:space="preserve">O anúncio encontrado pelo mutuário vincula a consultoria? </w:t>
      </w:r>
      <w:r>
        <w:t>Em que medida?</w:t>
      </w:r>
    </w:p>
    <w:p w14:paraId="6817ACAF" w14:textId="77777777" w:rsidR="00896885" w:rsidRDefault="004B4A09" w:rsidP="00896885">
      <w:pPr>
        <w:pStyle w:val="PargrafodaLista"/>
        <w:numPr>
          <w:ilvl w:val="0"/>
          <w:numId w:val="7"/>
        </w:numPr>
      </w:pPr>
      <w:r w:rsidRPr="00F26B93">
        <w:t>A obrigação assumida pela consultoria é de meio ou de resultado?</w:t>
      </w:r>
    </w:p>
    <w:p w14:paraId="48ED8BE1" w14:textId="77777777" w:rsidR="00896885" w:rsidRDefault="004B4A09" w:rsidP="00896885">
      <w:pPr>
        <w:pStyle w:val="PargrafodaLista"/>
        <w:numPr>
          <w:ilvl w:val="0"/>
          <w:numId w:val="7"/>
        </w:numPr>
      </w:pPr>
      <w:r w:rsidRPr="00F26B93">
        <w:t>O princípio da boa-fé objetiva é fonte de alguma obrigação nessa situação?</w:t>
      </w:r>
    </w:p>
    <w:p w14:paraId="75513118" w14:textId="77777777" w:rsidR="00896885" w:rsidRDefault="004B4A09" w:rsidP="00896885">
      <w:pPr>
        <w:pStyle w:val="PargrafodaLista"/>
        <w:numPr>
          <w:ilvl w:val="0"/>
          <w:numId w:val="7"/>
        </w:numPr>
      </w:pPr>
      <w:r w:rsidRPr="00F26B93">
        <w:t>Há algum dever geral de conduta ou dever anexo que incide sobre o negócio jurídico entabulado entre mutuário e consultoria?</w:t>
      </w:r>
    </w:p>
    <w:p w14:paraId="33A50D2E" w14:textId="77777777" w:rsidR="00896885" w:rsidRDefault="004B4A09" w:rsidP="00896885">
      <w:pPr>
        <w:pStyle w:val="PargrafodaLista"/>
        <w:numPr>
          <w:ilvl w:val="0"/>
          <w:numId w:val="7"/>
        </w:numPr>
      </w:pPr>
      <w:r w:rsidRPr="00F26B93">
        <w:t>Houve ofensa a algum dever anexo? Qual e em que momento?</w:t>
      </w:r>
    </w:p>
    <w:p w14:paraId="7A317EBA" w14:textId="77777777" w:rsidR="00896885" w:rsidRDefault="004B4A09" w:rsidP="00896885">
      <w:pPr>
        <w:pStyle w:val="PargrafodaLista"/>
        <w:numPr>
          <w:ilvl w:val="0"/>
          <w:numId w:val="7"/>
        </w:numPr>
      </w:pPr>
      <w:r w:rsidRPr="00F26B93">
        <w:t>Qual a fonte da obrigação assumida pelo escritório de advocacia perante o mutuário?</w:t>
      </w:r>
    </w:p>
    <w:p w14:paraId="59B08CC2" w14:textId="77777777" w:rsidR="00896885" w:rsidRDefault="004B4A09" w:rsidP="00896885">
      <w:pPr>
        <w:pStyle w:val="PargrafodaLista"/>
        <w:numPr>
          <w:ilvl w:val="0"/>
          <w:numId w:val="7"/>
        </w:numPr>
      </w:pPr>
      <w:r w:rsidRPr="00F26B93">
        <w:t>Qual a modalidade da obrigação? Dar, fazer, ou não fazer?</w:t>
      </w:r>
    </w:p>
    <w:p w14:paraId="64ACAEDE" w14:textId="77777777" w:rsidR="00896885" w:rsidRDefault="004B4A09" w:rsidP="00896885">
      <w:pPr>
        <w:pStyle w:val="PargrafodaLista"/>
        <w:numPr>
          <w:ilvl w:val="0"/>
          <w:numId w:val="7"/>
        </w:numPr>
      </w:pPr>
      <w:r w:rsidRPr="00F26B93">
        <w:t>A obrigação assumida pelo escritório advocatício é de meio ou de resultado?</w:t>
      </w:r>
    </w:p>
    <w:p w14:paraId="604F86B6" w14:textId="77777777" w:rsidR="00896885" w:rsidRDefault="004B4A09" w:rsidP="00896885">
      <w:pPr>
        <w:pStyle w:val="PargrafodaLista"/>
        <w:numPr>
          <w:ilvl w:val="0"/>
          <w:numId w:val="7"/>
        </w:numPr>
      </w:pPr>
      <w:r w:rsidRPr="00F26B93">
        <w:t>A consultoria interferiu indevidamente no contrato de financiamento?</w:t>
      </w:r>
    </w:p>
    <w:p w14:paraId="3880FDC5" w14:textId="77777777" w:rsidR="00896885" w:rsidRDefault="004B4A09" w:rsidP="00896885">
      <w:pPr>
        <w:pStyle w:val="PargrafodaLista"/>
        <w:numPr>
          <w:ilvl w:val="0"/>
          <w:numId w:val="7"/>
        </w:numPr>
      </w:pPr>
      <w:r w:rsidRPr="00F26B93">
        <w:t xml:space="preserve">A consultoria pode ser responsabilizada por ato ilícito </w:t>
      </w:r>
      <w:proofErr w:type="spellStart"/>
      <w:r w:rsidRPr="00F26B93">
        <w:t>extra-negocial</w:t>
      </w:r>
      <w:proofErr w:type="spellEnd"/>
      <w:r w:rsidRPr="00F26B93">
        <w:t xml:space="preserve"> (</w:t>
      </w:r>
      <w:proofErr w:type="spellStart"/>
      <w:r w:rsidRPr="00F26B93">
        <w:t>extra-contratual</w:t>
      </w:r>
      <w:proofErr w:type="spellEnd"/>
      <w:r w:rsidRPr="00F26B93">
        <w:t>)?</w:t>
      </w:r>
    </w:p>
    <w:p w14:paraId="711931F8" w14:textId="77777777" w:rsidR="00896885" w:rsidRDefault="004B4A09" w:rsidP="00896885">
      <w:pPr>
        <w:pStyle w:val="PargrafodaLista"/>
        <w:numPr>
          <w:ilvl w:val="0"/>
          <w:numId w:val="7"/>
        </w:numPr>
      </w:pPr>
      <w:r w:rsidRPr="00F26B93">
        <w:t>A consultoria pode ser responsabilizada pelo inadimplemento contratual do financiamento?</w:t>
      </w:r>
    </w:p>
    <w:p w14:paraId="7FE3A283" w14:textId="77777777" w:rsidR="00896885" w:rsidRDefault="004B4A09" w:rsidP="00896885">
      <w:pPr>
        <w:pStyle w:val="PargrafodaLista"/>
        <w:numPr>
          <w:ilvl w:val="0"/>
          <w:numId w:val="7"/>
        </w:numPr>
      </w:pPr>
      <w:r w:rsidRPr="00F26B93">
        <w:lastRenderedPageBreak/>
        <w:t>A responsabilidade da consultoria, nas duas situações acima, se dá mediante aferição de culpa ou sem culpa?</w:t>
      </w:r>
    </w:p>
    <w:p w14:paraId="2A55AB12" w14:textId="77777777" w:rsidR="00896885" w:rsidRDefault="004B4A09" w:rsidP="00896885">
      <w:pPr>
        <w:pStyle w:val="PargrafodaLista"/>
        <w:numPr>
          <w:ilvl w:val="0"/>
          <w:numId w:val="7"/>
        </w:numPr>
      </w:pPr>
      <w:r w:rsidRPr="00F26B93">
        <w:t>O pedido de indenização contra o escritório deve ser julgado procedente?</w:t>
      </w:r>
    </w:p>
    <w:p w14:paraId="625DA2F4" w14:textId="77777777" w:rsidR="00896885" w:rsidRDefault="004B4A09" w:rsidP="00896885">
      <w:pPr>
        <w:pStyle w:val="PargrafodaLista"/>
        <w:numPr>
          <w:ilvl w:val="0"/>
          <w:numId w:val="7"/>
        </w:numPr>
      </w:pPr>
      <w:r w:rsidRPr="00F26B93">
        <w:t xml:space="preserve">Imagine que, após a decisão judicial determinando a apreensão do carro, a consultoria aconselhe o devedor a deteriorar o bem, o que é cumprido por ele. Nesse caso, o banco teria direito a indenização por perdas e danos ou seria aplicável a regra </w:t>
      </w:r>
      <w:r w:rsidRPr="00896885">
        <w:rPr>
          <w:i/>
        </w:rPr>
        <w:t xml:space="preserve">res </w:t>
      </w:r>
      <w:proofErr w:type="spellStart"/>
      <w:r w:rsidRPr="00896885">
        <w:rPr>
          <w:i/>
        </w:rPr>
        <w:t>perit</w:t>
      </w:r>
      <w:proofErr w:type="spellEnd"/>
      <w:r w:rsidRPr="00896885">
        <w:rPr>
          <w:i/>
        </w:rPr>
        <w:t xml:space="preserve"> domino</w:t>
      </w:r>
      <w:r w:rsidRPr="00F26B93">
        <w:t>?</w:t>
      </w:r>
    </w:p>
    <w:p w14:paraId="692F4370" w14:textId="688CE527" w:rsidR="004B4A09" w:rsidRDefault="004B4A09" w:rsidP="00896885">
      <w:pPr>
        <w:pStyle w:val="PargrafodaLista"/>
        <w:numPr>
          <w:ilvl w:val="0"/>
          <w:numId w:val="7"/>
        </w:numPr>
      </w:pPr>
      <w:r w:rsidRPr="00F26B93">
        <w:t>Com base no princípio da boa-fé, como a consultoria deveria ter instruído o devedor, quando esse a procurou afirmando que estava com dificuldade de adimplir com as parcelas do financiamento?</w:t>
      </w:r>
    </w:p>
    <w:p w14:paraId="003FF8E4" w14:textId="7AB7B614" w:rsidR="004268CE" w:rsidRDefault="004268CE" w:rsidP="004268CE"/>
    <w:p w14:paraId="0A9B2E5A" w14:textId="4481B4D9" w:rsidR="004268CE" w:rsidRDefault="004268CE" w:rsidP="004268CE">
      <w:r>
        <w:t>Optando-se por dividir a sala em cinco grupos, os grupos respondem aos questionamentos seguindo a ordem das perguntas</w:t>
      </w:r>
      <w:r w:rsidR="00DE3A3E">
        <w:t>:</w:t>
      </w:r>
    </w:p>
    <w:p w14:paraId="7E4DE3FF" w14:textId="77777777" w:rsidR="004268CE" w:rsidRDefault="004268CE" w:rsidP="004903CF">
      <w:pPr>
        <w:pStyle w:val="PargrafodaLista"/>
        <w:numPr>
          <w:ilvl w:val="0"/>
          <w:numId w:val="8"/>
        </w:numPr>
      </w:pPr>
      <w:r>
        <w:t xml:space="preserve">G3: Perguntas 1, 6, 11; 16; </w:t>
      </w:r>
    </w:p>
    <w:p w14:paraId="0D309B69" w14:textId="77777777" w:rsidR="004268CE" w:rsidRDefault="004268CE" w:rsidP="004903CF">
      <w:pPr>
        <w:pStyle w:val="PargrafodaLista"/>
        <w:numPr>
          <w:ilvl w:val="0"/>
          <w:numId w:val="8"/>
        </w:numPr>
      </w:pPr>
      <w:r>
        <w:t>G4: Perguntas 2, 7, 12; 17;</w:t>
      </w:r>
    </w:p>
    <w:p w14:paraId="1CC6C2AB" w14:textId="77777777" w:rsidR="004268CE" w:rsidRDefault="004268CE" w:rsidP="004903CF">
      <w:pPr>
        <w:pStyle w:val="PargrafodaLista"/>
        <w:numPr>
          <w:ilvl w:val="0"/>
          <w:numId w:val="8"/>
        </w:numPr>
      </w:pPr>
      <w:r>
        <w:t>G5: Perguntas 3, 8, 13; 18;</w:t>
      </w:r>
    </w:p>
    <w:p w14:paraId="1026E474" w14:textId="77777777" w:rsidR="004268CE" w:rsidRDefault="004268CE" w:rsidP="004903CF">
      <w:pPr>
        <w:pStyle w:val="PargrafodaLista"/>
        <w:numPr>
          <w:ilvl w:val="0"/>
          <w:numId w:val="8"/>
        </w:numPr>
      </w:pPr>
      <w:r>
        <w:t>G1: Perguntas 4, 9; 14; 19;</w:t>
      </w:r>
    </w:p>
    <w:p w14:paraId="01E8B88F" w14:textId="0D2668A7" w:rsidR="004268CE" w:rsidRDefault="004268CE" w:rsidP="004903CF">
      <w:pPr>
        <w:pStyle w:val="PargrafodaLista"/>
        <w:numPr>
          <w:ilvl w:val="0"/>
          <w:numId w:val="8"/>
        </w:numPr>
      </w:pPr>
      <w:r>
        <w:t>G2: Perguntas 5, 10, 15; 20.</w:t>
      </w:r>
    </w:p>
    <w:p w14:paraId="7C8422D1" w14:textId="5B7BB481" w:rsidR="00D02A50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t xml:space="preserve">Indicações </w:t>
      </w:r>
      <w:r w:rsidR="005E4665">
        <w:rPr>
          <w:rFonts w:eastAsia="Arial"/>
        </w:rPr>
        <w:t>bibliográficas</w:t>
      </w:r>
    </w:p>
    <w:p w14:paraId="33C8B0AD" w14:textId="419935A8" w:rsidR="003C1463" w:rsidRDefault="003B5E2C" w:rsidP="003C1463">
      <w:r>
        <w:t xml:space="preserve">Para aplicação do presente caso de </w:t>
      </w:r>
      <w:r w:rsidR="00F70A5D">
        <w:t xml:space="preserve">ensino, seja como fonte de leitura prévia, seja como fonte de consulta no momento da elaboração da solução do problema, </w:t>
      </w:r>
      <w:r w:rsidR="00494F06">
        <w:t>indicam-se as seguintes obras:</w:t>
      </w:r>
    </w:p>
    <w:p w14:paraId="338008B3" w14:textId="77777777" w:rsidR="00E20E23" w:rsidRDefault="00E20E23" w:rsidP="003460F5">
      <w:pPr>
        <w:pStyle w:val="REFSFINAIS"/>
        <w:numPr>
          <w:ilvl w:val="0"/>
          <w:numId w:val="9"/>
        </w:numPr>
        <w:spacing w:line="360" w:lineRule="auto"/>
      </w:pPr>
      <w:r w:rsidRPr="000B41FE">
        <w:t xml:space="preserve">AMARAL, </w:t>
      </w:r>
      <w:r w:rsidRPr="00501515">
        <w:t>Francisco</w:t>
      </w:r>
      <w:r w:rsidRPr="000B41FE">
        <w:t xml:space="preserve">. </w:t>
      </w:r>
      <w:r w:rsidRPr="00E20E23">
        <w:rPr>
          <w:b/>
        </w:rPr>
        <w:t>Direito civil</w:t>
      </w:r>
      <w:r w:rsidRPr="000B41FE">
        <w:t>: introdução. 5. ed. Rio de Janeiro: Renovar, 2004</w:t>
      </w:r>
      <w:r>
        <w:t>.</w:t>
      </w:r>
    </w:p>
    <w:p w14:paraId="2F20C4C5" w14:textId="16E1BF29" w:rsidR="00501515" w:rsidRDefault="00501515" w:rsidP="003460F5">
      <w:pPr>
        <w:pStyle w:val="REFSFINAIS"/>
        <w:numPr>
          <w:ilvl w:val="0"/>
          <w:numId w:val="9"/>
        </w:numPr>
        <w:spacing w:line="360" w:lineRule="auto"/>
      </w:pPr>
      <w:r w:rsidRPr="001A43BA">
        <w:t xml:space="preserve">DINIZ, Maria Helena </w:t>
      </w:r>
      <w:r w:rsidRPr="004C62B4">
        <w:t>Diniz</w:t>
      </w:r>
      <w:r w:rsidRPr="001A43BA">
        <w:t xml:space="preserve">. </w:t>
      </w:r>
      <w:r w:rsidRPr="00501515">
        <w:rPr>
          <w:b/>
        </w:rPr>
        <w:t>Curso de direito civil brasileiro</w:t>
      </w:r>
      <w:r w:rsidRPr="001A43BA">
        <w:t>: teoria geral das obrigações. 35. ed. São Paulo: Saraiva, 2020</w:t>
      </w:r>
      <w:r>
        <w:t>.</w:t>
      </w:r>
    </w:p>
    <w:p w14:paraId="0C47C35B" w14:textId="09A8C552" w:rsidR="00FC0737" w:rsidRDefault="00FC0737" w:rsidP="003460F5">
      <w:pPr>
        <w:pStyle w:val="REFSFINAIS"/>
        <w:numPr>
          <w:ilvl w:val="0"/>
          <w:numId w:val="9"/>
        </w:numPr>
        <w:spacing w:line="360" w:lineRule="auto"/>
      </w:pPr>
      <w:r w:rsidRPr="00BF7BAB">
        <w:t xml:space="preserve">EHRHARDT JR., Marcos. </w:t>
      </w:r>
      <w:r w:rsidRPr="00FC0737">
        <w:rPr>
          <w:b/>
        </w:rPr>
        <w:t>Responsabilidade civil pelo inadimplemento da boa-fé</w:t>
      </w:r>
      <w:r w:rsidRPr="00BF7BAB">
        <w:rPr>
          <w:i/>
        </w:rPr>
        <w:t>.</w:t>
      </w:r>
      <w:r w:rsidRPr="00BF7BAB">
        <w:t xml:space="preserve"> Belo Horizonte: Fórum, 2014</w:t>
      </w:r>
      <w:r>
        <w:t>.</w:t>
      </w:r>
    </w:p>
    <w:p w14:paraId="6C3BBDC7" w14:textId="49C9FF50" w:rsidR="00A84BE8" w:rsidRPr="00CF5BBB" w:rsidRDefault="00A84BE8" w:rsidP="003460F5">
      <w:pPr>
        <w:pStyle w:val="REFSFINAIS"/>
        <w:numPr>
          <w:ilvl w:val="0"/>
          <w:numId w:val="9"/>
        </w:numPr>
        <w:spacing w:line="360" w:lineRule="auto"/>
      </w:pPr>
      <w:r>
        <w:t xml:space="preserve">FARIAS, Cristiano; ROSENVALD, Nelson. </w:t>
      </w:r>
      <w:r w:rsidRPr="00A84BE8">
        <w:rPr>
          <w:b/>
        </w:rPr>
        <w:t>Curso de direito civil:</w:t>
      </w:r>
      <w:r w:rsidRPr="00340C56">
        <w:t xml:space="preserve"> obrigações</w:t>
      </w:r>
      <w:r>
        <w:rPr>
          <w:i/>
        </w:rPr>
        <w:t xml:space="preserve">. </w:t>
      </w:r>
      <w:r>
        <w:t xml:space="preserve">16. ed. Salvador: </w:t>
      </w:r>
      <w:proofErr w:type="spellStart"/>
      <w:r>
        <w:t>JusPodivm</w:t>
      </w:r>
      <w:proofErr w:type="spellEnd"/>
      <w:r>
        <w:t>, 2022, v. 2.</w:t>
      </w:r>
    </w:p>
    <w:p w14:paraId="34AEAB75" w14:textId="6C8FFC9F" w:rsidR="004C62B4" w:rsidRPr="00B76B4F" w:rsidRDefault="004C62B4" w:rsidP="003460F5">
      <w:pPr>
        <w:pStyle w:val="REFSFINAIS"/>
        <w:numPr>
          <w:ilvl w:val="0"/>
          <w:numId w:val="9"/>
        </w:numPr>
        <w:spacing w:line="360" w:lineRule="auto"/>
      </w:pPr>
      <w:r>
        <w:lastRenderedPageBreak/>
        <w:t xml:space="preserve">GAGLIANO, Pablo </w:t>
      </w:r>
      <w:proofErr w:type="spellStart"/>
      <w:r>
        <w:t>Stolze</w:t>
      </w:r>
      <w:proofErr w:type="spellEnd"/>
      <w:r>
        <w:t xml:space="preserve">; PAMPLONA FILHO, Rodolfo. </w:t>
      </w:r>
      <w:r w:rsidRPr="004C62B4">
        <w:rPr>
          <w:b/>
        </w:rPr>
        <w:t xml:space="preserve">Novo curso de direito civil: </w:t>
      </w:r>
      <w:r w:rsidRPr="00F76A53">
        <w:t>obrigações</w:t>
      </w:r>
      <w:r>
        <w:rPr>
          <w:i/>
        </w:rPr>
        <w:t xml:space="preserve">. </w:t>
      </w:r>
      <w:r>
        <w:t xml:space="preserve">23. ed. São Paulo: </w:t>
      </w:r>
      <w:proofErr w:type="spellStart"/>
      <w:r>
        <w:t>SaraivaJur</w:t>
      </w:r>
      <w:proofErr w:type="spellEnd"/>
      <w:r>
        <w:t>, 2022, v. 2.</w:t>
      </w:r>
    </w:p>
    <w:p w14:paraId="2BF47AC0" w14:textId="6EEDB9EB" w:rsidR="004C62B4" w:rsidRDefault="004C62B4" w:rsidP="003460F5">
      <w:pPr>
        <w:pStyle w:val="REFSFINAIS"/>
        <w:numPr>
          <w:ilvl w:val="0"/>
          <w:numId w:val="9"/>
        </w:numPr>
        <w:spacing w:line="360" w:lineRule="auto"/>
      </w:pPr>
      <w:r w:rsidRPr="00262DF9">
        <w:t xml:space="preserve">GOMES, Orlando. </w:t>
      </w:r>
      <w:r w:rsidRPr="005F3B31">
        <w:rPr>
          <w:b/>
        </w:rPr>
        <w:t>Obrigações</w:t>
      </w:r>
      <w:r w:rsidRPr="00262DF9">
        <w:t xml:space="preserve">. </w:t>
      </w:r>
      <w:r>
        <w:t>19</w:t>
      </w:r>
      <w:r w:rsidRPr="00262DF9">
        <w:t>. ed. Rio de Janeiro: Forense, 20</w:t>
      </w:r>
      <w:r>
        <w:t>19</w:t>
      </w:r>
      <w:r w:rsidRPr="00262DF9">
        <w:t>.</w:t>
      </w:r>
    </w:p>
    <w:p w14:paraId="4208E111" w14:textId="005C1870" w:rsidR="000728D3" w:rsidRDefault="000728D3" w:rsidP="003460F5">
      <w:pPr>
        <w:pStyle w:val="REFSFINAIS"/>
        <w:numPr>
          <w:ilvl w:val="0"/>
          <w:numId w:val="9"/>
        </w:numPr>
        <w:spacing w:line="360" w:lineRule="auto"/>
      </w:pPr>
      <w:r w:rsidRPr="00837D7A">
        <w:t xml:space="preserve">GONÇALVES, Carlos Roberto. </w:t>
      </w:r>
      <w:r w:rsidRPr="000728D3">
        <w:rPr>
          <w:b/>
        </w:rPr>
        <w:t>Direito civil brasileiro</w:t>
      </w:r>
      <w:r w:rsidRPr="00837D7A">
        <w:t xml:space="preserve">: teoria geral das obrigações. 20. ed. Edição do </w:t>
      </w:r>
      <w:proofErr w:type="spellStart"/>
      <w:r w:rsidRPr="00837D7A">
        <w:t>Kindle</w:t>
      </w:r>
      <w:proofErr w:type="spellEnd"/>
      <w:r w:rsidRPr="00837D7A">
        <w:t xml:space="preserve">. São Paulo: </w:t>
      </w:r>
      <w:proofErr w:type="spellStart"/>
      <w:r w:rsidRPr="00837D7A">
        <w:t>SaraivaJur</w:t>
      </w:r>
      <w:proofErr w:type="spellEnd"/>
      <w:r w:rsidRPr="00837D7A">
        <w:t>, 2023</w:t>
      </w:r>
      <w:r>
        <w:t>,</w:t>
      </w:r>
      <w:r w:rsidRPr="00837D7A">
        <w:t xml:space="preserve"> v. </w:t>
      </w:r>
      <w:r>
        <w:t>2.</w:t>
      </w:r>
    </w:p>
    <w:p w14:paraId="18A61F34" w14:textId="7C77E7AB" w:rsidR="00626FBF" w:rsidRDefault="00626FBF" w:rsidP="003460F5">
      <w:pPr>
        <w:pStyle w:val="REFSFINAIS"/>
        <w:numPr>
          <w:ilvl w:val="0"/>
          <w:numId w:val="9"/>
        </w:numPr>
        <w:spacing w:line="360" w:lineRule="auto"/>
      </w:pPr>
      <w:r w:rsidRPr="0050542A">
        <w:t>LÔBO, Paulo</w:t>
      </w:r>
      <w:r>
        <w:t xml:space="preserve"> Luiz Netto</w:t>
      </w:r>
      <w:r w:rsidRPr="0050542A">
        <w:t xml:space="preserve">. </w:t>
      </w:r>
      <w:r w:rsidRPr="00626FBF">
        <w:rPr>
          <w:b/>
        </w:rPr>
        <w:t>Direito Civil:</w:t>
      </w:r>
      <w:r w:rsidRPr="00406914">
        <w:t xml:space="preserve"> obrigações.</w:t>
      </w:r>
      <w:r w:rsidRPr="0050542A">
        <w:t xml:space="preserve"> 10. ed. São </w:t>
      </w:r>
      <w:r>
        <w:t xml:space="preserve">Paulo: Saraiva </w:t>
      </w:r>
      <w:proofErr w:type="spellStart"/>
      <w:r>
        <w:t>Jur</w:t>
      </w:r>
      <w:proofErr w:type="spellEnd"/>
      <w:r>
        <w:t>, 2022, v. 2.</w:t>
      </w:r>
    </w:p>
    <w:p w14:paraId="3FF3177B" w14:textId="012F701E" w:rsidR="0048147E" w:rsidRDefault="0048147E" w:rsidP="003460F5">
      <w:pPr>
        <w:pStyle w:val="REFSFINAIS"/>
        <w:numPr>
          <w:ilvl w:val="0"/>
          <w:numId w:val="9"/>
        </w:numPr>
        <w:spacing w:line="360" w:lineRule="auto"/>
      </w:pPr>
      <w:r>
        <w:t xml:space="preserve">SCHREIBER, Anderson. </w:t>
      </w:r>
      <w:r w:rsidRPr="0048147E">
        <w:rPr>
          <w:b/>
        </w:rPr>
        <w:t>Manual de direito civil contemporâneo</w:t>
      </w:r>
      <w:r>
        <w:t xml:space="preserve">. 5. ed. São Paulo: </w:t>
      </w:r>
      <w:proofErr w:type="spellStart"/>
      <w:r>
        <w:t>SaraivaJur</w:t>
      </w:r>
      <w:proofErr w:type="spellEnd"/>
      <w:r>
        <w:t>, 2022.</w:t>
      </w:r>
    </w:p>
    <w:p w14:paraId="17281297" w14:textId="125A4B20" w:rsidR="00091EB5" w:rsidRDefault="00091EB5" w:rsidP="003460F5">
      <w:pPr>
        <w:pStyle w:val="REFSFINAIS"/>
        <w:numPr>
          <w:ilvl w:val="0"/>
          <w:numId w:val="9"/>
        </w:numPr>
        <w:spacing w:line="360" w:lineRule="auto"/>
      </w:pPr>
      <w:r w:rsidRPr="008B4FF7">
        <w:t xml:space="preserve">TARTUCE, Flávio. </w:t>
      </w:r>
      <w:r w:rsidRPr="00091EB5">
        <w:rPr>
          <w:b/>
        </w:rPr>
        <w:t>Direito civil: direito das obrigações e responsabilidade civil</w:t>
      </w:r>
      <w:r w:rsidRPr="008B4FF7">
        <w:t>. 16. ed. Rio de Janeiro: Forense, 2021</w:t>
      </w:r>
      <w:r>
        <w:t>, v. 2.</w:t>
      </w:r>
    </w:p>
    <w:p w14:paraId="5D86373C" w14:textId="6F9F3040" w:rsidR="00CB1D53" w:rsidRDefault="00CB1D53" w:rsidP="003460F5">
      <w:pPr>
        <w:pStyle w:val="REFSFINAIS"/>
        <w:numPr>
          <w:ilvl w:val="0"/>
          <w:numId w:val="9"/>
        </w:numPr>
        <w:spacing w:line="360" w:lineRule="auto"/>
        <w:rPr>
          <w:color w:val="222222"/>
          <w:shd w:val="clear" w:color="auto" w:fill="FFFFFF"/>
        </w:rPr>
      </w:pPr>
      <w:r w:rsidRPr="00BA67A2">
        <w:rPr>
          <w:color w:val="222222"/>
          <w:shd w:val="clear" w:color="auto" w:fill="FFFFFF"/>
        </w:rPr>
        <w:t>TARTUCE, Flávio. </w:t>
      </w:r>
      <w:r w:rsidRPr="00BA67A2">
        <w:rPr>
          <w:rStyle w:val="Forte"/>
          <w:color w:val="222222"/>
          <w:shd w:val="clear" w:color="auto" w:fill="FFFFFF"/>
        </w:rPr>
        <w:t>Direito Civil 3</w:t>
      </w:r>
      <w:r w:rsidRPr="00BA67A2">
        <w:rPr>
          <w:color w:val="222222"/>
          <w:shd w:val="clear" w:color="auto" w:fill="FFFFFF"/>
        </w:rPr>
        <w:t>: teoria geral dos contratos e contratos em espécie. 9. ed.</w:t>
      </w:r>
      <w:r>
        <w:rPr>
          <w:color w:val="222222"/>
          <w:shd w:val="clear" w:color="auto" w:fill="FFFFFF"/>
        </w:rPr>
        <w:t xml:space="preserve"> São Paulo: Método, 2014, v. 3.</w:t>
      </w:r>
    </w:p>
    <w:p w14:paraId="60AB1C4E" w14:textId="77777777" w:rsidR="0069712E" w:rsidRPr="00262E4B" w:rsidRDefault="0069712E" w:rsidP="00CB1D53">
      <w:pPr>
        <w:pStyle w:val="REFSFINAIS"/>
      </w:pPr>
    </w:p>
    <w:p w14:paraId="7438B844" w14:textId="503C80A5" w:rsidR="00384D65" w:rsidRPr="00DD4BF6" w:rsidRDefault="00164E7F" w:rsidP="00FB1D38">
      <w:pPr>
        <w:pStyle w:val="Ttulo1"/>
        <w:numPr>
          <w:ilvl w:val="0"/>
          <w:numId w:val="0"/>
        </w:numPr>
        <w:ind w:left="227" w:hanging="227"/>
        <w:rPr>
          <w:rFonts w:eastAsia="Arial"/>
        </w:rPr>
      </w:pPr>
      <w:r>
        <w:rPr>
          <w:rFonts w:eastAsia="Arial"/>
        </w:rPr>
        <w:t>REFERÊNCIAS</w:t>
      </w:r>
    </w:p>
    <w:p w14:paraId="179F841A" w14:textId="5AD4C7FC" w:rsidR="00AA70BD" w:rsidRDefault="00AA70BD" w:rsidP="00832AF9">
      <w:pPr>
        <w:pStyle w:val="REFSFINAIS"/>
      </w:pPr>
      <w:r w:rsidRPr="0091668C">
        <w:rPr>
          <w:lang w:val="en-GB"/>
        </w:rPr>
        <w:t xml:space="preserve">ASSMANN, Hugo; SUNG, Jung Mo. </w:t>
      </w:r>
      <w:r w:rsidRPr="00A24BEE">
        <w:rPr>
          <w:b/>
        </w:rPr>
        <w:t>Competência e sensibilidade solidária</w:t>
      </w:r>
      <w:r w:rsidRPr="00A24BEE">
        <w:t>: educar para a esperança. Petrópolis: Vozes, 2000.</w:t>
      </w:r>
    </w:p>
    <w:p w14:paraId="3008F7D3" w14:textId="77777777" w:rsidR="0091668C" w:rsidRPr="00A24BEE" w:rsidRDefault="0091668C" w:rsidP="00832AF9">
      <w:pPr>
        <w:pStyle w:val="REFSFINAIS"/>
      </w:pPr>
    </w:p>
    <w:p w14:paraId="03C62D45" w14:textId="77777777" w:rsidR="00B014EE" w:rsidRDefault="00B014EE" w:rsidP="00B014EE">
      <w:pPr>
        <w:pStyle w:val="REFSFINAIS"/>
      </w:pPr>
      <w:r>
        <w:t xml:space="preserve">ALBERTON, Anete; SILVA, </w:t>
      </w:r>
      <w:proofErr w:type="spellStart"/>
      <w:r>
        <w:t>Anielson</w:t>
      </w:r>
      <w:proofErr w:type="spellEnd"/>
      <w:r>
        <w:t xml:space="preserve"> Barbosa da. </w:t>
      </w:r>
      <w:r w:rsidRPr="008C78D7">
        <w:t>Como escrever um bom caso para ensino?</w:t>
      </w:r>
      <w:r>
        <w:t xml:space="preserve"> Reflexões sobre o método. </w:t>
      </w:r>
      <w:r w:rsidRPr="00093E47">
        <w:rPr>
          <w:b/>
        </w:rPr>
        <w:t>Revista de Administração Contemporânea</w:t>
      </w:r>
      <w:r>
        <w:t xml:space="preserve">. Rio de Janeiro, v. 22, n. 5, p. 745-761, </w:t>
      </w:r>
      <w:proofErr w:type="gramStart"/>
      <w:r>
        <w:t>set./</w:t>
      </w:r>
      <w:proofErr w:type="gramEnd"/>
      <w:r>
        <w:t>out. 2018.</w:t>
      </w:r>
    </w:p>
    <w:p w14:paraId="00A02A8F" w14:textId="77777777" w:rsidR="0091668C" w:rsidRDefault="0091668C" w:rsidP="00832AF9">
      <w:pPr>
        <w:pStyle w:val="REFSFINAIS"/>
      </w:pPr>
    </w:p>
    <w:p w14:paraId="2F128B84" w14:textId="1AAD2CE6" w:rsidR="00C92ADE" w:rsidRPr="00A24BEE" w:rsidRDefault="00C92ADE" w:rsidP="00832AF9">
      <w:pPr>
        <w:pStyle w:val="REFSFINAIS"/>
      </w:pPr>
      <w:r w:rsidRPr="00A24BEE">
        <w:t xml:space="preserve">ANPAD </w:t>
      </w:r>
      <w:r w:rsidR="0012439F" w:rsidRPr="00A24BEE">
        <w:t>–</w:t>
      </w:r>
      <w:r w:rsidRPr="00A24BEE">
        <w:t xml:space="preserve"> </w:t>
      </w:r>
      <w:r w:rsidR="0012439F" w:rsidRPr="00A24BEE">
        <w:t xml:space="preserve">ASSOCIAÇÃO NACIONAL DE PÓS-GRADUAÇÃO E PESQUISA EM ADMINISTRAÇÃO. </w:t>
      </w:r>
      <w:r w:rsidR="0047270A" w:rsidRPr="00A24BEE">
        <w:rPr>
          <w:b/>
        </w:rPr>
        <w:t>Orientações para elaboração de casos para ensino</w:t>
      </w:r>
      <w:r w:rsidR="0047270A" w:rsidRPr="00A24BEE">
        <w:t>. 2011. Disponível em: https://arquivo.anpad.org.br/diversos/regras_casos_ensino2011.pdf. Acesso em 09 jul. 2023.</w:t>
      </w:r>
    </w:p>
    <w:p w14:paraId="4FBC19AB" w14:textId="77777777" w:rsidR="0091668C" w:rsidRDefault="0091668C" w:rsidP="008D7014">
      <w:pPr>
        <w:pStyle w:val="REFSFINAIS"/>
      </w:pPr>
    </w:p>
    <w:p w14:paraId="756E31E6" w14:textId="14E9284F" w:rsidR="004F1EB6" w:rsidRDefault="004F1EB6" w:rsidP="008D7014">
      <w:pPr>
        <w:pStyle w:val="REFSFINAIS"/>
      </w:pPr>
      <w:r w:rsidRPr="004F1EB6">
        <w:t xml:space="preserve">LÔBO, Paulo. </w:t>
      </w:r>
      <w:r w:rsidRPr="009C5C60">
        <w:rPr>
          <w:b/>
        </w:rPr>
        <w:t xml:space="preserve">Direito </w:t>
      </w:r>
      <w:r w:rsidR="009C5C60" w:rsidRPr="009C5C60">
        <w:rPr>
          <w:b/>
        </w:rPr>
        <w:t>c</w:t>
      </w:r>
      <w:r w:rsidRPr="009C5C60">
        <w:rPr>
          <w:b/>
        </w:rPr>
        <w:t>ivil</w:t>
      </w:r>
      <w:r w:rsidR="009C5C60">
        <w:t>: o</w:t>
      </w:r>
      <w:r w:rsidRPr="004F1EB6">
        <w:t xml:space="preserve">brigações. 10. ed. São Paulo: Saraiva </w:t>
      </w:r>
      <w:proofErr w:type="spellStart"/>
      <w:r w:rsidRPr="004F1EB6">
        <w:t>Jur</w:t>
      </w:r>
      <w:proofErr w:type="spellEnd"/>
      <w:r w:rsidRPr="004F1EB6">
        <w:t>, 2022</w:t>
      </w:r>
      <w:r w:rsidR="009C5C60">
        <w:t>, v. 2.</w:t>
      </w:r>
    </w:p>
    <w:p w14:paraId="74E7B888" w14:textId="77777777" w:rsidR="0091668C" w:rsidRDefault="0091668C" w:rsidP="008D7014">
      <w:pPr>
        <w:pStyle w:val="REFSFINAIS"/>
      </w:pPr>
    </w:p>
    <w:p w14:paraId="64C3289C" w14:textId="7BD3516D" w:rsidR="008D7014" w:rsidRPr="00A24BEE" w:rsidRDefault="008D7014" w:rsidP="008D7014">
      <w:pPr>
        <w:pStyle w:val="REFSFINAIS"/>
      </w:pPr>
      <w:r w:rsidRPr="00A24BEE">
        <w:t>RAMOS, Luciana de Oliveira; SCHORSCHER, Vivian Cristina. Método do Caso. In: GHIRA</w:t>
      </w:r>
      <w:r w:rsidR="001305B9" w:rsidRPr="00A24BEE">
        <w:t>0052</w:t>
      </w:r>
      <w:r w:rsidRPr="00A24BEE">
        <w:t xml:space="preserve">DI, José Garcez. (org.). </w:t>
      </w:r>
      <w:r w:rsidRPr="00A24BEE">
        <w:rPr>
          <w:b/>
        </w:rPr>
        <w:t>Métodos de Ensino em Direito</w:t>
      </w:r>
      <w:r w:rsidRPr="00A24BEE">
        <w:t xml:space="preserve">: conceitos para um debate. </w:t>
      </w:r>
      <w:r w:rsidR="001305B9" w:rsidRPr="00A24BEE">
        <w:t xml:space="preserve">2. ed. </w:t>
      </w:r>
      <w:r w:rsidRPr="00A24BEE">
        <w:t>São Paulo: Saraiva, 20</w:t>
      </w:r>
      <w:r w:rsidR="001305B9" w:rsidRPr="00A24BEE">
        <w:t>2</w:t>
      </w:r>
      <w:r w:rsidRPr="00A24BEE">
        <w:t>0. p. 49-60.</w:t>
      </w:r>
    </w:p>
    <w:p w14:paraId="57C32FEF" w14:textId="77777777" w:rsidR="0091668C" w:rsidRDefault="0091668C" w:rsidP="004F5C74">
      <w:pPr>
        <w:pStyle w:val="REFSFINAIS"/>
      </w:pPr>
    </w:p>
    <w:p w14:paraId="0E5CE127" w14:textId="281564A7" w:rsidR="004F5C74" w:rsidRPr="00A24BEE" w:rsidRDefault="004F5C74" w:rsidP="004F5C74">
      <w:pPr>
        <w:pStyle w:val="REFSFINAIS"/>
      </w:pPr>
      <w:r w:rsidRPr="00A24BEE">
        <w:t>ROESCH, Sylvia Maria Azevedo. A construção de casos em gestão social: diferenças entre estudos de caso e casos para ensino. In: FISCHER, Tânia; ROESCH, Sylvia; MELO, Vanessa (</w:t>
      </w:r>
      <w:proofErr w:type="spellStart"/>
      <w:r w:rsidRPr="00A24BEE">
        <w:t>Orgs</w:t>
      </w:r>
      <w:proofErr w:type="spellEnd"/>
      <w:r w:rsidRPr="00A24BEE">
        <w:t xml:space="preserve">.). </w:t>
      </w:r>
      <w:r w:rsidRPr="00A24BEE">
        <w:rPr>
          <w:b/>
        </w:rPr>
        <w:t>Gestão do desenvolvimento territorial e residência social</w:t>
      </w:r>
      <w:r w:rsidRPr="00A24BEE">
        <w:t>: casos para ensino. Salvador: EDUFBA, 2004. p. 83-110.</w:t>
      </w:r>
    </w:p>
    <w:p w14:paraId="2CC748E8" w14:textId="77777777" w:rsidR="0091668C" w:rsidRDefault="0091668C" w:rsidP="009E370B">
      <w:pPr>
        <w:pStyle w:val="REFSFINAIS"/>
      </w:pPr>
    </w:p>
    <w:p w14:paraId="3B03B067" w14:textId="4F4F3594" w:rsidR="00C7051B" w:rsidRPr="000F5484" w:rsidRDefault="00AA38DF" w:rsidP="009E370B">
      <w:pPr>
        <w:pStyle w:val="REFSFINAIS"/>
      </w:pPr>
      <w:r w:rsidRPr="00A24BEE">
        <w:lastRenderedPageBreak/>
        <w:t xml:space="preserve">ROESCH, Sylvia Maria Azevedo. Notas sobre a construção de casos para ensino. </w:t>
      </w:r>
      <w:r w:rsidRPr="00A24BEE">
        <w:rPr>
          <w:b/>
        </w:rPr>
        <w:t>Rev. adm. contemp</w:t>
      </w:r>
      <w:r w:rsidRPr="00A24BEE">
        <w:t xml:space="preserve">. [online], v.11, n.2, pp. 213-234, 2007. Disponível em: </w:t>
      </w:r>
      <w:r w:rsidR="00F445BF">
        <w:t>&lt;</w:t>
      </w:r>
      <w:hyperlink r:id="rId8" w:history="1">
        <w:r w:rsidRPr="000F5484">
          <w:rPr>
            <w:rStyle w:val="Hyperlink"/>
            <w:color w:val="auto"/>
            <w:u w:val="none"/>
          </w:rPr>
          <w:t>http://www.scielo.br/pdf/rac/v11n2/a12v11n2.pdf</w:t>
        </w:r>
      </w:hyperlink>
      <w:r w:rsidR="00F445BF">
        <w:rPr>
          <w:rStyle w:val="Hyperlink"/>
          <w:color w:val="auto"/>
          <w:u w:val="none"/>
        </w:rPr>
        <w:t>&gt;</w:t>
      </w:r>
      <w:r w:rsidR="00C24499" w:rsidRPr="000F5484">
        <w:rPr>
          <w:rStyle w:val="Hyperlink"/>
          <w:color w:val="auto"/>
          <w:u w:val="none"/>
        </w:rPr>
        <w:t>.</w:t>
      </w:r>
      <w:r w:rsidR="00C24499" w:rsidRPr="000F5484">
        <w:t xml:space="preserve"> Acesso em 09 jul. 2023.</w:t>
      </w:r>
    </w:p>
    <w:sectPr w:rsidR="00C7051B" w:rsidRPr="000F5484" w:rsidSect="002D2070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941F8" w14:textId="77777777" w:rsidR="00933B61" w:rsidRDefault="00933B61" w:rsidP="00037EF0">
      <w:pPr>
        <w:spacing w:line="240" w:lineRule="auto"/>
      </w:pPr>
      <w:r>
        <w:separator/>
      </w:r>
    </w:p>
  </w:endnote>
  <w:endnote w:type="continuationSeparator" w:id="0">
    <w:p w14:paraId="7437BD87" w14:textId="77777777" w:rsidR="00933B61" w:rsidRDefault="00933B61" w:rsidP="00037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7900814"/>
      <w:docPartObj>
        <w:docPartGallery w:val="Page Numbers (Bottom of Page)"/>
        <w:docPartUnique/>
      </w:docPartObj>
    </w:sdtPr>
    <w:sdtEndPr/>
    <w:sdtContent>
      <w:p w14:paraId="58B924F7" w14:textId="02285A48" w:rsidR="0073731C" w:rsidRDefault="007373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014">
          <w:rPr>
            <w:noProof/>
          </w:rPr>
          <w:t>2</w:t>
        </w:r>
        <w:r>
          <w:fldChar w:fldCharType="end"/>
        </w:r>
      </w:p>
    </w:sdtContent>
  </w:sdt>
  <w:p w14:paraId="51CBF82A" w14:textId="77777777" w:rsidR="0073731C" w:rsidRDefault="007373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D3249" w14:textId="77777777" w:rsidR="00933B61" w:rsidRDefault="00933B61" w:rsidP="00FB7D28">
      <w:pPr>
        <w:spacing w:line="240" w:lineRule="auto"/>
        <w:ind w:firstLine="0"/>
      </w:pPr>
      <w:r>
        <w:separator/>
      </w:r>
    </w:p>
  </w:footnote>
  <w:footnote w:type="continuationSeparator" w:id="0">
    <w:p w14:paraId="75CA149E" w14:textId="77777777" w:rsidR="00933B61" w:rsidRDefault="00933B61" w:rsidP="00037EF0">
      <w:pPr>
        <w:spacing w:line="240" w:lineRule="auto"/>
      </w:pPr>
      <w:r>
        <w:continuationSeparator/>
      </w:r>
    </w:p>
  </w:footnote>
  <w:footnote w:id="1">
    <w:p w14:paraId="631A0AD0" w14:textId="248DF566" w:rsidR="00BF7744" w:rsidRPr="00BF7744" w:rsidRDefault="00BF7744" w:rsidP="00BF7744">
      <w:pPr>
        <w:pStyle w:val="Textodenotaderodap"/>
      </w:pPr>
      <w:r>
        <w:rPr>
          <w:rStyle w:val="Refdenotaderodap"/>
        </w:rPr>
        <w:t>*</w:t>
      </w:r>
      <w:r>
        <w:t xml:space="preserve"> </w:t>
      </w:r>
      <w:r w:rsidRPr="00A667B1">
        <w:t xml:space="preserve">Professor Adjunto da Universidade Federal do Rio Grande do Norte, Departamento de Direito Privado. Doutor em Direito pela Universidade de Coimbra. Ministra as disciplinas de Obrigações (Direito Civil II) e Contratos (Direito Civil III). </w:t>
      </w:r>
      <w:r>
        <w:t>Ju</w:t>
      </w:r>
      <w:r w:rsidRPr="00A667B1">
        <w:t>iz Federal</w:t>
      </w:r>
      <w:r>
        <w:t xml:space="preserve">. </w:t>
      </w:r>
      <w:r w:rsidRPr="00A667B1">
        <w:t>Lattes: http://lattes.cnpq.br/485032687199655</w:t>
      </w:r>
      <w:r w:rsidR="00E24014">
        <w:t>2.</w:t>
      </w:r>
      <w:bookmarkStart w:id="0" w:name="_GoBack"/>
      <w:bookmarkEnd w:id="0"/>
    </w:p>
  </w:footnote>
  <w:footnote w:id="2">
    <w:p w14:paraId="5DC62C88" w14:textId="5B9EB015" w:rsidR="00C11314" w:rsidRDefault="00C11314" w:rsidP="00C11314">
      <w:pPr>
        <w:pStyle w:val="Textodenotaderodap"/>
      </w:pPr>
      <w:r>
        <w:rPr>
          <w:rStyle w:val="Refdenotaderodap"/>
        </w:rPr>
        <w:t>**</w:t>
      </w:r>
      <w:r>
        <w:t xml:space="preserve"> </w:t>
      </w:r>
      <w:r w:rsidR="00C62A96">
        <w:t xml:space="preserve">Bacharela em Direito pela Universidade Federal do Rio Grande do Norte. Foi </w:t>
      </w:r>
      <w:r w:rsidR="002F4B00">
        <w:t>m</w:t>
      </w:r>
      <w:r w:rsidR="00C62A96">
        <w:t>onitora das Disciplinas Direito Civil II (Obrigações) e Direito Civil III (Contratos) no ano de 2022</w:t>
      </w:r>
      <w:r>
        <w:t>.</w:t>
      </w:r>
    </w:p>
  </w:footnote>
  <w:footnote w:id="3">
    <w:p w14:paraId="1265A9C9" w14:textId="33BD87B7" w:rsidR="00023E76" w:rsidRDefault="00023E76">
      <w:pPr>
        <w:pStyle w:val="Textodenotaderodap"/>
      </w:pPr>
      <w:r>
        <w:rPr>
          <w:rStyle w:val="Refdenotaderodap"/>
        </w:rPr>
        <w:t>***</w:t>
      </w:r>
      <w:r>
        <w:t xml:space="preserve"> Graduanda em Direito pela Universidade Federal do Rio Grande do Norte. Monitora das disciplinas </w:t>
      </w:r>
      <w:r w:rsidRPr="00A667B1">
        <w:t xml:space="preserve">Obrigações (Direito Civil II) </w:t>
      </w:r>
      <w:r>
        <w:t>e Contratos (Direito Civil III) no ano de 2023.</w:t>
      </w:r>
    </w:p>
  </w:footnote>
  <w:footnote w:id="4">
    <w:p w14:paraId="3AB452A4" w14:textId="6A037EC6" w:rsidR="00E151D7" w:rsidRDefault="00E151D7">
      <w:pPr>
        <w:pStyle w:val="Textodenotaderodap"/>
      </w:pPr>
      <w:r>
        <w:rPr>
          <w:rStyle w:val="Refdenotaderodap"/>
        </w:rPr>
        <w:footnoteRef/>
      </w:r>
      <w:r>
        <w:t xml:space="preserve"> Como será indicado no item específico sobre os aspectos pedagógicos</w:t>
      </w:r>
      <w:r w:rsidR="00F069E7">
        <w:t xml:space="preserve"> (seção 2.3), poder ser realizada</w:t>
      </w:r>
      <w:r>
        <w:t xml:space="preserve"> uma simulação desta </w:t>
      </w:r>
      <w:r w:rsidR="007D54DA">
        <w:t>contratação da consultoria.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A3B07" w14:textId="77777777" w:rsidR="00D02A50" w:rsidRDefault="0073731C" w:rsidP="00027FA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  <w:r>
      <w:rPr>
        <w:noProof/>
        <w:szCs w:val="20"/>
      </w:rPr>
      <w:drawing>
        <wp:anchor distT="0" distB="0" distL="114300" distR="114300" simplePos="0" relativeHeight="251658240" behindDoc="0" locked="0" layoutInCell="1" allowOverlap="1" wp14:anchorId="5974954B" wp14:editId="146F821B">
          <wp:simplePos x="0" y="0"/>
          <wp:positionH relativeFrom="column">
            <wp:posOffset>-13335</wp:posOffset>
          </wp:positionH>
          <wp:positionV relativeFrom="paragraph">
            <wp:posOffset>-250190</wp:posOffset>
          </wp:positionV>
          <wp:extent cx="5687060" cy="624205"/>
          <wp:effectExtent l="0" t="0" r="8890" b="4445"/>
          <wp:wrapThrough wrapText="bothSides">
            <wp:wrapPolygon edited="0">
              <wp:start x="0" y="0"/>
              <wp:lineTo x="0" y="21095"/>
              <wp:lineTo x="21561" y="21095"/>
              <wp:lineTo x="21561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7060" cy="62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0754DB" w14:textId="77777777" w:rsidR="00D02A50" w:rsidRDefault="00D02A50" w:rsidP="00027FA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</w:p>
  <w:p w14:paraId="634F432D" w14:textId="77777777" w:rsidR="001D32C9" w:rsidRPr="00027FA6" w:rsidRDefault="001D32C9" w:rsidP="00027FA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C08FB"/>
    <w:multiLevelType w:val="hybridMultilevel"/>
    <w:tmpl w:val="619E6AD6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3F70F2C"/>
    <w:multiLevelType w:val="multilevel"/>
    <w:tmpl w:val="398279E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222258"/>
    <w:multiLevelType w:val="hybridMultilevel"/>
    <w:tmpl w:val="60B44DC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A7D6976"/>
    <w:multiLevelType w:val="hybridMultilevel"/>
    <w:tmpl w:val="5A106F2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91C5A5D"/>
    <w:multiLevelType w:val="hybridMultilevel"/>
    <w:tmpl w:val="BB121B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F871B4F"/>
    <w:multiLevelType w:val="hybridMultilevel"/>
    <w:tmpl w:val="259E9460"/>
    <w:lvl w:ilvl="0" w:tplc="4E58F5A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6ECF47CE"/>
    <w:multiLevelType w:val="multilevel"/>
    <w:tmpl w:val="E10C1978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2D775DA"/>
    <w:multiLevelType w:val="multilevel"/>
    <w:tmpl w:val="D968EA4E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75C96BAA"/>
    <w:multiLevelType w:val="hybridMultilevel"/>
    <w:tmpl w:val="493848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E5"/>
    <w:rsid w:val="00003C55"/>
    <w:rsid w:val="000044EA"/>
    <w:rsid w:val="00006D45"/>
    <w:rsid w:val="00014CE0"/>
    <w:rsid w:val="00023E76"/>
    <w:rsid w:val="00026591"/>
    <w:rsid w:val="00027FA6"/>
    <w:rsid w:val="000358D6"/>
    <w:rsid w:val="00037EF0"/>
    <w:rsid w:val="00053929"/>
    <w:rsid w:val="000644C7"/>
    <w:rsid w:val="000728D3"/>
    <w:rsid w:val="00072EC4"/>
    <w:rsid w:val="00080496"/>
    <w:rsid w:val="00083550"/>
    <w:rsid w:val="00083960"/>
    <w:rsid w:val="00091EB5"/>
    <w:rsid w:val="00093167"/>
    <w:rsid w:val="000A42DF"/>
    <w:rsid w:val="000A5AD8"/>
    <w:rsid w:val="000B2A37"/>
    <w:rsid w:val="000B2F2E"/>
    <w:rsid w:val="000B574B"/>
    <w:rsid w:val="000B6513"/>
    <w:rsid w:val="000C2D34"/>
    <w:rsid w:val="000D69E9"/>
    <w:rsid w:val="000E60AA"/>
    <w:rsid w:val="000E6473"/>
    <w:rsid w:val="000F2279"/>
    <w:rsid w:val="000F5484"/>
    <w:rsid w:val="000F6110"/>
    <w:rsid w:val="00103F0C"/>
    <w:rsid w:val="00120D2D"/>
    <w:rsid w:val="00122E55"/>
    <w:rsid w:val="0012439F"/>
    <w:rsid w:val="00125382"/>
    <w:rsid w:val="001305B9"/>
    <w:rsid w:val="001315CB"/>
    <w:rsid w:val="001346B3"/>
    <w:rsid w:val="00154F16"/>
    <w:rsid w:val="00162EE3"/>
    <w:rsid w:val="00164E7F"/>
    <w:rsid w:val="00197A6A"/>
    <w:rsid w:val="001A2F87"/>
    <w:rsid w:val="001B00E2"/>
    <w:rsid w:val="001B4F4C"/>
    <w:rsid w:val="001B6C0F"/>
    <w:rsid w:val="001C12F7"/>
    <w:rsid w:val="001D32C9"/>
    <w:rsid w:val="001D3C83"/>
    <w:rsid w:val="001D736D"/>
    <w:rsid w:val="001E2BDB"/>
    <w:rsid w:val="001F132E"/>
    <w:rsid w:val="001F608B"/>
    <w:rsid w:val="00200360"/>
    <w:rsid w:val="002120F0"/>
    <w:rsid w:val="00214CBD"/>
    <w:rsid w:val="00217C5D"/>
    <w:rsid w:val="00223BAB"/>
    <w:rsid w:val="00225D20"/>
    <w:rsid w:val="00231595"/>
    <w:rsid w:val="002320E2"/>
    <w:rsid w:val="00244585"/>
    <w:rsid w:val="00257CF5"/>
    <w:rsid w:val="002770E2"/>
    <w:rsid w:val="00286112"/>
    <w:rsid w:val="002A045C"/>
    <w:rsid w:val="002A7C42"/>
    <w:rsid w:val="002B0EB9"/>
    <w:rsid w:val="002C3FA3"/>
    <w:rsid w:val="002C70D1"/>
    <w:rsid w:val="002D078D"/>
    <w:rsid w:val="002D1E75"/>
    <w:rsid w:val="002D2070"/>
    <w:rsid w:val="002E027D"/>
    <w:rsid w:val="002E4610"/>
    <w:rsid w:val="002E5951"/>
    <w:rsid w:val="002F42C1"/>
    <w:rsid w:val="002F4B00"/>
    <w:rsid w:val="00300A22"/>
    <w:rsid w:val="00320CE4"/>
    <w:rsid w:val="00325243"/>
    <w:rsid w:val="00326FB0"/>
    <w:rsid w:val="00331673"/>
    <w:rsid w:val="00335DEC"/>
    <w:rsid w:val="003379E1"/>
    <w:rsid w:val="00341FA6"/>
    <w:rsid w:val="003422CA"/>
    <w:rsid w:val="00345F70"/>
    <w:rsid w:val="003460F5"/>
    <w:rsid w:val="003526CE"/>
    <w:rsid w:val="00364EF5"/>
    <w:rsid w:val="00384D65"/>
    <w:rsid w:val="00386C08"/>
    <w:rsid w:val="0038789D"/>
    <w:rsid w:val="003A130E"/>
    <w:rsid w:val="003A1397"/>
    <w:rsid w:val="003A6155"/>
    <w:rsid w:val="003B397B"/>
    <w:rsid w:val="003B5E2C"/>
    <w:rsid w:val="003C1463"/>
    <w:rsid w:val="003D0321"/>
    <w:rsid w:val="003D0B86"/>
    <w:rsid w:val="003D49F9"/>
    <w:rsid w:val="003D4A30"/>
    <w:rsid w:val="003D56F0"/>
    <w:rsid w:val="003E339A"/>
    <w:rsid w:val="003F303C"/>
    <w:rsid w:val="00405B6F"/>
    <w:rsid w:val="004116F7"/>
    <w:rsid w:val="00411DEF"/>
    <w:rsid w:val="00420BFA"/>
    <w:rsid w:val="0042353C"/>
    <w:rsid w:val="00425206"/>
    <w:rsid w:val="004268CE"/>
    <w:rsid w:val="00434C59"/>
    <w:rsid w:val="00446FD2"/>
    <w:rsid w:val="0045171C"/>
    <w:rsid w:val="00471B83"/>
    <w:rsid w:val="0047270A"/>
    <w:rsid w:val="00477B63"/>
    <w:rsid w:val="0048147E"/>
    <w:rsid w:val="004903CF"/>
    <w:rsid w:val="00494F06"/>
    <w:rsid w:val="004967D0"/>
    <w:rsid w:val="004A2242"/>
    <w:rsid w:val="004B074E"/>
    <w:rsid w:val="004B4A09"/>
    <w:rsid w:val="004C06D6"/>
    <w:rsid w:val="004C62B4"/>
    <w:rsid w:val="004C7227"/>
    <w:rsid w:val="004D4E1E"/>
    <w:rsid w:val="004E0019"/>
    <w:rsid w:val="004E2B68"/>
    <w:rsid w:val="004F0D89"/>
    <w:rsid w:val="004F1EB6"/>
    <w:rsid w:val="004F5C74"/>
    <w:rsid w:val="00501515"/>
    <w:rsid w:val="005037A7"/>
    <w:rsid w:val="005045C1"/>
    <w:rsid w:val="00513AF5"/>
    <w:rsid w:val="00526970"/>
    <w:rsid w:val="005402F7"/>
    <w:rsid w:val="00551C32"/>
    <w:rsid w:val="0055337E"/>
    <w:rsid w:val="00554074"/>
    <w:rsid w:val="00582E93"/>
    <w:rsid w:val="00584593"/>
    <w:rsid w:val="00585962"/>
    <w:rsid w:val="00593B9F"/>
    <w:rsid w:val="00595B07"/>
    <w:rsid w:val="005A1587"/>
    <w:rsid w:val="005B4F90"/>
    <w:rsid w:val="005B6DB5"/>
    <w:rsid w:val="005C7C0F"/>
    <w:rsid w:val="005C7F47"/>
    <w:rsid w:val="005E1E6D"/>
    <w:rsid w:val="005E43D3"/>
    <w:rsid w:val="005E4665"/>
    <w:rsid w:val="005F3B31"/>
    <w:rsid w:val="005F6646"/>
    <w:rsid w:val="00604D8D"/>
    <w:rsid w:val="00617CB2"/>
    <w:rsid w:val="00626FBF"/>
    <w:rsid w:val="006351C2"/>
    <w:rsid w:val="006458C0"/>
    <w:rsid w:val="00647DA5"/>
    <w:rsid w:val="006573D2"/>
    <w:rsid w:val="0066767F"/>
    <w:rsid w:val="00684C05"/>
    <w:rsid w:val="006902C2"/>
    <w:rsid w:val="00690470"/>
    <w:rsid w:val="0069712E"/>
    <w:rsid w:val="006A0089"/>
    <w:rsid w:val="006A7EA8"/>
    <w:rsid w:val="006B2585"/>
    <w:rsid w:val="006B3D97"/>
    <w:rsid w:val="006B6CA6"/>
    <w:rsid w:val="006D5959"/>
    <w:rsid w:val="006E1858"/>
    <w:rsid w:val="006E2491"/>
    <w:rsid w:val="006E451C"/>
    <w:rsid w:val="006E7EEF"/>
    <w:rsid w:val="007104F1"/>
    <w:rsid w:val="00714612"/>
    <w:rsid w:val="00721E1F"/>
    <w:rsid w:val="00732237"/>
    <w:rsid w:val="0073602F"/>
    <w:rsid w:val="0073731C"/>
    <w:rsid w:val="00742CF8"/>
    <w:rsid w:val="00752509"/>
    <w:rsid w:val="007529A8"/>
    <w:rsid w:val="00770A36"/>
    <w:rsid w:val="0077392D"/>
    <w:rsid w:val="00781B56"/>
    <w:rsid w:val="007917AA"/>
    <w:rsid w:val="007A35B7"/>
    <w:rsid w:val="007B41DC"/>
    <w:rsid w:val="007D54DA"/>
    <w:rsid w:val="007D79E9"/>
    <w:rsid w:val="007F5CEA"/>
    <w:rsid w:val="008060FD"/>
    <w:rsid w:val="00807984"/>
    <w:rsid w:val="00827241"/>
    <w:rsid w:val="0082751B"/>
    <w:rsid w:val="00832AF9"/>
    <w:rsid w:val="008346FE"/>
    <w:rsid w:val="00850B14"/>
    <w:rsid w:val="008535B8"/>
    <w:rsid w:val="008536D0"/>
    <w:rsid w:val="00856DE4"/>
    <w:rsid w:val="0085715C"/>
    <w:rsid w:val="0085744E"/>
    <w:rsid w:val="008623DF"/>
    <w:rsid w:val="0086272D"/>
    <w:rsid w:val="008640F4"/>
    <w:rsid w:val="008669BC"/>
    <w:rsid w:val="00880EEE"/>
    <w:rsid w:val="00895F7F"/>
    <w:rsid w:val="00896885"/>
    <w:rsid w:val="008A499C"/>
    <w:rsid w:val="008B3B44"/>
    <w:rsid w:val="008D091E"/>
    <w:rsid w:val="008D2A33"/>
    <w:rsid w:val="008D7014"/>
    <w:rsid w:val="008E71CE"/>
    <w:rsid w:val="008F057F"/>
    <w:rsid w:val="008F097F"/>
    <w:rsid w:val="008F14DA"/>
    <w:rsid w:val="008F4CBC"/>
    <w:rsid w:val="008F66E4"/>
    <w:rsid w:val="00902A2C"/>
    <w:rsid w:val="00904213"/>
    <w:rsid w:val="00911EC4"/>
    <w:rsid w:val="00915891"/>
    <w:rsid w:val="0091668C"/>
    <w:rsid w:val="00922014"/>
    <w:rsid w:val="00932BC5"/>
    <w:rsid w:val="00933B61"/>
    <w:rsid w:val="009340E7"/>
    <w:rsid w:val="00934292"/>
    <w:rsid w:val="00934D34"/>
    <w:rsid w:val="0093597A"/>
    <w:rsid w:val="00954FB3"/>
    <w:rsid w:val="009617F1"/>
    <w:rsid w:val="00966B2D"/>
    <w:rsid w:val="00983A36"/>
    <w:rsid w:val="00984149"/>
    <w:rsid w:val="00985A81"/>
    <w:rsid w:val="009908E7"/>
    <w:rsid w:val="0099232F"/>
    <w:rsid w:val="009A083F"/>
    <w:rsid w:val="009A1F0E"/>
    <w:rsid w:val="009B3765"/>
    <w:rsid w:val="009B5CF4"/>
    <w:rsid w:val="009B657A"/>
    <w:rsid w:val="009B662C"/>
    <w:rsid w:val="009C2AAB"/>
    <w:rsid w:val="009C5C60"/>
    <w:rsid w:val="009D3072"/>
    <w:rsid w:val="009E3403"/>
    <w:rsid w:val="009E370B"/>
    <w:rsid w:val="009E3D7D"/>
    <w:rsid w:val="009E479B"/>
    <w:rsid w:val="009F06E7"/>
    <w:rsid w:val="00A1103C"/>
    <w:rsid w:val="00A151ED"/>
    <w:rsid w:val="00A24BEE"/>
    <w:rsid w:val="00A32F21"/>
    <w:rsid w:val="00A349AA"/>
    <w:rsid w:val="00A41867"/>
    <w:rsid w:val="00A45FC6"/>
    <w:rsid w:val="00A53CC5"/>
    <w:rsid w:val="00A608A6"/>
    <w:rsid w:val="00A65657"/>
    <w:rsid w:val="00A65D5B"/>
    <w:rsid w:val="00A667B1"/>
    <w:rsid w:val="00A74850"/>
    <w:rsid w:val="00A84BE8"/>
    <w:rsid w:val="00AA0C5A"/>
    <w:rsid w:val="00AA1764"/>
    <w:rsid w:val="00AA38DF"/>
    <w:rsid w:val="00AA4AE5"/>
    <w:rsid w:val="00AA70BD"/>
    <w:rsid w:val="00AB3914"/>
    <w:rsid w:val="00AB3FD1"/>
    <w:rsid w:val="00AB74A0"/>
    <w:rsid w:val="00AC1F34"/>
    <w:rsid w:val="00AC21F5"/>
    <w:rsid w:val="00AD18D1"/>
    <w:rsid w:val="00AE1B70"/>
    <w:rsid w:val="00AE6829"/>
    <w:rsid w:val="00B014EE"/>
    <w:rsid w:val="00B06D60"/>
    <w:rsid w:val="00B06F79"/>
    <w:rsid w:val="00B14418"/>
    <w:rsid w:val="00B31C17"/>
    <w:rsid w:val="00B34DD3"/>
    <w:rsid w:val="00B47680"/>
    <w:rsid w:val="00B539CC"/>
    <w:rsid w:val="00B577DE"/>
    <w:rsid w:val="00B70B50"/>
    <w:rsid w:val="00B71731"/>
    <w:rsid w:val="00B717DD"/>
    <w:rsid w:val="00B77666"/>
    <w:rsid w:val="00B82878"/>
    <w:rsid w:val="00B9325A"/>
    <w:rsid w:val="00B96AFB"/>
    <w:rsid w:val="00BA3AB9"/>
    <w:rsid w:val="00BA56B3"/>
    <w:rsid w:val="00BA7ADD"/>
    <w:rsid w:val="00BB5E7B"/>
    <w:rsid w:val="00BC0F39"/>
    <w:rsid w:val="00BE3252"/>
    <w:rsid w:val="00BE67B1"/>
    <w:rsid w:val="00BE7BF1"/>
    <w:rsid w:val="00BF7744"/>
    <w:rsid w:val="00C01E28"/>
    <w:rsid w:val="00C11314"/>
    <w:rsid w:val="00C24499"/>
    <w:rsid w:val="00C35047"/>
    <w:rsid w:val="00C419B6"/>
    <w:rsid w:val="00C468D0"/>
    <w:rsid w:val="00C6082E"/>
    <w:rsid w:val="00C62A96"/>
    <w:rsid w:val="00C7051B"/>
    <w:rsid w:val="00C81E91"/>
    <w:rsid w:val="00C8309A"/>
    <w:rsid w:val="00C851AD"/>
    <w:rsid w:val="00C86866"/>
    <w:rsid w:val="00C8701A"/>
    <w:rsid w:val="00C92ADE"/>
    <w:rsid w:val="00C93F74"/>
    <w:rsid w:val="00C96EDC"/>
    <w:rsid w:val="00CA6835"/>
    <w:rsid w:val="00CA731C"/>
    <w:rsid w:val="00CA7ED2"/>
    <w:rsid w:val="00CB1987"/>
    <w:rsid w:val="00CB1D53"/>
    <w:rsid w:val="00CB46FF"/>
    <w:rsid w:val="00CD014A"/>
    <w:rsid w:val="00CD113C"/>
    <w:rsid w:val="00CD2923"/>
    <w:rsid w:val="00CE222C"/>
    <w:rsid w:val="00CE7E10"/>
    <w:rsid w:val="00D02A50"/>
    <w:rsid w:val="00D11FFA"/>
    <w:rsid w:val="00D12080"/>
    <w:rsid w:val="00D1408A"/>
    <w:rsid w:val="00D147B8"/>
    <w:rsid w:val="00D47439"/>
    <w:rsid w:val="00D55879"/>
    <w:rsid w:val="00D5736E"/>
    <w:rsid w:val="00D60CFE"/>
    <w:rsid w:val="00D61205"/>
    <w:rsid w:val="00D6405A"/>
    <w:rsid w:val="00D6658D"/>
    <w:rsid w:val="00D72824"/>
    <w:rsid w:val="00D73D20"/>
    <w:rsid w:val="00D807D3"/>
    <w:rsid w:val="00D810AB"/>
    <w:rsid w:val="00D82D2E"/>
    <w:rsid w:val="00D8799B"/>
    <w:rsid w:val="00D915C6"/>
    <w:rsid w:val="00DA1875"/>
    <w:rsid w:val="00DA726D"/>
    <w:rsid w:val="00DB503B"/>
    <w:rsid w:val="00DB6ABD"/>
    <w:rsid w:val="00DC2ADD"/>
    <w:rsid w:val="00DC55AC"/>
    <w:rsid w:val="00DC5CF3"/>
    <w:rsid w:val="00DC685A"/>
    <w:rsid w:val="00DD4BF6"/>
    <w:rsid w:val="00DE3A3E"/>
    <w:rsid w:val="00DE45BA"/>
    <w:rsid w:val="00E022A0"/>
    <w:rsid w:val="00E039CD"/>
    <w:rsid w:val="00E11471"/>
    <w:rsid w:val="00E151D7"/>
    <w:rsid w:val="00E20E23"/>
    <w:rsid w:val="00E22433"/>
    <w:rsid w:val="00E24014"/>
    <w:rsid w:val="00E248B1"/>
    <w:rsid w:val="00E32170"/>
    <w:rsid w:val="00E32F72"/>
    <w:rsid w:val="00E368E9"/>
    <w:rsid w:val="00E40184"/>
    <w:rsid w:val="00E43A89"/>
    <w:rsid w:val="00E47823"/>
    <w:rsid w:val="00E53E1A"/>
    <w:rsid w:val="00E54FA8"/>
    <w:rsid w:val="00E61AEC"/>
    <w:rsid w:val="00E760B8"/>
    <w:rsid w:val="00E847FE"/>
    <w:rsid w:val="00EA2A31"/>
    <w:rsid w:val="00EA3129"/>
    <w:rsid w:val="00EB143A"/>
    <w:rsid w:val="00EC3B48"/>
    <w:rsid w:val="00EC7D7C"/>
    <w:rsid w:val="00ED5439"/>
    <w:rsid w:val="00ED7757"/>
    <w:rsid w:val="00EE54FF"/>
    <w:rsid w:val="00EF6812"/>
    <w:rsid w:val="00F04F4C"/>
    <w:rsid w:val="00F05424"/>
    <w:rsid w:val="00F069E7"/>
    <w:rsid w:val="00F1288F"/>
    <w:rsid w:val="00F144DF"/>
    <w:rsid w:val="00F22B5C"/>
    <w:rsid w:val="00F27E69"/>
    <w:rsid w:val="00F30B0B"/>
    <w:rsid w:val="00F33B40"/>
    <w:rsid w:val="00F365C9"/>
    <w:rsid w:val="00F445BF"/>
    <w:rsid w:val="00F4543A"/>
    <w:rsid w:val="00F45AFA"/>
    <w:rsid w:val="00F46DC7"/>
    <w:rsid w:val="00F52911"/>
    <w:rsid w:val="00F53D45"/>
    <w:rsid w:val="00F63063"/>
    <w:rsid w:val="00F6533C"/>
    <w:rsid w:val="00F70A5D"/>
    <w:rsid w:val="00F833BC"/>
    <w:rsid w:val="00F94E5F"/>
    <w:rsid w:val="00FA1873"/>
    <w:rsid w:val="00FA6B0A"/>
    <w:rsid w:val="00FA71FD"/>
    <w:rsid w:val="00FB104A"/>
    <w:rsid w:val="00FB1D38"/>
    <w:rsid w:val="00FB333F"/>
    <w:rsid w:val="00FB396C"/>
    <w:rsid w:val="00FB7D28"/>
    <w:rsid w:val="00FC0737"/>
    <w:rsid w:val="00FC4D9D"/>
    <w:rsid w:val="00FC7FDD"/>
    <w:rsid w:val="00FD257E"/>
    <w:rsid w:val="00FF023E"/>
    <w:rsid w:val="00FF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04D19"/>
  <w15:docId w15:val="{D6302433-A8B2-4D61-A9A2-008DB12E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070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FB1D38"/>
    <w:pPr>
      <w:keepNext/>
      <w:keepLines/>
      <w:numPr>
        <w:numId w:val="3"/>
      </w:numPr>
      <w:spacing w:before="240" w:after="240" w:line="360" w:lineRule="auto"/>
      <w:ind w:left="227" w:hanging="227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7F47"/>
    <w:pPr>
      <w:keepNext/>
      <w:keepLines/>
      <w:numPr>
        <w:ilvl w:val="1"/>
        <w:numId w:val="3"/>
      </w:numPr>
      <w:spacing w:before="240" w:after="24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4D65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1463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1463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463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463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463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463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7E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037EF0"/>
  </w:style>
  <w:style w:type="paragraph" w:styleId="Rodap">
    <w:name w:val="footer"/>
    <w:basedOn w:val="Normal"/>
    <w:link w:val="RodapChar"/>
    <w:uiPriority w:val="99"/>
    <w:unhideWhenUsed/>
    <w:rsid w:val="00037EF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7EF0"/>
  </w:style>
  <w:style w:type="paragraph" w:styleId="Textodebalo">
    <w:name w:val="Balloon Text"/>
    <w:basedOn w:val="Normal"/>
    <w:link w:val="TextodebaloChar"/>
    <w:uiPriority w:val="99"/>
    <w:semiHidden/>
    <w:unhideWhenUsed/>
    <w:rsid w:val="00A45F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C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B1D38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C7F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4D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93F74"/>
    <w:rPr>
      <w:color w:val="0563C1" w:themeColor="hyperlink"/>
      <w:u w:val="single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5037A7"/>
    <w:pPr>
      <w:tabs>
        <w:tab w:val="left" w:pos="851"/>
      </w:tabs>
      <w:spacing w:line="240" w:lineRule="auto"/>
      <w:ind w:left="2268"/>
    </w:pPr>
    <w:rPr>
      <w:rFonts w:eastAsia="Arial" w:cs="Times New Roman"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5037A7"/>
    <w:rPr>
      <w:rFonts w:ascii="Times New Roman" w:eastAsia="Arial" w:hAnsi="Times New Roman" w:cs="Times New Roman"/>
      <w:iCs/>
      <w:color w:val="000000" w:themeColor="text1"/>
    </w:rPr>
  </w:style>
  <w:style w:type="paragraph" w:customStyle="1" w:styleId="Texto">
    <w:name w:val="Texto"/>
    <w:basedOn w:val="Normal"/>
    <w:rsid w:val="001F132E"/>
    <w:pPr>
      <w:suppressAutoHyphens/>
    </w:pPr>
    <w:rPr>
      <w:rFonts w:ascii="Arial" w:eastAsia="Calibri" w:hAnsi="Arial" w:cs="Arial"/>
      <w:lang w:eastAsia="zh-CN"/>
    </w:rPr>
  </w:style>
  <w:style w:type="paragraph" w:styleId="PargrafodaLista">
    <w:name w:val="List Paragraph"/>
    <w:basedOn w:val="Normal"/>
    <w:uiPriority w:val="34"/>
    <w:qFormat/>
    <w:rsid w:val="002A045C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3C146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146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46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4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4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4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ernciaIntensa">
    <w:name w:val="Intense Reference"/>
    <w:basedOn w:val="Fontepargpadro"/>
    <w:uiPriority w:val="32"/>
    <w:qFormat/>
    <w:rsid w:val="00AA38DF"/>
    <w:rPr>
      <w:b/>
      <w:bCs/>
      <w:smallCaps/>
      <w:color w:val="5B9BD5" w:themeColor="accent1"/>
      <w:spacing w:val="5"/>
    </w:rPr>
  </w:style>
  <w:style w:type="paragraph" w:customStyle="1" w:styleId="REFSFINAIS">
    <w:name w:val="REFS FINAIS"/>
    <w:basedOn w:val="Normal"/>
    <w:link w:val="REFSFINAISChar"/>
    <w:qFormat/>
    <w:rsid w:val="0091668C"/>
    <w:pPr>
      <w:spacing w:line="240" w:lineRule="auto"/>
      <w:ind w:firstLine="0"/>
      <w:jc w:val="left"/>
    </w:pPr>
    <w:rPr>
      <w:rFonts w:eastAsia="Arial" w:cs="Times New Roman"/>
      <w:spacing w:val="-2"/>
      <w:szCs w:val="24"/>
    </w:rPr>
  </w:style>
  <w:style w:type="paragraph" w:styleId="Textodenotaderodap">
    <w:name w:val="footnote text"/>
    <w:link w:val="TextodenotaderodapChar"/>
    <w:uiPriority w:val="99"/>
    <w:unhideWhenUsed/>
    <w:qFormat/>
    <w:rsid w:val="005B6DB5"/>
    <w:pPr>
      <w:spacing w:after="0" w:line="240" w:lineRule="auto"/>
      <w:jc w:val="both"/>
    </w:pPr>
    <w:rPr>
      <w:rFonts w:ascii="Times New Roman" w:hAnsi="Times New Roman"/>
      <w:szCs w:val="20"/>
    </w:rPr>
  </w:style>
  <w:style w:type="character" w:customStyle="1" w:styleId="REFSFINAISChar">
    <w:name w:val="REFS FINAIS Char"/>
    <w:basedOn w:val="Fontepargpadro"/>
    <w:link w:val="REFSFINAIS"/>
    <w:rsid w:val="0091668C"/>
    <w:rPr>
      <w:rFonts w:ascii="Times New Roman" w:eastAsia="Arial" w:hAnsi="Times New Roman" w:cs="Times New Roman"/>
      <w:spacing w:val="-2"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B6DB5"/>
    <w:rPr>
      <w:rFonts w:ascii="Times New Roman" w:hAnsi="Times New Roman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04F4C"/>
    <w:rPr>
      <w:vertAlign w:val="superscript"/>
    </w:rPr>
  </w:style>
  <w:style w:type="paragraph" w:customStyle="1" w:styleId="notaderodap">
    <w:name w:val="nota de rodapé"/>
    <w:basedOn w:val="Rodap"/>
    <w:link w:val="notaderodapChar"/>
    <w:qFormat/>
    <w:rsid w:val="00F04F4C"/>
  </w:style>
  <w:style w:type="character" w:customStyle="1" w:styleId="notaderodapChar">
    <w:name w:val="nota de rodapé Char"/>
    <w:basedOn w:val="RodapChar"/>
    <w:link w:val="notaderodap"/>
    <w:rsid w:val="00F04F4C"/>
    <w:rPr>
      <w:rFonts w:ascii="Times New Roman" w:hAnsi="Times New Roman"/>
      <w:sz w:val="24"/>
    </w:rPr>
  </w:style>
  <w:style w:type="character" w:styleId="Forte">
    <w:name w:val="Strong"/>
    <w:basedOn w:val="Fontepargpadro"/>
    <w:uiPriority w:val="22"/>
    <w:qFormat/>
    <w:rsid w:val="00CB1D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lo.br/pdf/rac/v11n2/a12v11n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C2FBC-37BB-41B8-8F2F-46991C238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11</Pages>
  <Words>3150</Words>
  <Characters>17010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20120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Periodicos-PC02</dc:creator>
  <cp:lastModifiedBy>Dr.Fábio</cp:lastModifiedBy>
  <cp:revision>149</cp:revision>
  <dcterms:created xsi:type="dcterms:W3CDTF">2023-07-20T01:08:00Z</dcterms:created>
  <dcterms:modified xsi:type="dcterms:W3CDTF">2023-07-30T17:14:00Z</dcterms:modified>
</cp:coreProperties>
</file>