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E33B7" w14:textId="77777777" w:rsidR="00AA4AE5" w:rsidRPr="00DD4BF6" w:rsidRDefault="002770E2" w:rsidP="00E64F4F">
      <w:pPr>
        <w:ind w:firstLine="0"/>
        <w:jc w:val="center"/>
        <w:rPr>
          <w:rFonts w:eastAsia="Arial" w:cs="Times New Roman"/>
          <w:b/>
          <w:szCs w:val="24"/>
        </w:rPr>
      </w:pPr>
      <w:r w:rsidRPr="00DD4BF6">
        <w:rPr>
          <w:rFonts w:eastAsia="Arial" w:cs="Times New Roman"/>
          <w:b/>
          <w:szCs w:val="24"/>
        </w:rPr>
        <w:t xml:space="preserve">GT </w:t>
      </w:r>
      <w:r w:rsidR="001D32C9" w:rsidRPr="00DD4BF6">
        <w:rPr>
          <w:rFonts w:eastAsia="Arial" w:cs="Times New Roman"/>
          <w:b/>
          <w:szCs w:val="24"/>
        </w:rPr>
        <w:t>CASOS PARA ENSINO</w:t>
      </w:r>
    </w:p>
    <w:p w14:paraId="38B29B58" w14:textId="77777777" w:rsidR="00AA4AE5" w:rsidRPr="00DD4BF6" w:rsidRDefault="00AA4AE5" w:rsidP="00E64F4F">
      <w:pPr>
        <w:ind w:firstLine="0"/>
        <w:rPr>
          <w:rFonts w:eastAsia="Arial" w:cs="Times New Roman"/>
          <w:b/>
          <w:szCs w:val="24"/>
        </w:rPr>
      </w:pPr>
    </w:p>
    <w:p w14:paraId="36FE4AB9" w14:textId="2A9D305E" w:rsidR="00AA4AE5" w:rsidRDefault="00937485" w:rsidP="00E64F4F">
      <w:pPr>
        <w:ind w:firstLine="0"/>
        <w:jc w:val="center"/>
        <w:rPr>
          <w:rFonts w:eastAsia="Arial" w:cs="Times New Roman"/>
          <w:b/>
          <w:szCs w:val="24"/>
        </w:rPr>
      </w:pPr>
      <w:r>
        <w:rPr>
          <w:b/>
        </w:rPr>
        <w:t xml:space="preserve">RESPONSABILIDADE SOLIDÁRIA DOS </w:t>
      </w:r>
      <w:r w:rsidR="002210D0" w:rsidRPr="002210D0">
        <w:rPr>
          <w:b/>
        </w:rPr>
        <w:t xml:space="preserve">TITULARES DE CONTA </w:t>
      </w:r>
      <w:r w:rsidR="006A66B5">
        <w:rPr>
          <w:b/>
        </w:rPr>
        <w:t xml:space="preserve">CORRENTE </w:t>
      </w:r>
      <w:r w:rsidR="002210D0" w:rsidRPr="002210D0">
        <w:rPr>
          <w:b/>
        </w:rPr>
        <w:t xml:space="preserve">CONJUNTA </w:t>
      </w:r>
      <w:r w:rsidR="006A66B5">
        <w:rPr>
          <w:b/>
        </w:rPr>
        <w:t xml:space="preserve">PERANTE </w:t>
      </w:r>
      <w:r>
        <w:rPr>
          <w:rFonts w:eastAsia="Arial" w:cs="Times New Roman"/>
          <w:b/>
          <w:szCs w:val="24"/>
        </w:rPr>
        <w:t>A</w:t>
      </w:r>
      <w:r w:rsidR="0028161B" w:rsidRPr="0028161B">
        <w:rPr>
          <w:rFonts w:eastAsia="Arial" w:cs="Times New Roman"/>
          <w:b/>
          <w:szCs w:val="24"/>
        </w:rPr>
        <w:t xml:space="preserve"> INSTITUIÇÃO FINANCEIRA</w:t>
      </w:r>
      <w:r w:rsidR="00787568">
        <w:rPr>
          <w:rFonts w:eastAsia="Arial" w:cs="Times New Roman"/>
          <w:b/>
          <w:szCs w:val="24"/>
        </w:rPr>
        <w:t xml:space="preserve"> E TERCEIROS</w:t>
      </w:r>
    </w:p>
    <w:p w14:paraId="6B5558F1" w14:textId="77777777" w:rsidR="00E70B2C" w:rsidRPr="00DD4BF6" w:rsidRDefault="00E70B2C" w:rsidP="0055337E">
      <w:pPr>
        <w:jc w:val="center"/>
        <w:rPr>
          <w:rFonts w:eastAsia="Arial" w:cs="Times New Roman"/>
          <w:b/>
          <w:szCs w:val="24"/>
        </w:rPr>
      </w:pPr>
    </w:p>
    <w:p w14:paraId="5C55AE20" w14:textId="77777777" w:rsidR="005B4880" w:rsidRDefault="005B4880" w:rsidP="005B4880">
      <w:pPr>
        <w:jc w:val="right"/>
      </w:pPr>
      <w:r>
        <w:t>Jamile Barreto</w:t>
      </w:r>
      <w:r>
        <w:rPr>
          <w:rStyle w:val="Refdenotaderodap"/>
        </w:rPr>
        <w:footnoteReference w:customMarkFollows="1" w:id="1"/>
        <w:t>*</w:t>
      </w:r>
    </w:p>
    <w:p w14:paraId="5E05E49B" w14:textId="77777777" w:rsidR="005B4880" w:rsidRDefault="005B4880" w:rsidP="005B4880">
      <w:pPr>
        <w:jc w:val="right"/>
        <w:rPr>
          <w:rFonts w:eastAsia="Arial" w:cs="Times New Roman"/>
          <w:szCs w:val="24"/>
        </w:rPr>
      </w:pPr>
      <w:r w:rsidRPr="00FF3EDF">
        <w:rPr>
          <w:rFonts w:eastAsia="Arial" w:cs="Times New Roman"/>
          <w:szCs w:val="24"/>
        </w:rPr>
        <w:t>Raquel de Carvalho Cardoso</w:t>
      </w:r>
      <w:r>
        <w:rPr>
          <w:rStyle w:val="Refdenotaderodap"/>
          <w:rFonts w:eastAsia="Arial" w:cs="Times New Roman"/>
          <w:szCs w:val="24"/>
        </w:rPr>
        <w:footnoteReference w:customMarkFollows="1" w:id="2"/>
        <w:t>**</w:t>
      </w:r>
    </w:p>
    <w:p w14:paraId="231FE620" w14:textId="77777777" w:rsidR="005B4880" w:rsidRPr="00611540" w:rsidRDefault="005B4880" w:rsidP="005B4880">
      <w:pPr>
        <w:jc w:val="right"/>
      </w:pPr>
      <w:r>
        <w:t>Ana Julia Lopes Palmeira</w:t>
      </w:r>
      <w:r>
        <w:rPr>
          <w:rStyle w:val="Refdenotaderodap"/>
        </w:rPr>
        <w:footnoteReference w:customMarkFollows="1" w:id="3"/>
        <w:t>***</w:t>
      </w:r>
    </w:p>
    <w:p w14:paraId="19CC2EF9" w14:textId="77777777" w:rsidR="005B4880" w:rsidRDefault="005B4880" w:rsidP="005B4880">
      <w:pPr>
        <w:jc w:val="right"/>
        <w:rPr>
          <w:rFonts w:eastAsia="Arial" w:cs="Times New Roman"/>
          <w:szCs w:val="24"/>
        </w:rPr>
      </w:pPr>
      <w:r>
        <w:rPr>
          <w:rFonts w:eastAsia="Arial" w:cs="Times New Roman"/>
          <w:szCs w:val="24"/>
        </w:rPr>
        <w:t>Fábio Luiz de Oliveira Bezerra</w:t>
      </w:r>
      <w:r>
        <w:rPr>
          <w:rStyle w:val="Refdenotaderodap"/>
          <w:rFonts w:eastAsia="Arial" w:cs="Times New Roman"/>
          <w:szCs w:val="24"/>
        </w:rPr>
        <w:footnoteReference w:customMarkFollows="1" w:id="4"/>
        <w:t>****</w:t>
      </w:r>
    </w:p>
    <w:p w14:paraId="31AE0742" w14:textId="77777777" w:rsidR="005B4880" w:rsidRPr="00DD4BF6" w:rsidRDefault="005B4880" w:rsidP="00E64F4F">
      <w:pPr>
        <w:ind w:firstLine="0"/>
        <w:rPr>
          <w:rFonts w:eastAsia="Arial" w:cs="Times New Roman"/>
          <w:szCs w:val="24"/>
        </w:rPr>
      </w:pPr>
    </w:p>
    <w:p w14:paraId="5B7C1D92" w14:textId="77777777" w:rsidR="0055337E" w:rsidRPr="00DD4BF6" w:rsidRDefault="009617F1" w:rsidP="00932BC5">
      <w:pPr>
        <w:spacing w:line="240" w:lineRule="auto"/>
        <w:ind w:firstLine="0"/>
        <w:rPr>
          <w:rFonts w:eastAsia="Arial" w:cs="Times New Roman"/>
          <w:b/>
          <w:caps/>
          <w:szCs w:val="24"/>
        </w:rPr>
      </w:pPr>
      <w:r w:rsidRPr="00DD4BF6">
        <w:rPr>
          <w:rFonts w:eastAsia="Arial" w:cs="Times New Roman"/>
          <w:b/>
          <w:caps/>
          <w:szCs w:val="24"/>
        </w:rPr>
        <w:t>Resumo</w:t>
      </w:r>
    </w:p>
    <w:p w14:paraId="6F13BC44" w14:textId="23DCA571" w:rsidR="005045C1" w:rsidRPr="00E64F4F" w:rsidRDefault="003F303C" w:rsidP="00E64F4F">
      <w:pPr>
        <w:spacing w:line="240" w:lineRule="auto"/>
        <w:ind w:firstLine="0"/>
        <w:rPr>
          <w:rFonts w:eastAsia="Arial"/>
        </w:rPr>
      </w:pPr>
      <w:r>
        <w:rPr>
          <w:rFonts w:eastAsia="Arial"/>
        </w:rPr>
        <w:t xml:space="preserve">O presente caso de ensino </w:t>
      </w:r>
      <w:r w:rsidR="00F81079">
        <w:rPr>
          <w:rFonts w:eastAsia="Arial"/>
        </w:rPr>
        <w:t xml:space="preserve">aborda a possibilidade de </w:t>
      </w:r>
      <w:r w:rsidR="003864FF">
        <w:rPr>
          <w:rFonts w:eastAsia="Arial"/>
        </w:rPr>
        <w:t xml:space="preserve">estabelecer a responsabilidade </w:t>
      </w:r>
      <w:r w:rsidR="00F81079">
        <w:rPr>
          <w:rFonts w:eastAsia="Arial"/>
        </w:rPr>
        <w:t>solid</w:t>
      </w:r>
      <w:r w:rsidR="003864FF">
        <w:rPr>
          <w:rFonts w:eastAsia="Arial"/>
        </w:rPr>
        <w:t>ária</w:t>
      </w:r>
      <w:r w:rsidR="0028161B">
        <w:rPr>
          <w:rFonts w:eastAsia="Arial"/>
        </w:rPr>
        <w:t xml:space="preserve"> </w:t>
      </w:r>
      <w:r w:rsidR="0028161B" w:rsidRPr="0028161B">
        <w:rPr>
          <w:rFonts w:eastAsia="Arial"/>
        </w:rPr>
        <w:t xml:space="preserve">ativa e passiva entre correntistas </w:t>
      </w:r>
      <w:r w:rsidR="005425EA">
        <w:rPr>
          <w:rFonts w:eastAsia="Arial"/>
        </w:rPr>
        <w:t>e</w:t>
      </w:r>
      <w:r w:rsidR="00787568">
        <w:rPr>
          <w:rFonts w:eastAsia="Arial"/>
        </w:rPr>
        <w:t>m</w:t>
      </w:r>
      <w:r w:rsidR="0028161B" w:rsidRPr="0028161B">
        <w:rPr>
          <w:rFonts w:eastAsia="Arial"/>
        </w:rPr>
        <w:t xml:space="preserve"> relação à instituição financeira</w:t>
      </w:r>
      <w:r w:rsidR="00787568">
        <w:rPr>
          <w:rFonts w:eastAsia="Arial"/>
        </w:rPr>
        <w:t xml:space="preserve"> e a terceiros</w:t>
      </w:r>
      <w:r w:rsidR="0028161B">
        <w:rPr>
          <w:rFonts w:eastAsia="Arial"/>
        </w:rPr>
        <w:t>.</w:t>
      </w:r>
      <w:r>
        <w:rPr>
          <w:rFonts w:eastAsia="Arial"/>
        </w:rPr>
        <w:t xml:space="preserve"> </w:t>
      </w:r>
      <w:r w:rsidR="005425EA">
        <w:rPr>
          <w:rFonts w:eastAsia="Arial"/>
        </w:rPr>
        <w:t>A situação</w:t>
      </w:r>
      <w:r w:rsidR="00F81079" w:rsidRPr="00F81079">
        <w:rPr>
          <w:rFonts w:eastAsia="Arial"/>
        </w:rPr>
        <w:t xml:space="preserve"> envolve </w:t>
      </w:r>
      <w:r w:rsidR="004C0F8C">
        <w:rPr>
          <w:rFonts w:eastAsia="Arial"/>
        </w:rPr>
        <w:t xml:space="preserve">o credor </w:t>
      </w:r>
      <w:r w:rsidR="00F81079" w:rsidRPr="00F81079">
        <w:rPr>
          <w:rFonts w:eastAsia="Arial"/>
        </w:rPr>
        <w:t>João P</w:t>
      </w:r>
      <w:r w:rsidR="003C52DE">
        <w:rPr>
          <w:rFonts w:eastAsia="Arial"/>
        </w:rPr>
        <w:t>aulo</w:t>
      </w:r>
      <w:r w:rsidR="00F81079" w:rsidRPr="00F81079">
        <w:rPr>
          <w:rFonts w:eastAsia="Arial"/>
        </w:rPr>
        <w:t xml:space="preserve">, </w:t>
      </w:r>
      <w:r w:rsidR="004C0F8C">
        <w:rPr>
          <w:rFonts w:eastAsia="Arial"/>
        </w:rPr>
        <w:t xml:space="preserve">o qual </w:t>
      </w:r>
      <w:r w:rsidR="003864FF">
        <w:rPr>
          <w:rFonts w:eastAsia="Arial"/>
        </w:rPr>
        <w:t xml:space="preserve">almeja mover </w:t>
      </w:r>
      <w:r w:rsidR="00F81079" w:rsidRPr="00F81079">
        <w:rPr>
          <w:rFonts w:eastAsia="Arial"/>
        </w:rPr>
        <w:t>uma ação de execução contra Luciana Silva</w:t>
      </w:r>
      <w:r w:rsidR="004C0F8C">
        <w:rPr>
          <w:rFonts w:eastAsia="Arial"/>
        </w:rPr>
        <w:t xml:space="preserve"> </w:t>
      </w:r>
      <w:r w:rsidR="00F81079" w:rsidRPr="00F81079">
        <w:rPr>
          <w:rFonts w:eastAsia="Arial"/>
        </w:rPr>
        <w:t xml:space="preserve">por uma dívida de locação. </w:t>
      </w:r>
      <w:r w:rsidR="003864FF">
        <w:rPr>
          <w:rFonts w:eastAsia="Arial"/>
        </w:rPr>
        <w:t>Em continuidade, o</w:t>
      </w:r>
      <w:r w:rsidR="00F81079" w:rsidRPr="00F81079">
        <w:rPr>
          <w:rFonts w:eastAsia="Arial"/>
        </w:rPr>
        <w:t xml:space="preserve"> valor devido é penhorado em uma conta corrente conjunta que Luciana mantém com seu marido, Pedro Cartaxo</w:t>
      </w:r>
      <w:r w:rsidR="003864FF">
        <w:rPr>
          <w:rFonts w:eastAsia="Arial"/>
        </w:rPr>
        <w:t xml:space="preserve">, que </w:t>
      </w:r>
      <w:r w:rsidR="00F81079" w:rsidRPr="00F81079">
        <w:rPr>
          <w:rFonts w:eastAsia="Arial"/>
        </w:rPr>
        <w:t xml:space="preserve">contesta movimentações </w:t>
      </w:r>
      <w:r w:rsidR="004C0F8C">
        <w:rPr>
          <w:rFonts w:eastAsia="Arial"/>
        </w:rPr>
        <w:t xml:space="preserve">bancárias </w:t>
      </w:r>
      <w:r w:rsidR="00F81079" w:rsidRPr="00F81079">
        <w:rPr>
          <w:rFonts w:eastAsia="Arial"/>
        </w:rPr>
        <w:t xml:space="preserve">não reconhecidas </w:t>
      </w:r>
      <w:r w:rsidR="003864FF">
        <w:rPr>
          <w:rFonts w:eastAsia="Arial"/>
        </w:rPr>
        <w:t xml:space="preserve">e </w:t>
      </w:r>
      <w:r w:rsidR="00F81079" w:rsidRPr="00F81079">
        <w:rPr>
          <w:rFonts w:eastAsia="Arial"/>
        </w:rPr>
        <w:t xml:space="preserve">busca </w:t>
      </w:r>
      <w:r w:rsidR="003864FF">
        <w:rPr>
          <w:rFonts w:eastAsia="Arial"/>
        </w:rPr>
        <w:t xml:space="preserve">o </w:t>
      </w:r>
      <w:r w:rsidR="00F81079" w:rsidRPr="00F81079">
        <w:rPr>
          <w:rFonts w:eastAsia="Arial"/>
        </w:rPr>
        <w:t>esto</w:t>
      </w:r>
      <w:r w:rsidR="003B508D">
        <w:rPr>
          <w:rFonts w:eastAsia="Arial"/>
        </w:rPr>
        <w:t>rno de</w:t>
      </w:r>
      <w:r w:rsidR="00F81079" w:rsidRPr="00F81079">
        <w:rPr>
          <w:rFonts w:eastAsia="Arial"/>
        </w:rPr>
        <w:t xml:space="preserve"> taxas </w:t>
      </w:r>
      <w:r w:rsidR="003864FF">
        <w:rPr>
          <w:rFonts w:eastAsia="Arial"/>
        </w:rPr>
        <w:t>e transferências</w:t>
      </w:r>
      <w:r w:rsidR="00F81079" w:rsidRPr="00F81079">
        <w:rPr>
          <w:rFonts w:eastAsia="Arial"/>
        </w:rPr>
        <w:t xml:space="preserve"> não autorizada</w:t>
      </w:r>
      <w:r w:rsidR="003864FF">
        <w:rPr>
          <w:rFonts w:eastAsia="Arial"/>
        </w:rPr>
        <w:t>s</w:t>
      </w:r>
      <w:r w:rsidR="00F81079" w:rsidRPr="00F81079">
        <w:rPr>
          <w:rFonts w:eastAsia="Arial"/>
        </w:rPr>
        <w:t xml:space="preserve">. </w:t>
      </w:r>
      <w:r w:rsidR="004C0F8C">
        <w:rPr>
          <w:rFonts w:eastAsia="Arial"/>
        </w:rPr>
        <w:t>Apesar disso, o</w:t>
      </w:r>
      <w:r w:rsidR="00F81079" w:rsidRPr="00F81079">
        <w:rPr>
          <w:rFonts w:eastAsia="Arial"/>
        </w:rPr>
        <w:t xml:space="preserve"> banco nega os pedidos, alegando que a conta é solidária</w:t>
      </w:r>
      <w:r w:rsidR="004C0F8C">
        <w:rPr>
          <w:rFonts w:eastAsia="Arial"/>
        </w:rPr>
        <w:t xml:space="preserve">, ocasião em que </w:t>
      </w:r>
      <w:r w:rsidR="00F81079" w:rsidRPr="00F81079">
        <w:rPr>
          <w:rFonts w:eastAsia="Arial"/>
        </w:rPr>
        <w:t xml:space="preserve">Pedro </w:t>
      </w:r>
      <w:r w:rsidR="004C0F8C">
        <w:rPr>
          <w:rFonts w:eastAsia="Arial"/>
        </w:rPr>
        <w:t>dá ensejo a</w:t>
      </w:r>
      <w:r w:rsidR="00F81079" w:rsidRPr="00F81079">
        <w:rPr>
          <w:rFonts w:eastAsia="Arial"/>
        </w:rPr>
        <w:t xml:space="preserve"> ações de reembolso contra o banco e embargos de terceiro para reaver o valor penhorado, </w:t>
      </w:r>
      <w:r w:rsidR="003B508D">
        <w:rPr>
          <w:rFonts w:eastAsia="Arial"/>
        </w:rPr>
        <w:t>sem</w:t>
      </w:r>
      <w:r w:rsidR="0028161B">
        <w:rPr>
          <w:rFonts w:eastAsia="Arial"/>
        </w:rPr>
        <w:t xml:space="preserve"> comprovar</w:t>
      </w:r>
      <w:r w:rsidR="004C0F8C">
        <w:rPr>
          <w:rFonts w:eastAsia="Arial"/>
        </w:rPr>
        <w:t>, contudo,</w:t>
      </w:r>
      <w:r w:rsidR="0028161B">
        <w:rPr>
          <w:rFonts w:eastAsia="Arial"/>
        </w:rPr>
        <w:t xml:space="preserve"> a origem do dinheiro</w:t>
      </w:r>
      <w:r w:rsidR="00F27E69">
        <w:rPr>
          <w:rFonts w:eastAsia="Arial"/>
        </w:rPr>
        <w:t>.</w:t>
      </w:r>
      <w:r w:rsidR="001D736D">
        <w:rPr>
          <w:rFonts w:eastAsia="Arial"/>
        </w:rPr>
        <w:t xml:space="preserve"> </w:t>
      </w:r>
      <w:r w:rsidR="004C0F8C">
        <w:rPr>
          <w:rFonts w:eastAsia="Arial"/>
        </w:rPr>
        <w:t>Diante disso, o</w:t>
      </w:r>
      <w:r w:rsidR="001D736D">
        <w:rPr>
          <w:rFonts w:eastAsia="Arial"/>
        </w:rPr>
        <w:t xml:space="preserve"> objetivo do presente caso de ensino é levar os discentes à reflexão </w:t>
      </w:r>
      <w:r w:rsidR="004C0F8C">
        <w:rPr>
          <w:rFonts w:eastAsia="Arial"/>
        </w:rPr>
        <w:t xml:space="preserve">acerca </w:t>
      </w:r>
      <w:r w:rsidR="001D736D">
        <w:rPr>
          <w:rFonts w:eastAsia="Arial"/>
        </w:rPr>
        <w:t xml:space="preserve">dos aspectos sociais e jurídicos que permeiam o problema, </w:t>
      </w:r>
      <w:r w:rsidR="004C0F8C">
        <w:rPr>
          <w:rFonts w:eastAsia="Arial"/>
        </w:rPr>
        <w:t>por meio da</w:t>
      </w:r>
      <w:r w:rsidR="001D736D">
        <w:rPr>
          <w:rFonts w:eastAsia="Arial"/>
        </w:rPr>
        <w:t xml:space="preserve"> análise dos institutos jurídicos que estão inseridos nesta situação,</w:t>
      </w:r>
      <w:r w:rsidR="004C0F8C">
        <w:rPr>
          <w:rFonts w:eastAsia="Arial"/>
        </w:rPr>
        <w:t xml:space="preserve"> a qual frequentemente se faz presente na realidade do alunado.</w:t>
      </w:r>
    </w:p>
    <w:p w14:paraId="2F79E403" w14:textId="4FF451B8" w:rsidR="00384D65" w:rsidRDefault="009617F1" w:rsidP="00E64F4F">
      <w:pPr>
        <w:ind w:firstLine="0"/>
        <w:rPr>
          <w:rFonts w:eastAsia="Arial" w:cs="Times New Roman"/>
          <w:szCs w:val="24"/>
        </w:rPr>
      </w:pPr>
      <w:r w:rsidRPr="00DD4BF6">
        <w:rPr>
          <w:rFonts w:eastAsia="Arial" w:cs="Times New Roman"/>
          <w:b/>
          <w:szCs w:val="24"/>
        </w:rPr>
        <w:t xml:space="preserve">Palavras-chave: </w:t>
      </w:r>
      <w:r w:rsidR="00C419B6" w:rsidRPr="00C419B6">
        <w:rPr>
          <w:rFonts w:eastAsia="Arial" w:cs="Times New Roman"/>
          <w:szCs w:val="24"/>
        </w:rPr>
        <w:t>Obrigações. Contratos.</w:t>
      </w:r>
      <w:r w:rsidR="00C419B6">
        <w:rPr>
          <w:rFonts w:eastAsia="Arial" w:cs="Times New Roman"/>
          <w:szCs w:val="24"/>
        </w:rPr>
        <w:t xml:space="preserve"> </w:t>
      </w:r>
      <w:r w:rsidR="00923603">
        <w:rPr>
          <w:rFonts w:eastAsia="Arial" w:cs="Times New Roman"/>
          <w:szCs w:val="24"/>
        </w:rPr>
        <w:t>Responsabilidade solidária</w:t>
      </w:r>
      <w:r w:rsidR="002E4610" w:rsidRPr="00DD4BF6">
        <w:rPr>
          <w:rFonts w:eastAsia="Arial" w:cs="Times New Roman"/>
          <w:szCs w:val="24"/>
        </w:rPr>
        <w:t>.</w:t>
      </w:r>
      <w:r w:rsidR="00E22433" w:rsidRPr="00E22433">
        <w:rPr>
          <w:rFonts w:eastAsia="Arial" w:cs="Times New Roman"/>
          <w:szCs w:val="24"/>
        </w:rPr>
        <w:t xml:space="preserve"> </w:t>
      </w:r>
      <w:r w:rsidR="00E22433" w:rsidRPr="00721E1F">
        <w:rPr>
          <w:rFonts w:eastAsia="Arial" w:cs="Times New Roman"/>
          <w:szCs w:val="24"/>
        </w:rPr>
        <w:t>Caso para ensino.</w:t>
      </w:r>
    </w:p>
    <w:p w14:paraId="6AEFD8DB" w14:textId="77777777" w:rsidR="00965747" w:rsidRPr="00E64F4F" w:rsidRDefault="00965747" w:rsidP="00E64F4F">
      <w:pPr>
        <w:ind w:firstLine="0"/>
        <w:rPr>
          <w:rFonts w:eastAsia="Arial" w:cs="Times New Roman"/>
          <w:szCs w:val="24"/>
        </w:rPr>
      </w:pPr>
    </w:p>
    <w:p w14:paraId="722D044E" w14:textId="102F7A0F" w:rsidR="00C93F74" w:rsidRDefault="005B13BB" w:rsidP="00291762">
      <w:pPr>
        <w:pStyle w:val="Ttulo1"/>
        <w:rPr>
          <w:rFonts w:eastAsia="Arial"/>
        </w:rPr>
      </w:pPr>
      <w:r>
        <w:rPr>
          <w:rFonts w:eastAsia="Arial"/>
        </w:rPr>
        <w:t xml:space="preserve">1 </w:t>
      </w:r>
      <w:r w:rsidR="00384D65" w:rsidRPr="00DD4BF6">
        <w:rPr>
          <w:rFonts w:eastAsia="Arial"/>
        </w:rPr>
        <w:t>APRESENTAÇÃO DO CASO</w:t>
      </w:r>
    </w:p>
    <w:p w14:paraId="2CFDF03C" w14:textId="69D83F68" w:rsidR="00B83ED2" w:rsidRPr="00B83ED2" w:rsidRDefault="00E11027" w:rsidP="004F561B">
      <w:r>
        <w:t>Para sedimentar os conceitos relativos à solidariedade das obrigações, tanto na perspectiva do credor (solidariedade ativa), quanto na perspectiva do devedor (solidariedade passiva)</w:t>
      </w:r>
      <w:r w:rsidR="00ED3E6F">
        <w:t>, tem-se o presente caso para ensino, cuja apresentação é repartida em dois pontos</w:t>
      </w:r>
      <w:r w:rsidR="00265B67">
        <w:t xml:space="preserve">. </w:t>
      </w:r>
      <w:r w:rsidR="00265B67">
        <w:lastRenderedPageBreak/>
        <w:t>P</w:t>
      </w:r>
      <w:r w:rsidR="00510EC8">
        <w:t>rimeiramente, far-se-á</w:t>
      </w:r>
      <w:r w:rsidR="00ED3E6F">
        <w:t xml:space="preserve"> </w:t>
      </w:r>
      <w:r w:rsidR="00510EC8">
        <w:t xml:space="preserve">um breve </w:t>
      </w:r>
      <w:r w:rsidR="00ED3E6F">
        <w:t>relato inicial sobre a situação em que está envolvido um correntista do banco</w:t>
      </w:r>
      <w:r w:rsidR="00510EC8">
        <w:t xml:space="preserve">, </w:t>
      </w:r>
      <w:r w:rsidR="00ED3E6F">
        <w:t xml:space="preserve">e, na sequência, </w:t>
      </w:r>
      <w:r w:rsidR="00510EC8">
        <w:t xml:space="preserve">será proposta </w:t>
      </w:r>
      <w:r w:rsidR="00ED3E6F">
        <w:t>uma situação</w:t>
      </w:r>
      <w:r w:rsidR="00DC6628">
        <w:t>-</w:t>
      </w:r>
      <w:r w:rsidR="00ED3E6F">
        <w:t xml:space="preserve">problema </w:t>
      </w:r>
      <w:r w:rsidR="00944D85">
        <w:t>para ser debatida em sala</w:t>
      </w:r>
      <w:r w:rsidR="00DC6628">
        <w:t xml:space="preserve"> de aula</w:t>
      </w:r>
      <w:r w:rsidR="00510EC8">
        <w:t>, estimulando os alunos a refletirem sobre as possibilidades e soluções jurídicas viáveis.</w:t>
      </w:r>
    </w:p>
    <w:p w14:paraId="2DF67033" w14:textId="147A1D1A" w:rsidR="00902A2C" w:rsidRDefault="00902A2C" w:rsidP="005B13BB">
      <w:pPr>
        <w:pStyle w:val="Ttulo2"/>
        <w:numPr>
          <w:ilvl w:val="1"/>
          <w:numId w:val="11"/>
        </w:numPr>
        <w:rPr>
          <w:rFonts w:eastAsia="Arial"/>
        </w:rPr>
      </w:pPr>
      <w:r>
        <w:rPr>
          <w:rFonts w:eastAsia="Arial"/>
        </w:rPr>
        <w:t>Relato inicial</w:t>
      </w:r>
    </w:p>
    <w:p w14:paraId="0BAAB750" w14:textId="2E883A3A" w:rsidR="00787568" w:rsidRDefault="00787568" w:rsidP="00B53218">
      <w:pPr>
        <w:tabs>
          <w:tab w:val="left" w:pos="2089"/>
        </w:tabs>
        <w:rPr>
          <w:rFonts w:eastAsia="Arial"/>
        </w:rPr>
      </w:pPr>
      <w:r w:rsidRPr="00787568">
        <w:rPr>
          <w:rFonts w:eastAsia="Arial"/>
        </w:rPr>
        <w:t>João P</w:t>
      </w:r>
      <w:r w:rsidR="006357A0">
        <w:rPr>
          <w:rFonts w:eastAsia="Arial"/>
        </w:rPr>
        <w:t>aulo</w:t>
      </w:r>
      <w:r w:rsidRPr="00787568">
        <w:rPr>
          <w:rFonts w:eastAsia="Arial"/>
        </w:rPr>
        <w:t>, na</w:t>
      </w:r>
      <w:r>
        <w:rPr>
          <w:rFonts w:eastAsia="Arial"/>
        </w:rPr>
        <w:t xml:space="preserve"> qualidade de credor, ajuizou </w:t>
      </w:r>
      <w:r w:rsidRPr="00787568">
        <w:rPr>
          <w:rFonts w:eastAsia="Arial"/>
        </w:rPr>
        <w:t>ação de execução em face de Luciana Silva, devedora, em razão de débito oriundo de contrato de locação no valor total de R$ 100.000,00 (cem mil reais), sem a presença de fiador. Após a regular citação d</w:t>
      </w:r>
      <w:r w:rsidR="00265B67">
        <w:rPr>
          <w:rFonts w:eastAsia="Arial"/>
        </w:rPr>
        <w:t xml:space="preserve">a devedora </w:t>
      </w:r>
      <w:r w:rsidRPr="00787568">
        <w:rPr>
          <w:rFonts w:eastAsia="Arial"/>
        </w:rPr>
        <w:t>para adimplir a dívida, es</w:t>
      </w:r>
      <w:r w:rsidR="00E86C58">
        <w:rPr>
          <w:rFonts w:eastAsia="Arial"/>
        </w:rPr>
        <w:t>s</w:t>
      </w:r>
      <w:r w:rsidRPr="00787568">
        <w:rPr>
          <w:rFonts w:eastAsia="Arial"/>
        </w:rPr>
        <w:t>a permaneceu inerte, abstendo-se de adotar qualquer pr</w:t>
      </w:r>
      <w:r>
        <w:rPr>
          <w:rFonts w:eastAsia="Arial"/>
        </w:rPr>
        <w:t>ovidência para solver o débito.</w:t>
      </w:r>
    </w:p>
    <w:p w14:paraId="6F12BD51" w14:textId="20EC26DA" w:rsidR="00F81079" w:rsidRDefault="00787568" w:rsidP="00E86C58">
      <w:pPr>
        <w:rPr>
          <w:rFonts w:eastAsia="Arial"/>
        </w:rPr>
      </w:pPr>
      <w:r w:rsidRPr="00F81079">
        <w:rPr>
          <w:rFonts w:eastAsia="Arial"/>
        </w:rPr>
        <w:t>Diante d</w:t>
      </w:r>
      <w:r w:rsidR="00265B67">
        <w:rPr>
          <w:rFonts w:eastAsia="Arial"/>
        </w:rPr>
        <w:t xml:space="preserve">e tal </w:t>
      </w:r>
      <w:r w:rsidRPr="00F81079">
        <w:rPr>
          <w:rFonts w:eastAsia="Arial"/>
        </w:rPr>
        <w:t xml:space="preserve">inércia, o </w:t>
      </w:r>
      <w:r>
        <w:rPr>
          <w:rFonts w:eastAsia="Arial"/>
        </w:rPr>
        <w:t>juízo</w:t>
      </w:r>
      <w:r w:rsidRPr="00F81079">
        <w:rPr>
          <w:rFonts w:eastAsia="Arial"/>
        </w:rPr>
        <w:t xml:space="preserve"> </w:t>
      </w:r>
      <w:r>
        <w:rPr>
          <w:rFonts w:eastAsia="Arial"/>
        </w:rPr>
        <w:t>competente,</w:t>
      </w:r>
      <w:r w:rsidRPr="00F81079">
        <w:rPr>
          <w:rFonts w:eastAsia="Arial"/>
        </w:rPr>
        <w:t xml:space="preserve"> com o intuito de satisfazer a dívida, determinou a penhora do montante de cem mil reais que se encontrava na conta corrente mantida por Luciana em conjunto com seu </w:t>
      </w:r>
      <w:r>
        <w:rPr>
          <w:rFonts w:eastAsia="Arial"/>
        </w:rPr>
        <w:t>cônjuge</w:t>
      </w:r>
      <w:r w:rsidRPr="00F81079">
        <w:rPr>
          <w:rFonts w:eastAsia="Arial"/>
        </w:rPr>
        <w:t>, Pedro Cartaxo</w:t>
      </w:r>
      <w:r>
        <w:rPr>
          <w:rFonts w:eastAsia="Arial"/>
        </w:rPr>
        <w:t>.</w:t>
      </w:r>
      <w:r w:rsidR="00E86C58">
        <w:rPr>
          <w:rFonts w:eastAsia="Arial"/>
        </w:rPr>
        <w:t xml:space="preserve"> </w:t>
      </w:r>
      <w:r w:rsidR="00F81079" w:rsidRPr="00F81079">
        <w:rPr>
          <w:rFonts w:eastAsia="Arial"/>
        </w:rPr>
        <w:t>No mesmo dia em que ocorreu a penhora, Pedro, ao efetuar a consulta do extrato da referida conta corrente, que possuía natureza de conta</w:t>
      </w:r>
      <w:r w:rsidR="009E5FF1">
        <w:rPr>
          <w:rFonts w:eastAsia="Arial"/>
        </w:rPr>
        <w:t xml:space="preserve"> conjunta do tipo "E/OU"</w:t>
      </w:r>
      <w:r w:rsidR="00F81079" w:rsidRPr="00F81079">
        <w:rPr>
          <w:rFonts w:eastAsia="Arial"/>
        </w:rPr>
        <w:t>, foi surpreendido ao constatar três movimentações financeiras não reconheci</w:t>
      </w:r>
      <w:r w:rsidR="00265B67">
        <w:rPr>
          <w:rFonts w:eastAsia="Arial"/>
        </w:rPr>
        <w:t>das</w:t>
      </w:r>
      <w:r w:rsidR="000E3A4F">
        <w:rPr>
          <w:rFonts w:eastAsia="Arial"/>
        </w:rPr>
        <w:t>, o</w:t>
      </w:r>
      <w:r w:rsidR="00F81079">
        <w:rPr>
          <w:rFonts w:eastAsia="Arial"/>
        </w:rPr>
        <w:t xml:space="preserve"> que lhe caus</w:t>
      </w:r>
      <w:r w:rsidR="000E3A4F">
        <w:rPr>
          <w:rFonts w:eastAsia="Arial"/>
        </w:rPr>
        <w:t>ou</w:t>
      </w:r>
      <w:r w:rsidR="00F81079">
        <w:rPr>
          <w:rFonts w:eastAsia="Arial"/>
        </w:rPr>
        <w:t xml:space="preserve"> apreensão.</w:t>
      </w:r>
    </w:p>
    <w:p w14:paraId="24A1047A" w14:textId="7F0BD12E" w:rsidR="009E5FF1" w:rsidRDefault="00787568" w:rsidP="00787568">
      <w:pPr>
        <w:rPr>
          <w:rFonts w:eastAsia="Arial"/>
        </w:rPr>
      </w:pPr>
      <w:r w:rsidRPr="00787568">
        <w:rPr>
          <w:rFonts w:eastAsia="Arial"/>
        </w:rPr>
        <w:t xml:space="preserve">A primeira movimentação </w:t>
      </w:r>
      <w:r>
        <w:rPr>
          <w:rFonts w:eastAsia="Arial"/>
        </w:rPr>
        <w:t xml:space="preserve">identificada </w:t>
      </w:r>
      <w:r w:rsidR="00AA615E">
        <w:rPr>
          <w:rFonts w:eastAsia="Arial"/>
        </w:rPr>
        <w:t>pelo cônjuge</w:t>
      </w:r>
      <w:r>
        <w:rPr>
          <w:rFonts w:eastAsia="Arial"/>
        </w:rPr>
        <w:t xml:space="preserve"> consistia</w:t>
      </w:r>
      <w:r w:rsidRPr="00787568">
        <w:rPr>
          <w:rFonts w:eastAsia="Arial"/>
        </w:rPr>
        <w:t xml:space="preserve"> em um débito no valor </w:t>
      </w:r>
      <w:r>
        <w:rPr>
          <w:rFonts w:eastAsia="Arial"/>
        </w:rPr>
        <w:t>exato</w:t>
      </w:r>
      <w:r w:rsidRPr="00787568">
        <w:rPr>
          <w:rFonts w:eastAsia="Arial"/>
        </w:rPr>
        <w:t xml:space="preserve"> de R$ 100.000,00 (cem mil reais), cuja informação indicava tratar-se de uma Penhora Online Judicial vinculada ao processo </w:t>
      </w:r>
      <w:r>
        <w:rPr>
          <w:rFonts w:eastAsia="Arial"/>
        </w:rPr>
        <w:t>em que</w:t>
      </w:r>
      <w:r w:rsidRPr="00787568">
        <w:rPr>
          <w:rFonts w:eastAsia="Arial"/>
        </w:rPr>
        <w:t xml:space="preserve"> </w:t>
      </w:r>
      <w:r>
        <w:rPr>
          <w:rFonts w:eastAsia="Arial"/>
        </w:rPr>
        <w:t>sua consorte</w:t>
      </w:r>
      <w:r w:rsidR="00AA615E">
        <w:rPr>
          <w:rFonts w:eastAsia="Arial"/>
        </w:rPr>
        <w:t xml:space="preserve"> </w:t>
      </w:r>
      <w:r>
        <w:rPr>
          <w:rFonts w:eastAsia="Arial"/>
        </w:rPr>
        <w:t>era demanda</w:t>
      </w:r>
      <w:r w:rsidR="00AA615E">
        <w:rPr>
          <w:rFonts w:eastAsia="Arial"/>
        </w:rPr>
        <w:t>da</w:t>
      </w:r>
      <w:r w:rsidRPr="00787568">
        <w:rPr>
          <w:rFonts w:eastAsia="Arial"/>
        </w:rPr>
        <w:t xml:space="preserve">. </w:t>
      </w:r>
      <w:r w:rsidR="00F81079" w:rsidRPr="00F81079">
        <w:rPr>
          <w:rFonts w:eastAsia="Arial"/>
        </w:rPr>
        <w:t>Após averiguação, constatou-se que esse débito correspondia à dívida objeto da ação de exe</w:t>
      </w:r>
      <w:r w:rsidR="00F81079">
        <w:rPr>
          <w:rFonts w:eastAsia="Arial"/>
        </w:rPr>
        <w:t>cução promovida por João P</w:t>
      </w:r>
      <w:r w:rsidR="007037EB">
        <w:rPr>
          <w:rFonts w:eastAsia="Arial"/>
        </w:rPr>
        <w:t>aulo</w:t>
      </w:r>
      <w:r w:rsidR="00F81079">
        <w:rPr>
          <w:rFonts w:eastAsia="Arial"/>
        </w:rPr>
        <w:t>.</w:t>
      </w:r>
    </w:p>
    <w:p w14:paraId="67FDADA3" w14:textId="332B004F" w:rsidR="00F81079" w:rsidRPr="00F81079" w:rsidRDefault="00787568" w:rsidP="009E5FF1">
      <w:pPr>
        <w:rPr>
          <w:rFonts w:eastAsia="Arial"/>
        </w:rPr>
      </w:pPr>
      <w:r w:rsidRPr="00787568">
        <w:rPr>
          <w:rFonts w:eastAsia="Arial"/>
        </w:rPr>
        <w:t>A segunda movimentação constatada tratava-se de um débito no montante de R$ 1.000,00 (</w:t>
      </w:r>
      <w:proofErr w:type="gramStart"/>
      <w:r w:rsidRPr="00787568">
        <w:rPr>
          <w:rFonts w:eastAsia="Arial"/>
        </w:rPr>
        <w:t>um mil reais</w:t>
      </w:r>
      <w:proofErr w:type="gramEnd"/>
      <w:r w:rsidRPr="00787568">
        <w:rPr>
          <w:rFonts w:eastAsia="Arial"/>
        </w:rPr>
        <w:t xml:space="preserve">), relativo a taxas de administração da conta corrente referentes ao ano de 2017, que não haviam sido </w:t>
      </w:r>
      <w:r w:rsidR="009E5FF1">
        <w:t>debitados na época.</w:t>
      </w:r>
    </w:p>
    <w:p w14:paraId="0484CE2E" w14:textId="7D826854" w:rsidR="00F81079" w:rsidRPr="00F81079" w:rsidRDefault="00F81079" w:rsidP="009E5FF1">
      <w:pPr>
        <w:rPr>
          <w:rFonts w:eastAsia="Arial"/>
        </w:rPr>
      </w:pPr>
      <w:r w:rsidRPr="00F81079">
        <w:rPr>
          <w:rFonts w:eastAsia="Arial"/>
        </w:rPr>
        <w:t xml:space="preserve">A terceira movimentação identificada por Pedro Cartaxo foi uma transferência bancária no valor de R$ 30.000,00 (trinta mil reais), direcionada à conta bancária da mãe de Luciana. </w:t>
      </w:r>
      <w:r w:rsidR="006D625F">
        <w:rPr>
          <w:rFonts w:eastAsia="Arial"/>
        </w:rPr>
        <w:t xml:space="preserve">Ocorre que </w:t>
      </w:r>
      <w:r w:rsidRPr="00F81079">
        <w:rPr>
          <w:rFonts w:eastAsia="Arial"/>
        </w:rPr>
        <w:t>Cartaxo</w:t>
      </w:r>
      <w:r w:rsidR="006D625F">
        <w:rPr>
          <w:rFonts w:eastAsia="Arial"/>
        </w:rPr>
        <w:t xml:space="preserve"> também</w:t>
      </w:r>
      <w:r w:rsidRPr="00F81079">
        <w:rPr>
          <w:rFonts w:eastAsia="Arial"/>
        </w:rPr>
        <w:t xml:space="preserve"> não tinha conhecimento prévio dessa transferência, </w:t>
      </w:r>
      <w:r w:rsidR="006D625F">
        <w:rPr>
          <w:rFonts w:eastAsia="Arial"/>
        </w:rPr>
        <w:t xml:space="preserve">nem </w:t>
      </w:r>
      <w:r w:rsidRPr="00F81079">
        <w:rPr>
          <w:rFonts w:eastAsia="Arial"/>
        </w:rPr>
        <w:t>tampouco havia realizado qualquer solicitação ou comando para efetuá-la, seja por meio do aplicativo bancário ou pessoa</w:t>
      </w:r>
      <w:r w:rsidR="009E5FF1">
        <w:rPr>
          <w:rFonts w:eastAsia="Arial"/>
        </w:rPr>
        <w:t>lmente</w:t>
      </w:r>
      <w:r w:rsidR="006D625F">
        <w:rPr>
          <w:rFonts w:eastAsia="Arial"/>
        </w:rPr>
        <w:t xml:space="preserve">, </w:t>
      </w:r>
      <w:r w:rsidR="009E5FF1">
        <w:rPr>
          <w:rFonts w:eastAsia="Arial"/>
        </w:rPr>
        <w:t>em uma agência bancária.</w:t>
      </w:r>
    </w:p>
    <w:p w14:paraId="5CC95154" w14:textId="3850B810" w:rsidR="003D0321" w:rsidRDefault="003D0321" w:rsidP="00D86E33">
      <w:pPr>
        <w:pStyle w:val="Ttulo2"/>
        <w:numPr>
          <w:ilvl w:val="1"/>
          <w:numId w:val="11"/>
        </w:numPr>
        <w:rPr>
          <w:rFonts w:eastAsia="Arial"/>
        </w:rPr>
      </w:pPr>
      <w:r>
        <w:rPr>
          <w:rFonts w:eastAsia="Arial"/>
        </w:rPr>
        <w:lastRenderedPageBreak/>
        <w:t>Situação</w:t>
      </w:r>
      <w:r w:rsidR="004B074E">
        <w:rPr>
          <w:rFonts w:eastAsia="Arial"/>
        </w:rPr>
        <w:t>-</w:t>
      </w:r>
      <w:r>
        <w:rPr>
          <w:rFonts w:eastAsia="Arial"/>
        </w:rPr>
        <w:t>problema</w:t>
      </w:r>
    </w:p>
    <w:p w14:paraId="0D8F7137" w14:textId="59D21F76" w:rsidR="00D64913" w:rsidRPr="00F81079" w:rsidRDefault="00D64913" w:rsidP="00D64913">
      <w:pPr>
        <w:rPr>
          <w:rFonts w:eastAsia="Arial"/>
        </w:rPr>
      </w:pPr>
      <w:r w:rsidRPr="00F81079">
        <w:rPr>
          <w:rFonts w:eastAsia="Arial"/>
        </w:rPr>
        <w:t xml:space="preserve">Diante dessa conjuntura, Pedro decidiu </w:t>
      </w:r>
      <w:r w:rsidR="006254FA">
        <w:rPr>
          <w:rFonts w:eastAsia="Arial"/>
        </w:rPr>
        <w:t xml:space="preserve">buscar </w:t>
      </w:r>
      <w:r w:rsidRPr="00F81079">
        <w:rPr>
          <w:rFonts w:eastAsia="Arial"/>
        </w:rPr>
        <w:t>medidas legais para solucionar a situação. Inicialmente, apresentou uma impugnação administrativa junto ao banco</w:t>
      </w:r>
      <w:r w:rsidR="00F4521F">
        <w:rPr>
          <w:rFonts w:eastAsia="Arial"/>
        </w:rPr>
        <w:t xml:space="preserve">, </w:t>
      </w:r>
      <w:r w:rsidRPr="00F81079">
        <w:rPr>
          <w:rFonts w:eastAsia="Arial"/>
        </w:rPr>
        <w:t>requerendo o estorno das tarifas bancárias no valor de</w:t>
      </w:r>
      <w:r w:rsidR="006254FA">
        <w:rPr>
          <w:rFonts w:eastAsia="Arial"/>
        </w:rPr>
        <w:t xml:space="preserve"> um mil reais</w:t>
      </w:r>
      <w:r w:rsidRPr="00F81079">
        <w:rPr>
          <w:rFonts w:eastAsia="Arial"/>
        </w:rPr>
        <w:t xml:space="preserve">, alegando que na época em que </w:t>
      </w:r>
      <w:r w:rsidR="0019459A">
        <w:rPr>
          <w:rFonts w:eastAsia="Arial"/>
        </w:rPr>
        <w:t>es</w:t>
      </w:r>
      <w:r w:rsidR="006254FA">
        <w:rPr>
          <w:rFonts w:eastAsia="Arial"/>
        </w:rPr>
        <w:t>s</w:t>
      </w:r>
      <w:r w:rsidR="0019459A">
        <w:rPr>
          <w:rFonts w:eastAsia="Arial"/>
        </w:rPr>
        <w:t>as eram devidas</w:t>
      </w:r>
      <w:r w:rsidRPr="00F81079">
        <w:rPr>
          <w:rFonts w:eastAsia="Arial"/>
        </w:rPr>
        <w:t xml:space="preserve">, apenas sua esposa tinha acesso e gerenciava a conta corrente, </w:t>
      </w:r>
      <w:r w:rsidR="00F4521F">
        <w:rPr>
          <w:rFonts w:eastAsia="Arial"/>
        </w:rPr>
        <w:t>motivo pelo qual</w:t>
      </w:r>
      <w:r w:rsidR="006254FA">
        <w:rPr>
          <w:rFonts w:eastAsia="Arial"/>
        </w:rPr>
        <w:t xml:space="preserve"> ele</w:t>
      </w:r>
      <w:r w:rsidRPr="00F81079">
        <w:rPr>
          <w:rFonts w:eastAsia="Arial"/>
        </w:rPr>
        <w:t xml:space="preserve"> não poderia ser r</w:t>
      </w:r>
      <w:r>
        <w:rPr>
          <w:rFonts w:eastAsia="Arial"/>
        </w:rPr>
        <w:t xml:space="preserve">esponsabilizado por tais </w:t>
      </w:r>
      <w:r w:rsidR="0019459A">
        <w:rPr>
          <w:rFonts w:eastAsia="Arial"/>
        </w:rPr>
        <w:t>encargos</w:t>
      </w:r>
      <w:r>
        <w:rPr>
          <w:rFonts w:eastAsia="Arial"/>
        </w:rPr>
        <w:t>.</w:t>
      </w:r>
      <w:r w:rsidR="0077046B">
        <w:rPr>
          <w:rFonts w:eastAsia="Arial"/>
        </w:rPr>
        <w:t xml:space="preserve"> </w:t>
      </w:r>
      <w:r w:rsidR="0077046B" w:rsidRPr="0077046B">
        <w:rPr>
          <w:rFonts w:eastAsia="Arial"/>
        </w:rPr>
        <w:t>O banco negou o pedido, afirmando que a conta é solidária.</w:t>
      </w:r>
    </w:p>
    <w:p w14:paraId="52F6F29E" w14:textId="0C912FD2" w:rsidR="00D64913" w:rsidRPr="00F81079" w:rsidRDefault="00D64913" w:rsidP="00D64913">
      <w:pPr>
        <w:rPr>
          <w:rFonts w:eastAsia="Arial"/>
        </w:rPr>
      </w:pPr>
      <w:r w:rsidRPr="00F81079">
        <w:rPr>
          <w:rFonts w:eastAsia="Arial"/>
        </w:rPr>
        <w:t xml:space="preserve">Além disso, </w:t>
      </w:r>
      <w:r w:rsidR="00F4521F">
        <w:rPr>
          <w:rFonts w:eastAsia="Arial"/>
        </w:rPr>
        <w:t>também</w:t>
      </w:r>
      <w:r w:rsidRPr="00F81079">
        <w:rPr>
          <w:rFonts w:eastAsia="Arial"/>
        </w:rPr>
        <w:t xml:space="preserve"> solicitou ao banco o estorno da transferência </w:t>
      </w:r>
      <w:r w:rsidR="00F4521F">
        <w:rPr>
          <w:rFonts w:eastAsia="Arial"/>
        </w:rPr>
        <w:t>no valor de trinta mil reais</w:t>
      </w:r>
      <w:r w:rsidRPr="00F81079">
        <w:rPr>
          <w:rFonts w:eastAsia="Arial"/>
        </w:rPr>
        <w:t>, alegando que não havia autorizado nem realizado qualquer comando para a referida transação</w:t>
      </w:r>
      <w:r w:rsidR="00F4521F">
        <w:rPr>
          <w:rFonts w:eastAsia="Arial"/>
        </w:rPr>
        <w:t>. O</w:t>
      </w:r>
      <w:r w:rsidRPr="00F81079">
        <w:rPr>
          <w:rFonts w:eastAsia="Arial"/>
        </w:rPr>
        <w:t xml:space="preserve"> banco</w:t>
      </w:r>
      <w:r w:rsidR="00F4521F">
        <w:rPr>
          <w:rFonts w:eastAsia="Arial"/>
        </w:rPr>
        <w:t>, por sua vez,</w:t>
      </w:r>
      <w:r w:rsidRPr="00F81079">
        <w:rPr>
          <w:rFonts w:eastAsia="Arial"/>
        </w:rPr>
        <w:t xml:space="preserve"> negou o pedido de estorno, informando que Luciana Silva havia feito uma solicitação verbal para a tran</w:t>
      </w:r>
      <w:r>
        <w:rPr>
          <w:rFonts w:eastAsia="Arial"/>
        </w:rPr>
        <w:t>sferência do montante.</w:t>
      </w:r>
    </w:p>
    <w:p w14:paraId="66745D03" w14:textId="6C03796C" w:rsidR="00D64913" w:rsidRPr="00F81079" w:rsidRDefault="00D64913" w:rsidP="0077046B">
      <w:pPr>
        <w:rPr>
          <w:rFonts w:eastAsia="Arial"/>
        </w:rPr>
      </w:pPr>
      <w:r w:rsidRPr="00F81079">
        <w:rPr>
          <w:rFonts w:eastAsia="Arial"/>
        </w:rPr>
        <w:t xml:space="preserve">Inconformado com os acontecimentos e insatisfeito com </w:t>
      </w:r>
      <w:r w:rsidR="0077046B">
        <w:rPr>
          <w:rFonts w:eastAsia="Arial"/>
        </w:rPr>
        <w:t>t</w:t>
      </w:r>
      <w:r w:rsidRPr="00F81079">
        <w:rPr>
          <w:rFonts w:eastAsia="Arial"/>
        </w:rPr>
        <w:t>a</w:t>
      </w:r>
      <w:r w:rsidR="0077046B">
        <w:rPr>
          <w:rFonts w:eastAsia="Arial"/>
        </w:rPr>
        <w:t>i</w:t>
      </w:r>
      <w:r w:rsidRPr="00F81079">
        <w:rPr>
          <w:rFonts w:eastAsia="Arial"/>
        </w:rPr>
        <w:t xml:space="preserve">s </w:t>
      </w:r>
      <w:r w:rsidR="0077046B">
        <w:rPr>
          <w:rFonts w:eastAsia="Arial"/>
        </w:rPr>
        <w:t>negativas</w:t>
      </w:r>
      <w:r w:rsidRPr="00F81079">
        <w:rPr>
          <w:rFonts w:eastAsia="Arial"/>
        </w:rPr>
        <w:t>, Pedro Cartaxo</w:t>
      </w:r>
      <w:r w:rsidR="00A321E7">
        <w:rPr>
          <w:rFonts w:eastAsia="Arial"/>
        </w:rPr>
        <w:t xml:space="preserve"> decidiu buscar a via judicial</w:t>
      </w:r>
      <w:r w:rsidR="0077046B">
        <w:rPr>
          <w:rFonts w:eastAsia="Arial"/>
        </w:rPr>
        <w:t xml:space="preserve">, ocasião em que se utilizou da </w:t>
      </w:r>
      <w:r w:rsidR="0077046B" w:rsidRPr="00F81079">
        <w:rPr>
          <w:rFonts w:eastAsia="Arial"/>
        </w:rPr>
        <w:t>mesm</w:t>
      </w:r>
      <w:r w:rsidR="0077046B">
        <w:rPr>
          <w:rFonts w:eastAsia="Arial"/>
        </w:rPr>
        <w:t xml:space="preserve">a fundamentação apresentada </w:t>
      </w:r>
      <w:r w:rsidR="0077046B" w:rsidRPr="00F81079">
        <w:rPr>
          <w:rFonts w:eastAsia="Arial"/>
        </w:rPr>
        <w:t>na reclamação administrativa</w:t>
      </w:r>
      <w:r w:rsidR="0077046B">
        <w:rPr>
          <w:rFonts w:eastAsia="Arial"/>
        </w:rPr>
        <w:t xml:space="preserve">, qual seja, a de </w:t>
      </w:r>
      <w:r w:rsidR="0077046B" w:rsidRPr="00F81079">
        <w:rPr>
          <w:rFonts w:eastAsia="Arial"/>
        </w:rPr>
        <w:t>que não era responsável pelas refer</w:t>
      </w:r>
      <w:r w:rsidR="0077046B">
        <w:rPr>
          <w:rFonts w:eastAsia="Arial"/>
        </w:rPr>
        <w:t>idas movimentações financeiras</w:t>
      </w:r>
      <w:r w:rsidR="00A321E7">
        <w:rPr>
          <w:rFonts w:eastAsia="Arial"/>
        </w:rPr>
        <w:t>.</w:t>
      </w:r>
      <w:r w:rsidR="0077046B">
        <w:rPr>
          <w:rFonts w:eastAsia="Arial"/>
        </w:rPr>
        <w:t xml:space="preserve"> </w:t>
      </w:r>
      <w:r w:rsidR="0019459A">
        <w:rPr>
          <w:rFonts w:eastAsia="Arial"/>
        </w:rPr>
        <w:t>Nesse contexto, foram ajuizadas</w:t>
      </w:r>
      <w:r w:rsidRPr="00F81079">
        <w:rPr>
          <w:rFonts w:eastAsia="Arial"/>
        </w:rPr>
        <w:t xml:space="preserve"> duas ações</w:t>
      </w:r>
      <w:r w:rsidR="0019459A">
        <w:rPr>
          <w:rFonts w:eastAsia="Arial"/>
        </w:rPr>
        <w:t xml:space="preserve"> para reaver os valores debitados da conta </w:t>
      </w:r>
      <w:r w:rsidR="0077046B">
        <w:rPr>
          <w:rFonts w:eastAsia="Arial"/>
        </w:rPr>
        <w:t>conjunta:</w:t>
      </w:r>
      <w:r w:rsidRPr="00F81079">
        <w:rPr>
          <w:rFonts w:eastAsia="Arial"/>
        </w:rPr>
        <w:t xml:space="preserve"> </w:t>
      </w:r>
      <w:r w:rsidR="00AB75B0">
        <w:rPr>
          <w:rFonts w:eastAsia="Arial"/>
        </w:rPr>
        <w:t>a primeira</w:t>
      </w:r>
      <w:r w:rsidRPr="00F81079">
        <w:rPr>
          <w:rFonts w:eastAsia="Arial"/>
        </w:rPr>
        <w:t xml:space="preserve"> referente </w:t>
      </w:r>
      <w:r w:rsidR="0077046B">
        <w:rPr>
          <w:rFonts w:eastAsia="Arial"/>
        </w:rPr>
        <w:t xml:space="preserve">à cobrança de </w:t>
      </w:r>
      <w:r w:rsidRPr="00F81079">
        <w:rPr>
          <w:rFonts w:eastAsia="Arial"/>
        </w:rPr>
        <w:t xml:space="preserve">taxas bancárias </w:t>
      </w:r>
      <w:r w:rsidR="0077046B">
        <w:rPr>
          <w:rFonts w:eastAsia="Arial"/>
        </w:rPr>
        <w:t xml:space="preserve">no valor de </w:t>
      </w:r>
      <w:proofErr w:type="gramStart"/>
      <w:r w:rsidR="0077046B">
        <w:rPr>
          <w:rFonts w:eastAsia="Arial"/>
        </w:rPr>
        <w:t>um mil reais</w:t>
      </w:r>
      <w:proofErr w:type="gramEnd"/>
      <w:r w:rsidR="0077046B">
        <w:rPr>
          <w:rFonts w:eastAsia="Arial"/>
        </w:rPr>
        <w:t xml:space="preserve"> </w:t>
      </w:r>
      <w:r w:rsidRPr="00F81079">
        <w:rPr>
          <w:rFonts w:eastAsia="Arial"/>
        </w:rPr>
        <w:t xml:space="preserve">e </w:t>
      </w:r>
      <w:r w:rsidR="0077046B">
        <w:rPr>
          <w:rFonts w:eastAsia="Arial"/>
        </w:rPr>
        <w:t xml:space="preserve">a segunda referente à transferência não autorizada no </w:t>
      </w:r>
      <w:r w:rsidRPr="00F81079">
        <w:rPr>
          <w:rFonts w:eastAsia="Arial"/>
        </w:rPr>
        <w:t>valor de</w:t>
      </w:r>
      <w:r w:rsidR="0077046B">
        <w:rPr>
          <w:rFonts w:eastAsia="Arial"/>
        </w:rPr>
        <w:t xml:space="preserve"> trinta mil reais.</w:t>
      </w:r>
    </w:p>
    <w:p w14:paraId="2FE4188D" w14:textId="7A83E108" w:rsidR="00FC320E" w:rsidRDefault="00737E12" w:rsidP="003A1D49">
      <w:pPr>
        <w:rPr>
          <w:rFonts w:eastAsia="Arial"/>
        </w:rPr>
      </w:pPr>
      <w:r>
        <w:rPr>
          <w:rFonts w:eastAsia="Arial"/>
        </w:rPr>
        <w:t xml:space="preserve">Outrossim, </w:t>
      </w:r>
      <w:r w:rsidR="00D64913" w:rsidRPr="00F81079">
        <w:rPr>
          <w:rFonts w:eastAsia="Arial"/>
        </w:rPr>
        <w:t xml:space="preserve">Cartaxo </w:t>
      </w:r>
      <w:r w:rsidR="0019459A">
        <w:rPr>
          <w:rFonts w:eastAsia="Arial"/>
        </w:rPr>
        <w:t>apresentou embargos de terceiro</w:t>
      </w:r>
      <w:r w:rsidR="00572EAF">
        <w:rPr>
          <w:rFonts w:eastAsia="Arial"/>
        </w:rPr>
        <w:t xml:space="preserve">, no fito de </w:t>
      </w:r>
      <w:r w:rsidR="0019459A">
        <w:rPr>
          <w:rFonts w:eastAsia="Arial"/>
        </w:rPr>
        <w:t>evitar que</w:t>
      </w:r>
      <w:r w:rsidR="00D64913" w:rsidRPr="00F81079">
        <w:rPr>
          <w:rFonts w:eastAsia="Arial"/>
        </w:rPr>
        <w:t xml:space="preserve"> o valor penhorado fosse transferido para o credor, João Pedro. Nessa ação, </w:t>
      </w:r>
      <w:r w:rsidR="00572EAF">
        <w:rPr>
          <w:rFonts w:eastAsia="Arial"/>
        </w:rPr>
        <w:t>aquele primeiro</w:t>
      </w:r>
      <w:r w:rsidR="00D64913" w:rsidRPr="00F81079">
        <w:rPr>
          <w:rFonts w:eastAsia="Arial"/>
        </w:rPr>
        <w:t xml:space="preserve"> alegou que o dinheiro penhorado pertencia exclusivamente a ele, mesmo sendo mantido em uma conta bancária conjunta solidária com sua esposa, pois correspondia exatamente ao valor que ele havia recebido pela venda de um</w:t>
      </w:r>
      <w:r w:rsidR="00A321E7">
        <w:rPr>
          <w:rFonts w:eastAsia="Arial"/>
        </w:rPr>
        <w:t xml:space="preserve"> veículo para Fernando </w:t>
      </w:r>
      <w:proofErr w:type="spellStart"/>
      <w:r w:rsidR="00A321E7">
        <w:rPr>
          <w:rFonts w:eastAsia="Arial"/>
        </w:rPr>
        <w:t>Pedroza</w:t>
      </w:r>
      <w:proofErr w:type="spellEnd"/>
      <w:r w:rsidR="00A321E7">
        <w:rPr>
          <w:rFonts w:eastAsia="Arial"/>
        </w:rPr>
        <w:t xml:space="preserve">. </w:t>
      </w:r>
      <w:r w:rsidR="00D64913" w:rsidRPr="00F81079">
        <w:rPr>
          <w:rFonts w:eastAsia="Arial"/>
        </w:rPr>
        <w:t xml:space="preserve">No entanto, não apresentou </w:t>
      </w:r>
      <w:r w:rsidR="00572EAF">
        <w:rPr>
          <w:rFonts w:eastAsia="Arial"/>
        </w:rPr>
        <w:t xml:space="preserve">qualquer </w:t>
      </w:r>
      <w:r w:rsidR="00D64913" w:rsidRPr="00F81079">
        <w:rPr>
          <w:rFonts w:eastAsia="Arial"/>
        </w:rPr>
        <w:t xml:space="preserve">comprovação documental da venda mencionada. </w:t>
      </w:r>
      <w:r w:rsidR="00572EAF">
        <w:rPr>
          <w:rFonts w:eastAsia="Arial"/>
        </w:rPr>
        <w:t>Por fim, e</w:t>
      </w:r>
      <w:r w:rsidR="00AB75B0">
        <w:rPr>
          <w:rFonts w:eastAsia="Arial"/>
        </w:rPr>
        <w:t>m sede de pedido</w:t>
      </w:r>
      <w:r w:rsidR="00AB75B0" w:rsidRPr="00AB75B0">
        <w:rPr>
          <w:rFonts w:eastAsia="Arial"/>
        </w:rPr>
        <w:t>, requereu-se a liberação integral do valor bloqueado na conta corrente.</w:t>
      </w:r>
    </w:p>
    <w:p w14:paraId="331322CB" w14:textId="77D9B1BB" w:rsidR="00DD4BF6" w:rsidRDefault="00D86E33" w:rsidP="00291762">
      <w:pPr>
        <w:pStyle w:val="Ttulo1"/>
        <w:rPr>
          <w:rFonts w:eastAsia="Arial"/>
        </w:rPr>
      </w:pPr>
      <w:r>
        <w:rPr>
          <w:rFonts w:eastAsia="Arial"/>
        </w:rPr>
        <w:t xml:space="preserve">2 </w:t>
      </w:r>
      <w:r w:rsidR="00DD4BF6">
        <w:rPr>
          <w:rFonts w:eastAsia="Arial"/>
        </w:rPr>
        <w:t>NOTAS DE ENSINO</w:t>
      </w:r>
    </w:p>
    <w:p w14:paraId="7A15AF0F" w14:textId="1FCCC171" w:rsidR="00FE762C" w:rsidRDefault="004E3CC5" w:rsidP="00E910F2">
      <w:pPr>
        <w:rPr>
          <w:rFonts w:eastAsia="Arial"/>
        </w:rPr>
      </w:pPr>
      <w:r>
        <w:rPr>
          <w:rFonts w:eastAsia="Arial"/>
        </w:rPr>
        <w:t xml:space="preserve">Esta seção destina-se a indicar notas para aplicação do caso proposto em </w:t>
      </w:r>
      <w:r w:rsidR="0019459A" w:rsidRPr="0019459A">
        <w:rPr>
          <w:rFonts w:eastAsia="Arial"/>
        </w:rPr>
        <w:t xml:space="preserve">ambiente educacional, </w:t>
      </w:r>
      <w:r>
        <w:rPr>
          <w:rFonts w:eastAsia="Arial"/>
        </w:rPr>
        <w:t>especificamente para p</w:t>
      </w:r>
      <w:r w:rsidR="0019459A" w:rsidRPr="0019459A">
        <w:rPr>
          <w:rFonts w:eastAsia="Arial"/>
        </w:rPr>
        <w:t>rofessor e seus monitores</w:t>
      </w:r>
      <w:r w:rsidR="005954C6">
        <w:rPr>
          <w:rFonts w:eastAsia="Arial"/>
        </w:rPr>
        <w:t xml:space="preserve"> ou tutores</w:t>
      </w:r>
      <w:r w:rsidR="0019459A" w:rsidRPr="0019459A">
        <w:rPr>
          <w:rFonts w:eastAsia="Arial"/>
        </w:rPr>
        <w:t>.</w:t>
      </w:r>
      <w:r w:rsidR="00E910F2">
        <w:rPr>
          <w:rFonts w:eastAsia="Arial"/>
        </w:rPr>
        <w:t xml:space="preserve"> Pois bem. </w:t>
      </w:r>
      <w:r w:rsidR="000563D2">
        <w:rPr>
          <w:rFonts w:eastAsia="Arial"/>
        </w:rPr>
        <w:t>O caso</w:t>
      </w:r>
      <w:r w:rsidR="00934D34">
        <w:rPr>
          <w:rFonts w:eastAsia="Arial"/>
        </w:rPr>
        <w:t xml:space="preserve"> para ensino </w:t>
      </w:r>
      <w:r w:rsidR="000563D2">
        <w:rPr>
          <w:rFonts w:eastAsia="Arial"/>
        </w:rPr>
        <w:t>consiste em</w:t>
      </w:r>
      <w:r w:rsidR="000563D2" w:rsidRPr="000563D2">
        <w:rPr>
          <w:rFonts w:eastAsia="Arial"/>
        </w:rPr>
        <w:t xml:space="preserve"> uma abordagem pedagógica que compreende um relato </w:t>
      </w:r>
      <w:r w:rsidR="000563D2">
        <w:rPr>
          <w:rFonts w:eastAsia="Arial"/>
        </w:rPr>
        <w:t>detalhado</w:t>
      </w:r>
      <w:r w:rsidR="000563D2" w:rsidRPr="000563D2">
        <w:rPr>
          <w:rFonts w:eastAsia="Arial"/>
        </w:rPr>
        <w:t xml:space="preserve"> de uma situação vivenciada </w:t>
      </w:r>
      <w:r w:rsidR="000563D2">
        <w:rPr>
          <w:rFonts w:eastAsia="Arial"/>
        </w:rPr>
        <w:t>no cotidiano</w:t>
      </w:r>
      <w:r w:rsidR="000563D2" w:rsidRPr="000563D2">
        <w:rPr>
          <w:rFonts w:eastAsia="Arial"/>
        </w:rPr>
        <w:t>, ou ainda um projeto específico de nat</w:t>
      </w:r>
      <w:r w:rsidR="000563D2">
        <w:rPr>
          <w:rFonts w:eastAsia="Arial"/>
        </w:rPr>
        <w:t>ureza prática e/ou social</w:t>
      </w:r>
      <w:r w:rsidR="00FE762C">
        <w:rPr>
          <w:rFonts w:eastAsia="Arial"/>
        </w:rPr>
        <w:t xml:space="preserve"> com o escopo de estimular o pensamento crítico e fomentar um aprendizado significativo entre os estudantes (ALBERTON</w:t>
      </w:r>
      <w:r w:rsidR="00E910F2">
        <w:rPr>
          <w:rFonts w:eastAsia="Arial"/>
        </w:rPr>
        <w:t xml:space="preserve"> e</w:t>
      </w:r>
      <w:r w:rsidR="00FE762C">
        <w:rPr>
          <w:rFonts w:eastAsia="Arial"/>
        </w:rPr>
        <w:t xml:space="preserve"> SILVA, 2018</w:t>
      </w:r>
      <w:r w:rsidR="00FE762C">
        <w:t>)</w:t>
      </w:r>
      <w:r w:rsidR="000563D2">
        <w:rPr>
          <w:rFonts w:eastAsia="Arial"/>
        </w:rPr>
        <w:t xml:space="preserve">. </w:t>
      </w:r>
    </w:p>
    <w:p w14:paraId="5953E212" w14:textId="0312BE1F" w:rsidR="00FE762C" w:rsidRPr="00E910F2" w:rsidRDefault="006E002A" w:rsidP="00E910F2">
      <w:pPr>
        <w:rPr>
          <w:rFonts w:eastAsia="Arial" w:cs="Times New Roman"/>
        </w:rPr>
      </w:pPr>
      <w:r>
        <w:rPr>
          <w:rFonts w:eastAsia="Arial" w:cs="Times New Roman"/>
        </w:rPr>
        <w:lastRenderedPageBreak/>
        <w:t xml:space="preserve"> </w:t>
      </w:r>
      <w:r w:rsidR="00C970D7">
        <w:rPr>
          <w:rFonts w:eastAsia="Arial" w:cs="Times New Roman"/>
        </w:rPr>
        <w:t>A</w:t>
      </w:r>
      <w:r>
        <w:rPr>
          <w:rFonts w:eastAsia="Arial" w:cs="Times New Roman"/>
        </w:rPr>
        <w:t xml:space="preserve"> utilização dessa metodologia</w:t>
      </w:r>
      <w:r w:rsidR="00E910F2">
        <w:rPr>
          <w:rFonts w:eastAsia="Arial" w:cs="Times New Roman"/>
        </w:rPr>
        <w:t xml:space="preserve">, </w:t>
      </w:r>
      <w:r>
        <w:rPr>
          <w:rFonts w:eastAsia="Arial" w:cs="Times New Roman"/>
        </w:rPr>
        <w:t>além de estimular a aprendizagem</w:t>
      </w:r>
      <w:r w:rsidR="00E910F2">
        <w:rPr>
          <w:rFonts w:eastAsia="Arial" w:cs="Times New Roman"/>
        </w:rPr>
        <w:t xml:space="preserve">, uma vez que se trata de </w:t>
      </w:r>
      <w:r>
        <w:rPr>
          <w:rFonts w:eastAsia="Arial" w:cs="Times New Roman"/>
        </w:rPr>
        <w:t>casos essencialmente didáticos, também auxilia os estudantes a problematizarem</w:t>
      </w:r>
      <w:r w:rsidR="00E910F2">
        <w:rPr>
          <w:rFonts w:eastAsia="Arial" w:cs="Times New Roman"/>
        </w:rPr>
        <w:t xml:space="preserve"> sua própria realidade</w:t>
      </w:r>
      <w:r>
        <w:rPr>
          <w:rFonts w:eastAsia="Arial" w:cs="Times New Roman"/>
        </w:rPr>
        <w:t>, po</w:t>
      </w:r>
      <w:r w:rsidR="00E910F2">
        <w:rPr>
          <w:rFonts w:eastAsia="Arial" w:cs="Times New Roman"/>
        </w:rPr>
        <w:t xml:space="preserve">sto que, </w:t>
      </w:r>
      <w:r>
        <w:rPr>
          <w:rFonts w:eastAsia="Arial" w:cs="Times New Roman"/>
        </w:rPr>
        <w:t>d</w:t>
      </w:r>
      <w:r w:rsidR="00063DDD">
        <w:rPr>
          <w:rFonts w:eastAsia="Arial" w:cs="Times New Roman"/>
        </w:rPr>
        <w:t>esde logo</w:t>
      </w:r>
      <w:r w:rsidR="00E910F2">
        <w:rPr>
          <w:rFonts w:eastAsia="Arial" w:cs="Times New Roman"/>
        </w:rPr>
        <w:t>,</w:t>
      </w:r>
      <w:r w:rsidR="00063DDD">
        <w:rPr>
          <w:rFonts w:eastAsia="Arial" w:cs="Times New Roman"/>
        </w:rPr>
        <w:t xml:space="preserve"> coloca</w:t>
      </w:r>
      <w:r w:rsidR="00E910F2">
        <w:rPr>
          <w:rFonts w:eastAsia="Arial" w:cs="Times New Roman"/>
        </w:rPr>
        <w:t>-se</w:t>
      </w:r>
      <w:r w:rsidR="00063DDD">
        <w:rPr>
          <w:rFonts w:eastAsia="Arial" w:cs="Times New Roman"/>
        </w:rPr>
        <w:t xml:space="preserve"> o aluno </w:t>
      </w:r>
      <w:r w:rsidR="00E910F2">
        <w:rPr>
          <w:rFonts w:eastAsia="Arial" w:cs="Times New Roman"/>
        </w:rPr>
        <w:t>na posição</w:t>
      </w:r>
      <w:r w:rsidR="00063DDD" w:rsidRPr="00063DDD">
        <w:rPr>
          <w:rFonts w:eastAsia="Arial" w:cs="Times New Roman"/>
        </w:rPr>
        <w:t xml:space="preserve"> de um </w:t>
      </w:r>
      <w:proofErr w:type="spellStart"/>
      <w:r w:rsidR="00063DDD" w:rsidRPr="00063DDD">
        <w:rPr>
          <w:rFonts w:eastAsia="Arial" w:cs="Times New Roman"/>
        </w:rPr>
        <w:t>decisor</w:t>
      </w:r>
      <w:proofErr w:type="spellEnd"/>
      <w:r w:rsidR="00063DDD" w:rsidRPr="00063DDD">
        <w:rPr>
          <w:rFonts w:eastAsia="Arial" w:cs="Times New Roman"/>
        </w:rPr>
        <w:t xml:space="preserve"> real em uma situação real (</w:t>
      </w:r>
      <w:r w:rsidR="00063DDD" w:rsidRPr="00063DDD">
        <w:rPr>
          <w:rFonts w:cs="Times New Roman"/>
          <w:color w:val="222222"/>
          <w:shd w:val="clear" w:color="auto" w:fill="FFFFFF"/>
        </w:rPr>
        <w:t>RODRIGUES</w:t>
      </w:r>
      <w:r w:rsidR="00E910F2">
        <w:rPr>
          <w:rFonts w:cs="Times New Roman"/>
          <w:color w:val="222222"/>
          <w:shd w:val="clear" w:color="auto" w:fill="FFFFFF"/>
        </w:rPr>
        <w:t xml:space="preserve"> e</w:t>
      </w:r>
      <w:r w:rsidR="00063DDD" w:rsidRPr="00063DDD">
        <w:rPr>
          <w:rFonts w:cs="Times New Roman"/>
          <w:color w:val="222222"/>
          <w:shd w:val="clear" w:color="auto" w:fill="FFFFFF"/>
        </w:rPr>
        <w:t xml:space="preserve"> BORGES, 2016)</w:t>
      </w:r>
      <w:r w:rsidR="00E910F2">
        <w:rPr>
          <w:rFonts w:cs="Times New Roman"/>
          <w:color w:val="222222"/>
          <w:shd w:val="clear" w:color="auto" w:fill="FFFFFF"/>
        </w:rPr>
        <w:t>.</w:t>
      </w:r>
      <w:r w:rsidR="00E910F2">
        <w:rPr>
          <w:rFonts w:eastAsia="Arial" w:cs="Times New Roman"/>
        </w:rPr>
        <w:t xml:space="preserve"> </w:t>
      </w:r>
      <w:r w:rsidR="000563D2" w:rsidRPr="00063DDD">
        <w:rPr>
          <w:rFonts w:eastAsia="Arial" w:cs="Times New Roman"/>
        </w:rPr>
        <w:t>Essa estratégia proporciona aos discentes a oportunidade de integrar conhecimentos teóricos na resolução de problemas reais</w:t>
      </w:r>
      <w:r w:rsidR="000563D2" w:rsidRPr="000563D2">
        <w:rPr>
          <w:rFonts w:eastAsia="Arial"/>
        </w:rPr>
        <w:t>, ao mesmo tempo que desenvolvem habilidades práticas e de tomada de decisão</w:t>
      </w:r>
      <w:r w:rsidR="00E910F2">
        <w:rPr>
          <w:rFonts w:eastAsia="Arial"/>
        </w:rPr>
        <w:t>.</w:t>
      </w:r>
    </w:p>
    <w:p w14:paraId="158C5B3E" w14:textId="7126E2E3" w:rsidR="00FE762C" w:rsidRDefault="00E910F2" w:rsidP="00FE762C">
      <w:pPr>
        <w:rPr>
          <w:rFonts w:eastAsia="Arial"/>
        </w:rPr>
      </w:pPr>
      <w:r>
        <w:rPr>
          <w:rFonts w:eastAsia="Arial"/>
        </w:rPr>
        <w:t>Para Chang (2003), a</w:t>
      </w:r>
      <w:r w:rsidR="00FE762C" w:rsidRPr="00FE762C">
        <w:rPr>
          <w:rFonts w:eastAsia="Arial"/>
        </w:rPr>
        <w:t xml:space="preserve"> aprendizagem em ação, como base para compreender o potencial de contribuição dos casos nos processos de ensino, oferece várias possibilidades</w:t>
      </w:r>
      <w:r w:rsidR="00FA4A23">
        <w:rPr>
          <w:rFonts w:eastAsia="Arial"/>
        </w:rPr>
        <w:t>, tais como</w:t>
      </w:r>
      <w:r w:rsidR="00FE762C" w:rsidRPr="00FE762C">
        <w:rPr>
          <w:rFonts w:eastAsia="Arial"/>
        </w:rPr>
        <w:t>: (</w:t>
      </w:r>
      <w:r w:rsidR="00FA4A23">
        <w:rPr>
          <w:rFonts w:eastAsia="Arial"/>
        </w:rPr>
        <w:t>i</w:t>
      </w:r>
      <w:r w:rsidR="00FE762C" w:rsidRPr="00FE762C">
        <w:rPr>
          <w:rFonts w:eastAsia="Arial"/>
        </w:rPr>
        <w:t xml:space="preserve">) </w:t>
      </w:r>
      <w:r w:rsidR="00FE762C">
        <w:rPr>
          <w:rFonts w:eastAsia="Arial"/>
        </w:rPr>
        <w:t>a</w:t>
      </w:r>
      <w:r w:rsidR="00FE762C" w:rsidRPr="00FE762C">
        <w:rPr>
          <w:rFonts w:eastAsia="Arial"/>
        </w:rPr>
        <w:t>mpliar a compreensão da realidade organizacional, bem como das dimensões políticas e culturais da mudança;</w:t>
      </w:r>
      <w:r w:rsidR="00FE762C">
        <w:rPr>
          <w:rFonts w:eastAsia="Arial"/>
        </w:rPr>
        <w:t xml:space="preserve"> </w:t>
      </w:r>
      <w:r w:rsidR="00FE762C" w:rsidRPr="00FE762C">
        <w:rPr>
          <w:rFonts w:eastAsia="Arial"/>
        </w:rPr>
        <w:t>(</w:t>
      </w:r>
      <w:proofErr w:type="spellStart"/>
      <w:r w:rsidR="00FA4A23">
        <w:rPr>
          <w:rFonts w:eastAsia="Arial"/>
        </w:rPr>
        <w:t>ii</w:t>
      </w:r>
      <w:proofErr w:type="spellEnd"/>
      <w:r w:rsidR="00FE762C" w:rsidRPr="00FE762C">
        <w:rPr>
          <w:rFonts w:eastAsia="Arial"/>
        </w:rPr>
        <w:t xml:space="preserve">) </w:t>
      </w:r>
      <w:r w:rsidR="00FE762C">
        <w:rPr>
          <w:rFonts w:eastAsia="Arial"/>
        </w:rPr>
        <w:t>d</w:t>
      </w:r>
      <w:r w:rsidR="00FE762C" w:rsidRPr="00FE762C">
        <w:rPr>
          <w:rFonts w:eastAsia="Arial"/>
        </w:rPr>
        <w:t xml:space="preserve">esenvolver </w:t>
      </w:r>
      <w:r w:rsidR="00FE762C" w:rsidRPr="00FE762C">
        <w:rPr>
          <w:rFonts w:eastAsia="Arial"/>
          <w:i/>
        </w:rPr>
        <w:t>insights</w:t>
      </w:r>
      <w:r w:rsidR="00FE762C" w:rsidRPr="00FE762C">
        <w:rPr>
          <w:rFonts w:eastAsia="Arial"/>
        </w:rPr>
        <w:t xml:space="preserve"> sobre a aplicação ou falta de aplicação de conceitos e teorias na prática;</w:t>
      </w:r>
      <w:r w:rsidR="00FE762C">
        <w:rPr>
          <w:rFonts w:eastAsia="Arial"/>
        </w:rPr>
        <w:t xml:space="preserve"> (</w:t>
      </w:r>
      <w:proofErr w:type="spellStart"/>
      <w:r w:rsidR="00FA4A23">
        <w:rPr>
          <w:rFonts w:eastAsia="Arial"/>
        </w:rPr>
        <w:t>iii</w:t>
      </w:r>
      <w:proofErr w:type="spellEnd"/>
      <w:r w:rsidR="00FE762C">
        <w:rPr>
          <w:rFonts w:eastAsia="Arial"/>
        </w:rPr>
        <w:t>) p</w:t>
      </w:r>
      <w:r w:rsidR="00FE762C" w:rsidRPr="00FE762C">
        <w:rPr>
          <w:rFonts w:eastAsia="Arial"/>
        </w:rPr>
        <w:t>romover reflexão crítica em relação aos pressupostos individuais e crenças que orientam a prática;</w:t>
      </w:r>
      <w:r w:rsidR="00FE762C">
        <w:rPr>
          <w:rFonts w:eastAsia="Arial"/>
        </w:rPr>
        <w:t xml:space="preserve"> (</w:t>
      </w:r>
      <w:proofErr w:type="spellStart"/>
      <w:r w:rsidR="00FA4A23">
        <w:rPr>
          <w:rFonts w:eastAsia="Arial"/>
        </w:rPr>
        <w:t>iv</w:t>
      </w:r>
      <w:proofErr w:type="spellEnd"/>
      <w:r w:rsidR="00FE762C">
        <w:rPr>
          <w:rFonts w:eastAsia="Arial"/>
        </w:rPr>
        <w:t>) p</w:t>
      </w:r>
      <w:r w:rsidR="00FE762C" w:rsidRPr="00FE762C">
        <w:rPr>
          <w:rFonts w:eastAsia="Arial"/>
        </w:rPr>
        <w:t>ossibilitar melhorias nas habilidades interpessoais e o aumento da capacidade de aprender com a experiência</w:t>
      </w:r>
      <w:r>
        <w:rPr>
          <w:rFonts w:eastAsia="Arial"/>
        </w:rPr>
        <w:t>.</w:t>
      </w:r>
    </w:p>
    <w:p w14:paraId="550DDA4E" w14:textId="156CB791" w:rsidR="005C7C0F" w:rsidRDefault="00737E12" w:rsidP="005C7C0F">
      <w:pPr>
        <w:rPr>
          <w:rFonts w:eastAsia="Arial"/>
        </w:rPr>
      </w:pPr>
      <w:r>
        <w:rPr>
          <w:rFonts w:eastAsia="Arial"/>
        </w:rPr>
        <w:t>Ademais</w:t>
      </w:r>
      <w:r w:rsidR="00E910F2">
        <w:rPr>
          <w:rFonts w:eastAsia="Arial"/>
        </w:rPr>
        <w:t>, vale ressaltar que o</w:t>
      </w:r>
      <w:r w:rsidR="001478CF" w:rsidRPr="001478CF">
        <w:rPr>
          <w:rFonts w:eastAsia="Arial"/>
        </w:rPr>
        <w:t xml:space="preserve">s casos para ensino são geralmente </w:t>
      </w:r>
      <w:r w:rsidR="00E910F2">
        <w:rPr>
          <w:rFonts w:eastAsia="Arial"/>
        </w:rPr>
        <w:t>baseados em</w:t>
      </w:r>
      <w:r w:rsidR="00915319">
        <w:rPr>
          <w:rFonts w:eastAsia="Arial"/>
        </w:rPr>
        <w:t xml:space="preserve"> pesquisas empíricas</w:t>
      </w:r>
      <w:r w:rsidR="001478CF" w:rsidRPr="001478CF">
        <w:rPr>
          <w:rFonts w:eastAsia="Arial"/>
        </w:rPr>
        <w:t xml:space="preserve">, </w:t>
      </w:r>
      <w:r w:rsidR="00E910F2">
        <w:rPr>
          <w:rFonts w:eastAsia="Arial"/>
        </w:rPr>
        <w:t>no entanto,</w:t>
      </w:r>
      <w:r w:rsidR="001478CF" w:rsidRPr="001478CF">
        <w:rPr>
          <w:rFonts w:eastAsia="Arial"/>
        </w:rPr>
        <w:t xml:space="preserve"> alguns casos podem ser desenvolvidos a partir de materiais previamente publicados</w:t>
      </w:r>
      <w:r w:rsidR="00E910F2">
        <w:rPr>
          <w:rFonts w:eastAsia="Arial"/>
        </w:rPr>
        <w:t xml:space="preserve"> (ROESCH, 2007)</w:t>
      </w:r>
      <w:r w:rsidR="001478CF" w:rsidRPr="001478CF">
        <w:rPr>
          <w:rFonts w:eastAsia="Arial"/>
        </w:rPr>
        <w:t xml:space="preserve">. De maneira mais abrangente, a elaboração de um caso </w:t>
      </w:r>
      <w:r w:rsidR="00E910F2">
        <w:rPr>
          <w:rFonts w:eastAsia="Arial"/>
        </w:rPr>
        <w:t xml:space="preserve">também </w:t>
      </w:r>
      <w:r w:rsidR="001478CF" w:rsidRPr="001478CF">
        <w:rPr>
          <w:rFonts w:eastAsia="Arial"/>
        </w:rPr>
        <w:t xml:space="preserve">pode </w:t>
      </w:r>
      <w:r w:rsidR="00E910F2">
        <w:rPr>
          <w:rFonts w:eastAsia="Arial"/>
        </w:rPr>
        <w:t xml:space="preserve">se </w:t>
      </w:r>
      <w:r w:rsidR="001478CF" w:rsidRPr="001478CF">
        <w:rPr>
          <w:rFonts w:eastAsia="Arial"/>
        </w:rPr>
        <w:t>fundamentar em trabalho</w:t>
      </w:r>
      <w:r w:rsidR="00E910F2">
        <w:rPr>
          <w:rFonts w:eastAsia="Arial"/>
        </w:rPr>
        <w:t>s</w:t>
      </w:r>
      <w:r w:rsidR="001478CF" w:rsidRPr="001478CF">
        <w:rPr>
          <w:rFonts w:eastAsia="Arial"/>
        </w:rPr>
        <w:t xml:space="preserve"> de campo</w:t>
      </w:r>
      <w:r w:rsidR="00E910F2">
        <w:rPr>
          <w:rFonts w:eastAsia="Arial"/>
        </w:rPr>
        <w:t>s</w:t>
      </w:r>
      <w:r w:rsidR="001478CF" w:rsidRPr="001478CF">
        <w:rPr>
          <w:rFonts w:eastAsia="Arial"/>
        </w:rPr>
        <w:t>, experiência</w:t>
      </w:r>
      <w:r w:rsidR="00E910F2">
        <w:rPr>
          <w:rFonts w:eastAsia="Arial"/>
        </w:rPr>
        <w:t>s</w:t>
      </w:r>
      <w:r w:rsidR="001478CF" w:rsidRPr="001478CF">
        <w:rPr>
          <w:rFonts w:eastAsia="Arial"/>
        </w:rPr>
        <w:t xml:space="preserve"> de consultoria </w:t>
      </w:r>
      <w:r w:rsidR="00E910F2">
        <w:rPr>
          <w:rFonts w:eastAsia="Arial"/>
        </w:rPr>
        <w:t>ou mesmo em</w:t>
      </w:r>
      <w:r w:rsidR="001478CF" w:rsidRPr="001478CF">
        <w:rPr>
          <w:rFonts w:eastAsia="Arial"/>
        </w:rPr>
        <w:t xml:space="preserve"> dados </w:t>
      </w:r>
      <w:r w:rsidR="00FC320E">
        <w:rPr>
          <w:rFonts w:eastAsia="Arial"/>
        </w:rPr>
        <w:t>documentais e/ou bibliográficos</w:t>
      </w:r>
      <w:r w:rsidR="00AC21F5">
        <w:rPr>
          <w:rFonts w:eastAsia="Arial"/>
        </w:rPr>
        <w:t xml:space="preserve"> </w:t>
      </w:r>
      <w:r w:rsidR="00C92ADE">
        <w:rPr>
          <w:rFonts w:eastAsia="Arial"/>
        </w:rPr>
        <w:t>(A</w:t>
      </w:r>
      <w:r w:rsidR="00AC21F5">
        <w:rPr>
          <w:rFonts w:eastAsia="Arial"/>
        </w:rPr>
        <w:t>NPAD, 2011)</w:t>
      </w:r>
      <w:r w:rsidR="005C7C0F">
        <w:rPr>
          <w:rFonts w:eastAsia="Arial"/>
        </w:rPr>
        <w:t>.</w:t>
      </w:r>
    </w:p>
    <w:p w14:paraId="539B0013" w14:textId="6D9E0DE0" w:rsidR="00A32F21" w:rsidRPr="00A32F21" w:rsidRDefault="00850B14" w:rsidP="00850B14">
      <w:pPr>
        <w:rPr>
          <w:rFonts w:eastAsia="Arial"/>
        </w:rPr>
      </w:pPr>
      <w:r w:rsidRPr="00850B14">
        <w:rPr>
          <w:rFonts w:eastAsia="Arial"/>
        </w:rPr>
        <w:t xml:space="preserve">Christopher Columbus </w:t>
      </w:r>
      <w:proofErr w:type="spellStart"/>
      <w:r w:rsidRPr="00850B14">
        <w:rPr>
          <w:rFonts w:eastAsia="Arial"/>
        </w:rPr>
        <w:t>Langdell</w:t>
      </w:r>
      <w:proofErr w:type="spellEnd"/>
      <w:r w:rsidR="00E910F2">
        <w:rPr>
          <w:rFonts w:eastAsia="Arial"/>
        </w:rPr>
        <w:t xml:space="preserve">, importante jurista </w:t>
      </w:r>
      <w:r w:rsidR="00D24A4A">
        <w:rPr>
          <w:rFonts w:eastAsia="Arial"/>
        </w:rPr>
        <w:t>e</w:t>
      </w:r>
      <w:r w:rsidR="00E910F2">
        <w:rPr>
          <w:rFonts w:eastAsia="Arial"/>
        </w:rPr>
        <w:t xml:space="preserve"> </w:t>
      </w:r>
      <w:r w:rsidR="00E72222">
        <w:rPr>
          <w:rFonts w:eastAsia="Arial"/>
        </w:rPr>
        <w:t>idealizador do método de caso</w:t>
      </w:r>
      <w:r>
        <w:rPr>
          <w:rFonts w:eastAsia="Arial"/>
        </w:rPr>
        <w:t xml:space="preserve"> </w:t>
      </w:r>
      <w:r w:rsidR="00942E30">
        <w:rPr>
          <w:rFonts w:eastAsia="Arial"/>
        </w:rPr>
        <w:t xml:space="preserve">na área jurídica, </w:t>
      </w:r>
      <w:r w:rsidR="00D24A4A">
        <w:rPr>
          <w:rFonts w:eastAsia="Arial"/>
        </w:rPr>
        <w:t>entendia</w:t>
      </w:r>
      <w:r w:rsidR="00E910F2">
        <w:rPr>
          <w:rFonts w:eastAsia="Arial"/>
        </w:rPr>
        <w:t xml:space="preserve"> que </w:t>
      </w:r>
      <w:r w:rsidR="00D24A4A">
        <w:rPr>
          <w:rFonts w:eastAsia="Arial"/>
        </w:rPr>
        <w:t xml:space="preserve">tal método, além de um instrumento de conhecimento, se mostrava como um importante </w:t>
      </w:r>
      <w:r w:rsidR="004E1E3D">
        <w:rPr>
          <w:rFonts w:eastAsia="Arial"/>
        </w:rPr>
        <w:t>instrumento para o ensino de habilidades</w:t>
      </w:r>
      <w:r w:rsidR="00D24A4A">
        <w:rPr>
          <w:rFonts w:eastAsia="Arial"/>
        </w:rPr>
        <w:t xml:space="preserve"> “</w:t>
      </w:r>
      <w:r w:rsidR="00A32F21" w:rsidRPr="00A32F21">
        <w:rPr>
          <w:rFonts w:eastAsia="Arial"/>
        </w:rPr>
        <w:t>voltadas para o desenvolvimento e a prática do raciocínio jurídico por meio da análise de decisões judiciais</w:t>
      </w:r>
      <w:r w:rsidR="00A32F21">
        <w:rPr>
          <w:rFonts w:eastAsia="Arial"/>
        </w:rPr>
        <w:t>”</w:t>
      </w:r>
      <w:r w:rsidR="003B397B">
        <w:rPr>
          <w:rFonts w:eastAsia="Arial"/>
        </w:rPr>
        <w:t xml:space="preserve"> (</w:t>
      </w:r>
      <w:r w:rsidR="003B397B">
        <w:t>RAMOS</w:t>
      </w:r>
      <w:r w:rsidR="00D24A4A">
        <w:t xml:space="preserve"> e</w:t>
      </w:r>
      <w:r w:rsidR="003B397B">
        <w:t xml:space="preserve"> SCHORSCHER</w:t>
      </w:r>
      <w:r w:rsidR="003B397B">
        <w:rPr>
          <w:rFonts w:eastAsia="Arial"/>
        </w:rPr>
        <w:t>, 2020, p.73)</w:t>
      </w:r>
      <w:r w:rsidR="005B4F90">
        <w:rPr>
          <w:rFonts w:eastAsia="Arial"/>
        </w:rPr>
        <w:t>.</w:t>
      </w:r>
    </w:p>
    <w:p w14:paraId="4CD25426" w14:textId="5CDE1B5A" w:rsidR="00FE23A6" w:rsidRDefault="00D24A4A" w:rsidP="00EE54FF">
      <w:r>
        <w:rPr>
          <w:rFonts w:eastAsia="Arial"/>
        </w:rPr>
        <w:t>Diante do exposto, o</w:t>
      </w:r>
      <w:r w:rsidR="00FC320E">
        <w:rPr>
          <w:rFonts w:eastAsia="Arial"/>
        </w:rPr>
        <w:t xml:space="preserve"> presente trabalho</w:t>
      </w:r>
      <w:r w:rsidR="00FC320E" w:rsidRPr="00FC320E">
        <w:rPr>
          <w:rFonts w:eastAsia="Arial"/>
        </w:rPr>
        <w:t xml:space="preserve"> </w:t>
      </w:r>
      <w:r w:rsidR="005E0E53">
        <w:rPr>
          <w:rFonts w:eastAsia="Arial"/>
        </w:rPr>
        <w:t xml:space="preserve">foi </w:t>
      </w:r>
      <w:r w:rsidR="00FC320E" w:rsidRPr="00FC320E">
        <w:rPr>
          <w:rFonts w:eastAsia="Arial"/>
        </w:rPr>
        <w:t xml:space="preserve">inspirado e desenvolvido a partir de uma situação </w:t>
      </w:r>
      <w:r w:rsidR="005E0E53" w:rsidRPr="005E0E53">
        <w:rPr>
          <w:rFonts w:eastAsia="Arial"/>
        </w:rPr>
        <w:t>comumente observada no cotidiano</w:t>
      </w:r>
      <w:r>
        <w:rPr>
          <w:rFonts w:eastAsia="Arial"/>
        </w:rPr>
        <w:t xml:space="preserve"> dos cidadãos e que foi objeto de discussão perante o </w:t>
      </w:r>
      <w:r w:rsidR="00FE23A6" w:rsidRPr="009E3D7D">
        <w:t>Superior Tribunal de Justiça</w:t>
      </w:r>
      <w:r>
        <w:t xml:space="preserve">. Trata-se do paradigmático Recurso Especial n° </w:t>
      </w:r>
      <w:r w:rsidR="0047204D">
        <w:t>1.610.844/BA, julgado em 15/06/2022</w:t>
      </w:r>
      <w:r>
        <w:t xml:space="preserve">. É válido ponderar que foram realizados os </w:t>
      </w:r>
      <w:r w:rsidR="00FE23A6" w:rsidRPr="009E3D7D">
        <w:t xml:space="preserve">devidos acréscimos e adaptações, para que tanto o relato quanto a situação problema sejam mais adequados </w:t>
      </w:r>
      <w:r>
        <w:t>à</w:t>
      </w:r>
      <w:r w:rsidR="00FE23A6" w:rsidRPr="009E3D7D">
        <w:t xml:space="preserve"> abordagem do conteúdo das disciplinas</w:t>
      </w:r>
      <w:r>
        <w:t>.</w:t>
      </w:r>
    </w:p>
    <w:p w14:paraId="134C268A" w14:textId="66850FC0" w:rsidR="009E3D7D" w:rsidRDefault="005E0E53" w:rsidP="00EE54FF">
      <w:pPr>
        <w:rPr>
          <w:rFonts w:eastAsia="Arial"/>
        </w:rPr>
      </w:pPr>
      <w:r>
        <w:rPr>
          <w:rFonts w:eastAsia="Arial"/>
        </w:rPr>
        <w:t xml:space="preserve">A utilização de </w:t>
      </w:r>
      <w:r>
        <w:t xml:space="preserve">conta corrente bancária </w:t>
      </w:r>
      <w:r w:rsidR="003A1D49">
        <w:t>solidária</w:t>
      </w:r>
      <w:r>
        <w:t xml:space="preserve"> permite que cada </w:t>
      </w:r>
      <w:proofErr w:type="spellStart"/>
      <w:r w:rsidR="00D004AA">
        <w:t>cotitular</w:t>
      </w:r>
      <w:proofErr w:type="spellEnd"/>
      <w:r>
        <w:t xml:space="preserve"> movimente a integralidade dos fundos disponíveis, sendo que a solidariedade se estabelece apenas entre os correntistas e a instituição financeira mantenedora da conta, mas não em relação a terceiros</w:t>
      </w:r>
      <w:r w:rsidR="00D24A4A">
        <w:t>. A</w:t>
      </w:r>
      <w:r>
        <w:t xml:space="preserve">pesar disso, </w:t>
      </w:r>
      <w:r w:rsidR="00D24A4A">
        <w:t xml:space="preserve">regularmente </w:t>
      </w:r>
      <w:r w:rsidR="00A0334A">
        <w:t xml:space="preserve">observa-se que são realizadas movimentações </w:t>
      </w:r>
      <w:r w:rsidR="00A0334A">
        <w:lastRenderedPageBreak/>
        <w:t xml:space="preserve">financeiras com a anuência, tão somente, de um dos </w:t>
      </w:r>
      <w:proofErr w:type="spellStart"/>
      <w:r w:rsidR="00D004AA">
        <w:t>cotitulares</w:t>
      </w:r>
      <w:proofErr w:type="spellEnd"/>
      <w:r w:rsidR="00A0334A">
        <w:t xml:space="preserve">. Igualmente, por vezes são efetivadas </w:t>
      </w:r>
      <w:r w:rsidR="00D24A4A">
        <w:t xml:space="preserve">constrições indevidas </w:t>
      </w:r>
      <w:r w:rsidR="003A1D49">
        <w:t xml:space="preserve">ao patrimônio pertencente a um </w:t>
      </w:r>
      <w:r w:rsidR="00915319">
        <w:t xml:space="preserve">dos </w:t>
      </w:r>
      <w:proofErr w:type="spellStart"/>
      <w:r w:rsidR="00D004AA">
        <w:t>cotitulares</w:t>
      </w:r>
      <w:proofErr w:type="spellEnd"/>
      <w:r w:rsidR="00D24A4A">
        <w:t xml:space="preserve">, o que </w:t>
      </w:r>
      <w:r w:rsidR="00A0334A">
        <w:t>frequentemente</w:t>
      </w:r>
      <w:r w:rsidR="00D24A4A">
        <w:t xml:space="preserve"> ocorre </w:t>
      </w:r>
      <w:r>
        <w:t xml:space="preserve">em virtude de negócio jurídico celebrado </w:t>
      </w:r>
      <w:r w:rsidR="003A1D49">
        <w:t xml:space="preserve">e inadimplido </w:t>
      </w:r>
      <w:r>
        <w:t xml:space="preserve">pelo outro </w:t>
      </w:r>
      <w:proofErr w:type="spellStart"/>
      <w:r w:rsidR="00D004AA">
        <w:t>cotitular</w:t>
      </w:r>
      <w:proofErr w:type="spellEnd"/>
      <w:r w:rsidR="00A0334A">
        <w:t>.</w:t>
      </w:r>
    </w:p>
    <w:p w14:paraId="1AF5FE85" w14:textId="67EF8BCB" w:rsidR="005E0E53" w:rsidRDefault="00A0334A" w:rsidP="00934D34">
      <w:pPr>
        <w:rPr>
          <w:rFonts w:eastAsia="Arial"/>
        </w:rPr>
      </w:pPr>
      <w:r>
        <w:rPr>
          <w:rFonts w:eastAsia="Arial"/>
        </w:rPr>
        <w:t xml:space="preserve">Sob essa ótica, este </w:t>
      </w:r>
      <w:r w:rsidR="005E0E53" w:rsidRPr="005E0E53">
        <w:rPr>
          <w:rFonts w:eastAsia="Arial"/>
        </w:rPr>
        <w:t xml:space="preserve">caso de ensino </w:t>
      </w:r>
      <w:r w:rsidR="005E0E53">
        <w:rPr>
          <w:rFonts w:eastAsia="Arial"/>
        </w:rPr>
        <w:t xml:space="preserve">aborda a possibilidade de solidariedade </w:t>
      </w:r>
      <w:r w:rsidR="005E0E53" w:rsidRPr="0028161B">
        <w:rPr>
          <w:rFonts w:eastAsia="Arial"/>
        </w:rPr>
        <w:t xml:space="preserve">ativa e passiva entre os correntistas </w:t>
      </w:r>
      <w:r w:rsidR="005E0E53">
        <w:rPr>
          <w:rFonts w:eastAsia="Arial"/>
        </w:rPr>
        <w:t>com</w:t>
      </w:r>
      <w:r w:rsidR="005E0E53" w:rsidRPr="0028161B">
        <w:rPr>
          <w:rFonts w:eastAsia="Arial"/>
        </w:rPr>
        <w:t xml:space="preserve"> relação à instituição financeira</w:t>
      </w:r>
      <w:r w:rsidR="005E0E53">
        <w:rPr>
          <w:rFonts w:eastAsia="Arial"/>
        </w:rPr>
        <w:t xml:space="preserve"> e a terceiros</w:t>
      </w:r>
      <w:r>
        <w:rPr>
          <w:rFonts w:eastAsia="Arial"/>
        </w:rPr>
        <w:t>. Especificamente, põe-se em xeque a situação hipotética</w:t>
      </w:r>
      <w:r w:rsidR="005E0E53">
        <w:rPr>
          <w:rFonts w:eastAsia="Arial"/>
        </w:rPr>
        <w:t xml:space="preserve"> em que um dos </w:t>
      </w:r>
      <w:proofErr w:type="spellStart"/>
      <w:r w:rsidR="00D004AA">
        <w:rPr>
          <w:rFonts w:eastAsia="Arial"/>
        </w:rPr>
        <w:t>cotitulares</w:t>
      </w:r>
      <w:proofErr w:type="spellEnd"/>
      <w:r w:rsidR="005E0E53">
        <w:rPr>
          <w:rFonts w:eastAsia="Arial"/>
        </w:rPr>
        <w:t xml:space="preserve"> da</w:t>
      </w:r>
      <w:r w:rsidR="005E0E53" w:rsidRPr="005E0E53">
        <w:rPr>
          <w:rFonts w:eastAsia="Arial"/>
        </w:rPr>
        <w:t xml:space="preserve"> conta conjunta, embora não tenha praticado qualquer conduta relacionada às movimentações, teve valores debitados de sua conta em decorrência de encargos referentes </w:t>
      </w:r>
      <w:r w:rsidR="002E6F35">
        <w:rPr>
          <w:rFonts w:eastAsia="Arial"/>
        </w:rPr>
        <w:t>a</w:t>
      </w:r>
      <w:r w:rsidR="005E0E53" w:rsidRPr="005E0E53">
        <w:rPr>
          <w:rFonts w:eastAsia="Arial"/>
        </w:rPr>
        <w:t xml:space="preserve"> ações realizadas </w:t>
      </w:r>
      <w:r w:rsidR="002E6F35">
        <w:rPr>
          <w:rFonts w:eastAsia="Arial"/>
        </w:rPr>
        <w:t>por outrem.</w:t>
      </w:r>
    </w:p>
    <w:p w14:paraId="33C2E4C9" w14:textId="72EF3D77" w:rsidR="00CA6835" w:rsidRDefault="00CA6835" w:rsidP="00D86E33">
      <w:pPr>
        <w:pStyle w:val="Ttulo2"/>
        <w:numPr>
          <w:ilvl w:val="1"/>
          <w:numId w:val="12"/>
        </w:numPr>
        <w:rPr>
          <w:rFonts w:eastAsia="Arial"/>
        </w:rPr>
      </w:pPr>
      <w:r>
        <w:rPr>
          <w:rFonts w:eastAsia="Arial"/>
        </w:rPr>
        <w:t>Objetivos Educaciona</w:t>
      </w:r>
      <w:r w:rsidR="005E4665">
        <w:rPr>
          <w:rFonts w:eastAsia="Arial"/>
        </w:rPr>
        <w:t>is</w:t>
      </w:r>
    </w:p>
    <w:p w14:paraId="53CD84FD" w14:textId="36A74A52" w:rsidR="00741F3D" w:rsidRPr="00741F3D" w:rsidRDefault="00741F3D" w:rsidP="00741F3D">
      <w:pPr>
        <w:rPr>
          <w:rFonts w:eastAsia="Arial"/>
        </w:rPr>
      </w:pPr>
      <w:r w:rsidRPr="00741F3D">
        <w:rPr>
          <w:rFonts w:eastAsia="Arial"/>
        </w:rPr>
        <w:t>O objetivo deste caso de ensino é instigar os alunos a refletirem sobre os aspectos sociais e jurídicos envolvidos</w:t>
      </w:r>
      <w:r w:rsidR="00C211B5">
        <w:rPr>
          <w:rFonts w:eastAsia="Arial"/>
        </w:rPr>
        <w:t xml:space="preserve"> no problema</w:t>
      </w:r>
      <w:r w:rsidR="00D32DB2">
        <w:rPr>
          <w:rFonts w:eastAsia="Arial"/>
        </w:rPr>
        <w:t xml:space="preserve">, </w:t>
      </w:r>
      <w:r w:rsidRPr="00741F3D">
        <w:rPr>
          <w:rFonts w:eastAsia="Arial"/>
        </w:rPr>
        <w:t xml:space="preserve">com foco na análise dos institutos jurídicos presentes na situação, tais </w:t>
      </w:r>
      <w:r w:rsidR="00915319">
        <w:rPr>
          <w:rFonts w:eastAsia="Arial"/>
        </w:rPr>
        <w:t xml:space="preserve">como </w:t>
      </w:r>
      <w:r w:rsidR="00D004AA">
        <w:rPr>
          <w:rFonts w:eastAsia="Arial"/>
        </w:rPr>
        <w:t xml:space="preserve">as </w:t>
      </w:r>
      <w:r w:rsidR="00915319">
        <w:rPr>
          <w:rFonts w:eastAsia="Arial"/>
        </w:rPr>
        <w:t xml:space="preserve">modalidades de obrigações, </w:t>
      </w:r>
      <w:r w:rsidR="00D004AA">
        <w:rPr>
          <w:rFonts w:eastAsia="Arial"/>
        </w:rPr>
        <w:t xml:space="preserve">as </w:t>
      </w:r>
      <w:r w:rsidR="00915319">
        <w:rPr>
          <w:rFonts w:eastAsia="Arial"/>
        </w:rPr>
        <w:t>responsabilidade</w:t>
      </w:r>
      <w:r w:rsidR="00D004AA">
        <w:rPr>
          <w:rFonts w:eastAsia="Arial"/>
        </w:rPr>
        <w:t>s</w:t>
      </w:r>
      <w:r w:rsidR="00915319">
        <w:rPr>
          <w:rFonts w:eastAsia="Arial"/>
        </w:rPr>
        <w:t xml:space="preserve"> solidária</w:t>
      </w:r>
      <w:r w:rsidR="00D004AA">
        <w:rPr>
          <w:rFonts w:eastAsia="Arial"/>
        </w:rPr>
        <w:t xml:space="preserve">s ativa e passiva, entre outros, </w:t>
      </w:r>
      <w:r w:rsidR="00D32DB2">
        <w:rPr>
          <w:rFonts w:eastAsia="Arial"/>
        </w:rPr>
        <w:t xml:space="preserve">auxiliando </w:t>
      </w:r>
      <w:r w:rsidR="00D004AA">
        <w:rPr>
          <w:rFonts w:eastAsia="Arial"/>
        </w:rPr>
        <w:t xml:space="preserve">o estudante </w:t>
      </w:r>
      <w:r w:rsidR="00D32DB2">
        <w:rPr>
          <w:rFonts w:eastAsia="Arial"/>
        </w:rPr>
        <w:t>no desenvolvimento d</w:t>
      </w:r>
      <w:r w:rsidR="00D004AA">
        <w:rPr>
          <w:rFonts w:eastAsia="Arial"/>
        </w:rPr>
        <w:t>e seu</w:t>
      </w:r>
      <w:r w:rsidR="00D32DB2">
        <w:rPr>
          <w:rFonts w:eastAsia="Arial"/>
        </w:rPr>
        <w:t xml:space="preserve"> pensamento crítico e </w:t>
      </w:r>
      <w:r w:rsidR="00D32DB2" w:rsidRPr="00D32DB2">
        <w:rPr>
          <w:rFonts w:eastAsia="Arial"/>
        </w:rPr>
        <w:t xml:space="preserve">de competências </w:t>
      </w:r>
      <w:r w:rsidR="00D32DB2">
        <w:rPr>
          <w:rFonts w:eastAsia="Arial"/>
        </w:rPr>
        <w:t xml:space="preserve">essenciais para o exercício das </w:t>
      </w:r>
      <w:r w:rsidR="00D32DB2" w:rsidRPr="00D32DB2">
        <w:rPr>
          <w:rFonts w:eastAsia="Arial"/>
        </w:rPr>
        <w:t>carreiras jurídicas</w:t>
      </w:r>
      <w:r w:rsidR="00D004AA">
        <w:rPr>
          <w:rFonts w:eastAsia="Arial"/>
        </w:rPr>
        <w:t>.</w:t>
      </w:r>
    </w:p>
    <w:p w14:paraId="079ED3B1" w14:textId="7A87D6EA" w:rsidR="00D32DB2" w:rsidRPr="00D32DB2" w:rsidRDefault="00741F3D" w:rsidP="00D32DB2">
      <w:pPr>
        <w:rPr>
          <w:rFonts w:eastAsia="Arial"/>
        </w:rPr>
      </w:pPr>
      <w:r w:rsidRPr="00741F3D">
        <w:rPr>
          <w:rFonts w:eastAsia="Arial"/>
        </w:rPr>
        <w:t xml:space="preserve">Busca-se que os </w:t>
      </w:r>
      <w:r w:rsidR="00D004AA">
        <w:rPr>
          <w:rFonts w:eastAsia="Arial"/>
        </w:rPr>
        <w:t>discentes</w:t>
      </w:r>
      <w:r w:rsidR="00D32DB2" w:rsidRPr="00D32DB2">
        <w:rPr>
          <w:rFonts w:eastAsia="Arial"/>
        </w:rPr>
        <w:t xml:space="preserve"> assumam o papel de julgadores nas ações judiciais propostas pelo </w:t>
      </w:r>
      <w:proofErr w:type="spellStart"/>
      <w:r w:rsidR="00D004AA" w:rsidRPr="00D32DB2">
        <w:rPr>
          <w:rFonts w:eastAsia="Arial"/>
        </w:rPr>
        <w:t>co</w:t>
      </w:r>
      <w:r w:rsidR="00D004AA">
        <w:rPr>
          <w:rFonts w:eastAsia="Arial"/>
        </w:rPr>
        <w:t>t</w:t>
      </w:r>
      <w:r w:rsidR="00D004AA" w:rsidRPr="00D32DB2">
        <w:rPr>
          <w:rFonts w:eastAsia="Arial"/>
        </w:rPr>
        <w:t>itular</w:t>
      </w:r>
      <w:proofErr w:type="spellEnd"/>
      <w:r w:rsidR="00D32DB2" w:rsidRPr="00D32DB2">
        <w:rPr>
          <w:rFonts w:eastAsia="Arial"/>
        </w:rPr>
        <w:t xml:space="preserve"> da conta solidária e, </w:t>
      </w:r>
      <w:r w:rsidR="00D004AA">
        <w:rPr>
          <w:rFonts w:eastAsia="Arial"/>
        </w:rPr>
        <w:t>baseados</w:t>
      </w:r>
      <w:r w:rsidR="00D32DB2" w:rsidRPr="00D32DB2">
        <w:rPr>
          <w:rFonts w:eastAsia="Arial"/>
        </w:rPr>
        <w:t xml:space="preserve"> nos conhecimentos adquiridos, fundamentem suas decisões de forma imparcial e </w:t>
      </w:r>
      <w:r w:rsidR="00C211B5">
        <w:rPr>
          <w:rFonts w:eastAsia="Arial"/>
        </w:rPr>
        <w:t xml:space="preserve">com respaldo </w:t>
      </w:r>
      <w:r w:rsidR="00484874">
        <w:rPr>
          <w:rFonts w:eastAsia="Arial"/>
        </w:rPr>
        <w:t>legal</w:t>
      </w:r>
      <w:r w:rsidR="00D32DB2" w:rsidRPr="00D32DB2">
        <w:rPr>
          <w:rFonts w:eastAsia="Arial"/>
        </w:rPr>
        <w:t>. Dessa maneira,</w:t>
      </w:r>
      <w:r w:rsidR="00484874">
        <w:rPr>
          <w:rFonts w:eastAsia="Arial"/>
        </w:rPr>
        <w:t xml:space="preserve"> os alunos são</w:t>
      </w:r>
      <w:r w:rsidR="00D32DB2" w:rsidRPr="00D32DB2">
        <w:rPr>
          <w:rFonts w:eastAsia="Arial"/>
        </w:rPr>
        <w:t xml:space="preserve"> instigados a aplicar o raciocínio jurídico, considerando os princípios e normas pertinentes, e </w:t>
      </w:r>
      <w:r w:rsidR="00484874">
        <w:rPr>
          <w:rFonts w:eastAsia="Arial"/>
        </w:rPr>
        <w:t xml:space="preserve">a </w:t>
      </w:r>
      <w:r w:rsidR="00D32DB2" w:rsidRPr="00D32DB2">
        <w:rPr>
          <w:rFonts w:eastAsia="Arial"/>
        </w:rPr>
        <w:t>escolher a solução que julgarem mais</w:t>
      </w:r>
      <w:r w:rsidR="00D32DB2">
        <w:rPr>
          <w:rFonts w:eastAsia="Arial"/>
        </w:rPr>
        <w:t xml:space="preserve"> apropriada ao caso em </w:t>
      </w:r>
      <w:r w:rsidR="00C211B5">
        <w:rPr>
          <w:rFonts w:eastAsia="Arial"/>
        </w:rPr>
        <w:t>análise</w:t>
      </w:r>
      <w:r w:rsidR="00D32DB2">
        <w:rPr>
          <w:rFonts w:eastAsia="Arial"/>
        </w:rPr>
        <w:t>.</w:t>
      </w:r>
    </w:p>
    <w:p w14:paraId="0748FE97" w14:textId="0D7AF9D8" w:rsidR="00CA6835" w:rsidRDefault="00CA6835" w:rsidP="00D86E33">
      <w:pPr>
        <w:pStyle w:val="Ttulo2"/>
        <w:numPr>
          <w:ilvl w:val="1"/>
          <w:numId w:val="12"/>
        </w:numPr>
        <w:rPr>
          <w:rFonts w:eastAsia="Arial"/>
        </w:rPr>
      </w:pPr>
      <w:r w:rsidRPr="00CA6835">
        <w:rPr>
          <w:rFonts w:eastAsia="Arial"/>
        </w:rPr>
        <w:t>Disciplinas e possibilidades de apli</w:t>
      </w:r>
      <w:r w:rsidR="005E4665">
        <w:rPr>
          <w:rFonts w:eastAsia="Arial"/>
        </w:rPr>
        <w:t>cação do caso</w:t>
      </w:r>
    </w:p>
    <w:p w14:paraId="1EA576F0" w14:textId="11D2202B" w:rsidR="003A1D49" w:rsidRDefault="003A1D49" w:rsidP="003A1D49">
      <w:r>
        <w:t>O caso de ensino em questão foi especificamente elaborado para ser aplicado nas disciplinas de Direito Civil, tanto na cadeira de Obrigações (Direito Civil II), quanto nas cadeiras de Contratos (Direito Civil III</w:t>
      </w:r>
      <w:r w:rsidR="001931A5">
        <w:t xml:space="preserve"> e</w:t>
      </w:r>
      <w:r>
        <w:t xml:space="preserve"> Direito Civil IV) e Responsabilidade Civil (Direito Civil VIII).</w:t>
      </w:r>
    </w:p>
    <w:p w14:paraId="0473ADA6" w14:textId="76CFBFFC" w:rsidR="001931A5" w:rsidRDefault="00737E12" w:rsidP="001931A5">
      <w:r>
        <w:t>De mais a mais</w:t>
      </w:r>
      <w:r w:rsidR="003A1D49">
        <w:t xml:space="preserve">, esse caso de ensino também pode ser empregado em disciplinas de prática jurídica. A sua abordagem abrangente e a incorporação de diferentes institutos jurídicos tornam-no uma valiosa ferramenta de aprendizado para os alunos que desejam aprofundar seus conhecimentos e habilidades no campo do </w:t>
      </w:r>
      <w:r w:rsidR="001931A5">
        <w:t>D</w:t>
      </w:r>
      <w:r w:rsidR="003A1D49">
        <w:t xml:space="preserve">ireito </w:t>
      </w:r>
      <w:r w:rsidR="001931A5">
        <w:t>C</w:t>
      </w:r>
      <w:r w:rsidR="003A1D49">
        <w:t>ivil.</w:t>
      </w:r>
      <w:r w:rsidR="001931A5">
        <w:t xml:space="preserve"> </w:t>
      </w:r>
    </w:p>
    <w:p w14:paraId="33BB25F3" w14:textId="1BA525D3" w:rsidR="003A1D49" w:rsidRDefault="003A1D49" w:rsidP="001931A5">
      <w:r>
        <w:lastRenderedPageBreak/>
        <w:t>Ao utilizar o caso em disciplinas práticas, os estudantes terão a oportunidade de aplicar os conceitos teóricos aprendidos em situações concretas e desenvolver suas capacidades de análise jurídica, argumen</w:t>
      </w:r>
      <w:r w:rsidR="003B5155">
        <w:t>tação e resolução de problemas.</w:t>
      </w:r>
      <w:r w:rsidR="001931A5">
        <w:t xml:space="preserve"> </w:t>
      </w:r>
      <w:r>
        <w:t>Isso proporciona uma experiência de aprendizado enriquecedora e relevante para futura</w:t>
      </w:r>
      <w:r w:rsidR="001931A5">
        <w:t>s</w:t>
      </w:r>
      <w:r>
        <w:t xml:space="preserve"> atuaç</w:t>
      </w:r>
      <w:r w:rsidR="001931A5">
        <w:t>ões</w:t>
      </w:r>
      <w:r>
        <w:t xml:space="preserve"> profissiona</w:t>
      </w:r>
      <w:r w:rsidR="001931A5">
        <w:t>is</w:t>
      </w:r>
      <w:r>
        <w:t xml:space="preserve"> como </w:t>
      </w:r>
      <w:r w:rsidR="00741F3D">
        <w:t xml:space="preserve">operadores do </w:t>
      </w:r>
      <w:r w:rsidR="001931A5">
        <w:t>D</w:t>
      </w:r>
      <w:r w:rsidR="00741F3D">
        <w:t>ireito</w:t>
      </w:r>
      <w:r>
        <w:t>.</w:t>
      </w:r>
    </w:p>
    <w:p w14:paraId="02C16981" w14:textId="237A5219" w:rsidR="00CA6835" w:rsidRDefault="00CA6835" w:rsidP="00D86E33">
      <w:pPr>
        <w:pStyle w:val="Ttulo2"/>
        <w:numPr>
          <w:ilvl w:val="1"/>
          <w:numId w:val="12"/>
        </w:numPr>
        <w:rPr>
          <w:rFonts w:eastAsia="Arial"/>
        </w:rPr>
      </w:pPr>
      <w:r w:rsidRPr="00CA6835">
        <w:rPr>
          <w:rFonts w:eastAsia="Arial"/>
        </w:rPr>
        <w:t>Aspecto</w:t>
      </w:r>
      <w:r w:rsidR="005E4665">
        <w:rPr>
          <w:rFonts w:eastAsia="Arial"/>
        </w:rPr>
        <w:t>s pedagógicos para a aplicação</w:t>
      </w:r>
    </w:p>
    <w:p w14:paraId="17851071" w14:textId="010D1B81" w:rsidR="008907D6" w:rsidRDefault="008907D6" w:rsidP="00223BAB">
      <w:r>
        <w:t>Convém destacar que, no presente método pedagógico, os alunos deixam a posição inferior na relação de total verticalidade</w:t>
      </w:r>
      <w:r w:rsidR="008D3B5C">
        <w:t xml:space="preserve">, que caracteriza a abordagem </w:t>
      </w:r>
      <w:r>
        <w:t>expositiva</w:t>
      </w:r>
      <w:r w:rsidR="008D3B5C">
        <w:t>,</w:t>
      </w:r>
      <w:r>
        <w:t xml:space="preserve"> e </w:t>
      </w:r>
      <w:r w:rsidR="008D3B5C">
        <w:t>passa</w:t>
      </w:r>
      <w:r w:rsidR="00290C5B">
        <w:t>m</w:t>
      </w:r>
      <w:r w:rsidR="008D3B5C">
        <w:t xml:space="preserve"> a atuar “</w:t>
      </w:r>
      <w:r>
        <w:t>em horizontalidade para com o professor, atrelando teoria e prática, com vistas à formulação da solução que corresponda ao ditame de justiça exigido no caso concreto analisado”</w:t>
      </w:r>
      <w:r w:rsidR="00094232">
        <w:t xml:space="preserve"> (FERNANDES, 2018, p. 177)</w:t>
      </w:r>
      <w:r>
        <w:t>.</w:t>
      </w:r>
    </w:p>
    <w:p w14:paraId="03AE04F0" w14:textId="77777777" w:rsidR="00737E12" w:rsidRDefault="00223BAB" w:rsidP="00612D4D">
      <w:r>
        <w:t xml:space="preserve">A duração da aplicação do caso é de uma hora e </w:t>
      </w:r>
      <w:r w:rsidR="00DF4F60">
        <w:t xml:space="preserve">quarenta </w:t>
      </w:r>
      <w:r>
        <w:t xml:space="preserve">minutos, </w:t>
      </w:r>
      <w:r w:rsidR="00290C5B">
        <w:t xml:space="preserve">o </w:t>
      </w:r>
      <w:r>
        <w:t>que corresponde a duas aulas.</w:t>
      </w:r>
      <w:r w:rsidR="00290C5B">
        <w:t xml:space="preserve"> </w:t>
      </w:r>
      <w:r w:rsidR="00CA7ED2">
        <w:t>Para solução do caso, p</w:t>
      </w:r>
      <w:r w:rsidR="00EA3129">
        <w:t>ode-se dividir a turma em grupos.</w:t>
      </w:r>
      <w:r w:rsidR="00CA7ED2">
        <w:t xml:space="preserve"> </w:t>
      </w:r>
      <w:r w:rsidR="00EA3129">
        <w:t>Cada grupo deve responder todas as questões envolvidas</w:t>
      </w:r>
      <w:r w:rsidR="00290C5B">
        <w:t xml:space="preserve">, porém na </w:t>
      </w:r>
      <w:r w:rsidR="00EA3129">
        <w:t xml:space="preserve">discussão das questões, </w:t>
      </w:r>
      <w:r w:rsidR="00290C5B">
        <w:t>é válido</w:t>
      </w:r>
      <w:r w:rsidR="00EA3129">
        <w:t xml:space="preserve"> </w:t>
      </w:r>
      <w:r w:rsidR="00290C5B">
        <w:t>repartir</w:t>
      </w:r>
      <w:r w:rsidR="00EA3129">
        <w:t xml:space="preserve"> as questões pelos grupos, para evitar redundância nas respostas.</w:t>
      </w:r>
      <w:r w:rsidR="00290C5B">
        <w:t xml:space="preserve"> </w:t>
      </w:r>
    </w:p>
    <w:p w14:paraId="1BE33A2D" w14:textId="74E36031" w:rsidR="00D32DB2" w:rsidRPr="00896885" w:rsidRDefault="00737E12" w:rsidP="00612D4D">
      <w:r>
        <w:t>R</w:t>
      </w:r>
      <w:r w:rsidR="00290C5B">
        <w:t>ecomenda-se que a apli</w:t>
      </w:r>
      <w:r w:rsidR="006E2491">
        <w:t xml:space="preserve">cação do caso </w:t>
      </w:r>
      <w:r w:rsidR="00290C5B">
        <w:t xml:space="preserve">seja </w:t>
      </w:r>
      <w:r w:rsidR="006E2491">
        <w:t>em algumas fases:</w:t>
      </w:r>
      <w:r w:rsidR="00290C5B">
        <w:t xml:space="preserve"> (i) e</w:t>
      </w:r>
      <w:r w:rsidR="006E2491">
        <w:t xml:space="preserve">xplicações iniciais </w:t>
      </w:r>
      <w:r w:rsidR="00290C5B">
        <w:t xml:space="preserve">e </w:t>
      </w:r>
      <w:r w:rsidR="00D32DB2">
        <w:t>apresenta</w:t>
      </w:r>
      <w:r w:rsidR="00290C5B">
        <w:t>ção</w:t>
      </w:r>
      <w:r w:rsidR="00896885">
        <w:t xml:space="preserve"> </w:t>
      </w:r>
      <w:r w:rsidR="00290C5B">
        <w:t>d</w:t>
      </w:r>
      <w:r w:rsidR="00896885">
        <w:t>o relato inicial do caso</w:t>
      </w:r>
      <w:r w:rsidR="00D32DB2">
        <w:t xml:space="preserve"> (</w:t>
      </w:r>
      <w:r w:rsidR="00A35C35">
        <w:t>10</w:t>
      </w:r>
      <w:r w:rsidR="003E6571">
        <w:t xml:space="preserve"> min</w:t>
      </w:r>
      <w:r w:rsidR="00D32DB2">
        <w:t>)</w:t>
      </w:r>
      <w:r w:rsidR="00290C5B">
        <w:t>; (</w:t>
      </w:r>
      <w:proofErr w:type="spellStart"/>
      <w:r w:rsidR="00290C5B">
        <w:t>ii</w:t>
      </w:r>
      <w:proofErr w:type="spellEnd"/>
      <w:r w:rsidR="00290C5B">
        <w:t>) a</w:t>
      </w:r>
      <w:r w:rsidR="00896885">
        <w:t>presenta</w:t>
      </w:r>
      <w:r w:rsidR="00290C5B">
        <w:t>ção</w:t>
      </w:r>
      <w:r w:rsidR="00896885">
        <w:t xml:space="preserve"> </w:t>
      </w:r>
      <w:r w:rsidR="00290C5B">
        <w:t>d</w:t>
      </w:r>
      <w:r w:rsidR="00896885">
        <w:t>a situação-problema</w:t>
      </w:r>
      <w:r w:rsidR="00B97F77">
        <w:t xml:space="preserve"> </w:t>
      </w:r>
      <w:r w:rsidR="00D32DB2">
        <w:t>(</w:t>
      </w:r>
      <w:r w:rsidR="00B97F77">
        <w:t>10</w:t>
      </w:r>
      <w:r w:rsidR="00896885" w:rsidRPr="00896885">
        <w:t xml:space="preserve"> min)</w:t>
      </w:r>
      <w:r w:rsidR="00290C5B">
        <w:t>; (</w:t>
      </w:r>
      <w:proofErr w:type="spellStart"/>
      <w:r w:rsidR="00290C5B">
        <w:t>iii</w:t>
      </w:r>
      <w:proofErr w:type="spellEnd"/>
      <w:r w:rsidR="00290C5B">
        <w:t>) de</w:t>
      </w:r>
      <w:r w:rsidR="00896885" w:rsidRPr="00896885">
        <w:t>bate</w:t>
      </w:r>
      <w:r w:rsidR="00D32DB2">
        <w:t xml:space="preserve"> interno</w:t>
      </w:r>
      <w:r w:rsidR="00290C5B">
        <w:t xml:space="preserve">, </w:t>
      </w:r>
      <w:r w:rsidR="003E6571">
        <w:t>com</w:t>
      </w:r>
      <w:r w:rsidR="00896885" w:rsidRPr="00896885">
        <w:t xml:space="preserve"> d</w:t>
      </w:r>
      <w:r w:rsidR="003E6571">
        <w:t xml:space="preserve">iscussão interna nos grupos </w:t>
      </w:r>
      <w:r w:rsidR="00896885" w:rsidRPr="00896885">
        <w:t xml:space="preserve">e </w:t>
      </w:r>
      <w:r w:rsidR="00D32DB2">
        <w:t>elaboração</w:t>
      </w:r>
      <w:r w:rsidR="00896885" w:rsidRPr="00896885">
        <w:t xml:space="preserve"> </w:t>
      </w:r>
      <w:r w:rsidR="003E6571">
        <w:t>de possíveis soluções a situação apresentada</w:t>
      </w:r>
      <w:r w:rsidR="00290C5B">
        <w:t xml:space="preserve"> </w:t>
      </w:r>
      <w:r w:rsidR="00612D4D" w:rsidRPr="00896885">
        <w:t>(40 min</w:t>
      </w:r>
      <w:r w:rsidR="00612D4D">
        <w:t>); (</w:t>
      </w:r>
      <w:proofErr w:type="spellStart"/>
      <w:r w:rsidR="00612D4D">
        <w:t>iv</w:t>
      </w:r>
      <w:proofErr w:type="spellEnd"/>
      <w:r w:rsidR="00612D4D">
        <w:t>) d</w:t>
      </w:r>
      <w:r w:rsidR="00D32DB2">
        <w:t>ebate coletivo</w:t>
      </w:r>
      <w:r w:rsidR="00612D4D">
        <w:t xml:space="preserve">, </w:t>
      </w:r>
      <w:r w:rsidR="00D32DB2">
        <w:t xml:space="preserve">com a exposição da resolução das questões </w:t>
      </w:r>
      <w:r w:rsidR="00612D4D">
        <w:t xml:space="preserve">para </w:t>
      </w:r>
      <w:r w:rsidR="00D32DB2">
        <w:t>toda a turm</w:t>
      </w:r>
      <w:r w:rsidR="003E6571">
        <w:t>a</w:t>
      </w:r>
      <w:r w:rsidR="00612D4D">
        <w:t xml:space="preserve"> (40 min).</w:t>
      </w:r>
    </w:p>
    <w:p w14:paraId="596F1013" w14:textId="78537A6A" w:rsidR="00CA6835" w:rsidRDefault="00CA6835" w:rsidP="00D86E33">
      <w:pPr>
        <w:pStyle w:val="Ttulo2"/>
        <w:numPr>
          <w:ilvl w:val="1"/>
          <w:numId w:val="12"/>
        </w:numPr>
        <w:rPr>
          <w:rFonts w:eastAsia="Arial"/>
        </w:rPr>
      </w:pPr>
      <w:r w:rsidRPr="00CA6835">
        <w:rPr>
          <w:rFonts w:eastAsia="Arial"/>
        </w:rPr>
        <w:t>Alte</w:t>
      </w:r>
      <w:r w:rsidR="005E4665">
        <w:rPr>
          <w:rFonts w:eastAsia="Arial"/>
        </w:rPr>
        <w:t>rnativas de solução para o caso</w:t>
      </w:r>
    </w:p>
    <w:p w14:paraId="041B3BE4" w14:textId="6002015C" w:rsidR="009C2A79" w:rsidRDefault="003B508D" w:rsidP="003C1463">
      <w:r>
        <w:t>A conta</w:t>
      </w:r>
      <w:r w:rsidR="00D710B7">
        <w:t xml:space="preserve"> corrente</w:t>
      </w:r>
      <w:r>
        <w:t xml:space="preserve"> do casal Pedro Cartaxo e Luciana Silva, como </w:t>
      </w:r>
      <w:r w:rsidR="00D710B7">
        <w:t xml:space="preserve">já </w:t>
      </w:r>
      <w:r>
        <w:t xml:space="preserve">explicitado </w:t>
      </w:r>
      <w:r w:rsidR="00D710B7">
        <w:t xml:space="preserve">anteriormente, se trata de uma </w:t>
      </w:r>
      <w:r>
        <w:t>conta do tipo “</w:t>
      </w:r>
      <w:r w:rsidR="00D710B7">
        <w:t>E</w:t>
      </w:r>
      <w:r>
        <w:t>/</w:t>
      </w:r>
      <w:r w:rsidR="00D710B7">
        <w:t>OU</w:t>
      </w:r>
      <w:r>
        <w:t>”</w:t>
      </w:r>
      <w:r w:rsidR="00D710B7">
        <w:t xml:space="preserve">, a qual tem por característica a solidariedade. </w:t>
      </w:r>
      <w:r>
        <w:t>Nes</w:t>
      </w:r>
      <w:r w:rsidR="00D710B7">
        <w:t xml:space="preserve">sa espécie de </w:t>
      </w:r>
      <w:r>
        <w:t>conta</w:t>
      </w:r>
      <w:r w:rsidR="00D710B7">
        <w:t>,</w:t>
      </w:r>
      <w:r>
        <w:t xml:space="preserve"> todos os </w:t>
      </w:r>
      <w:proofErr w:type="spellStart"/>
      <w:r w:rsidR="00D710B7">
        <w:t>cotitulares</w:t>
      </w:r>
      <w:proofErr w:type="spellEnd"/>
      <w:r>
        <w:t xml:space="preserve"> possuem a capacidade de </w:t>
      </w:r>
      <w:r w:rsidR="00D710B7">
        <w:t>realizar</w:t>
      </w:r>
      <w:r>
        <w:t xml:space="preserve"> movimentações e transações sem necessitar da autorização dos demais, respondendo </w:t>
      </w:r>
      <w:r w:rsidR="00D710B7">
        <w:t xml:space="preserve">todos eles, contudo, de forma </w:t>
      </w:r>
      <w:r>
        <w:t>solid</w:t>
      </w:r>
      <w:r w:rsidR="00D710B7">
        <w:t xml:space="preserve">ária, </w:t>
      </w:r>
      <w:r>
        <w:t>ativa</w:t>
      </w:r>
      <w:r w:rsidR="00D710B7">
        <w:t xml:space="preserve">mente ou </w:t>
      </w:r>
      <w:r>
        <w:t>passivamente.</w:t>
      </w:r>
    </w:p>
    <w:p w14:paraId="2CDA826F" w14:textId="66D8DD74" w:rsidR="009C2A79" w:rsidRDefault="00737E12" w:rsidP="00E77DF0">
      <w:r>
        <w:t>Todavia</w:t>
      </w:r>
      <w:r w:rsidR="009C2A79">
        <w:t xml:space="preserve">, a solidariedade somente ocorre entre os correntistas e a instituição financeira mantenedora da conta, não sendo extensível </w:t>
      </w:r>
      <w:r w:rsidR="000F3346">
        <w:t xml:space="preserve">a </w:t>
      </w:r>
      <w:r w:rsidR="009C2A79">
        <w:t>terceiros</w:t>
      </w:r>
      <w:r w:rsidR="00E77DF0">
        <w:t>. P</w:t>
      </w:r>
      <w:r w:rsidR="009C2A79">
        <w:t xml:space="preserve">ortanto, a penhora sobre o valor total da dívida que somente pertencia a Luciana </w:t>
      </w:r>
      <w:r w:rsidR="00E77DF0">
        <w:t xml:space="preserve">se </w:t>
      </w:r>
      <w:r w:rsidR="009C2A79">
        <w:t xml:space="preserve">mostra totalmente indevida, </w:t>
      </w:r>
      <w:r w:rsidR="00E77DF0">
        <w:t>posto que a devedora deve</w:t>
      </w:r>
      <w:r w:rsidR="009C2A79">
        <w:t xml:space="preserve"> responder somente com a sua quota-parte.</w:t>
      </w:r>
      <w:r w:rsidR="00E77DF0">
        <w:t xml:space="preserve"> </w:t>
      </w:r>
      <w:r w:rsidR="009C2A79">
        <w:t xml:space="preserve">No tocante </w:t>
      </w:r>
      <w:r w:rsidR="00E77DF0">
        <w:t>à</w:t>
      </w:r>
      <w:r w:rsidR="009C2A79">
        <w:t xml:space="preserve"> cobrança de taxas e tarifas bancárias, é necessário que exista previsão contratual. </w:t>
      </w:r>
    </w:p>
    <w:p w14:paraId="6172281E" w14:textId="2780AA15" w:rsidR="00617CB2" w:rsidRDefault="00617CB2" w:rsidP="003C1463">
      <w:r>
        <w:lastRenderedPageBreak/>
        <w:t xml:space="preserve">Um ponto que dá margem para várias interpretações diz respeito à </w:t>
      </w:r>
      <w:r w:rsidR="009C2A79">
        <w:t>possibilidade de Pedro Cartaxo conseguir o desbloqueio integral do valor penhorado</w:t>
      </w:r>
      <w:r w:rsidR="00E77DF0">
        <w:t xml:space="preserve">. Isso porque, </w:t>
      </w:r>
      <w:r w:rsidR="009C2A79">
        <w:t xml:space="preserve">em tese, </w:t>
      </w:r>
      <w:r w:rsidR="00E77DF0">
        <w:t xml:space="preserve">metade </w:t>
      </w:r>
      <w:r w:rsidR="009C2A79">
        <w:t>do valor em conta perten</w:t>
      </w:r>
      <w:r w:rsidR="00E77DF0">
        <w:t xml:space="preserve">ce à </w:t>
      </w:r>
      <w:r w:rsidR="009C2A79">
        <w:t xml:space="preserve">Luciana. </w:t>
      </w:r>
      <w:r w:rsidR="00E77DF0">
        <w:t xml:space="preserve">Por isso, para obtenção de </w:t>
      </w:r>
      <w:r w:rsidR="009C2A79">
        <w:t xml:space="preserve">uma solução </w:t>
      </w:r>
      <w:r w:rsidR="00E77DF0">
        <w:t xml:space="preserve">mais </w:t>
      </w:r>
      <w:r w:rsidR="009C2A79">
        <w:t xml:space="preserve">adequada, </w:t>
      </w:r>
      <w:r w:rsidR="00E77DF0">
        <w:t xml:space="preserve">recomenda-se </w:t>
      </w:r>
      <w:r w:rsidR="009C2A79">
        <w:t xml:space="preserve">que os discentes consultem precedentes </w:t>
      </w:r>
      <w:r w:rsidR="00F8174D">
        <w:t xml:space="preserve">atualizados </w:t>
      </w:r>
      <w:r w:rsidR="009C2A79">
        <w:t>dos Tribunais Superiores.</w:t>
      </w:r>
    </w:p>
    <w:p w14:paraId="78C39C7F" w14:textId="7E077639" w:rsidR="00CA6835" w:rsidRPr="00DD48C3" w:rsidRDefault="00CA6835" w:rsidP="00D86E33">
      <w:pPr>
        <w:pStyle w:val="Ttulo2"/>
        <w:numPr>
          <w:ilvl w:val="1"/>
          <w:numId w:val="12"/>
        </w:numPr>
        <w:rPr>
          <w:rFonts w:eastAsia="Arial"/>
        </w:rPr>
      </w:pPr>
      <w:r w:rsidRPr="00DD48C3">
        <w:rPr>
          <w:rFonts w:eastAsia="Arial"/>
        </w:rPr>
        <w:t>Discussão e De</w:t>
      </w:r>
      <w:r w:rsidR="00E70B2C" w:rsidRPr="00DD48C3">
        <w:rPr>
          <w:rFonts w:eastAsia="Arial"/>
        </w:rPr>
        <w:t>cisão Real do caso</w:t>
      </w:r>
    </w:p>
    <w:p w14:paraId="7382F376" w14:textId="4A38F3CB" w:rsidR="00477B63" w:rsidRDefault="00EB0580" w:rsidP="003C1463">
      <w:r>
        <w:t>Partindo para o âmbito das discussões, v</w:t>
      </w:r>
      <w:r w:rsidR="00477B63">
        <w:t xml:space="preserve">erificam-se </w:t>
      </w:r>
      <w:r w:rsidR="00560FDE">
        <w:t>algumas</w:t>
      </w:r>
      <w:r w:rsidR="00477B63">
        <w:t xml:space="preserve"> fontes </w:t>
      </w:r>
      <w:r w:rsidR="00560FDE">
        <w:t xml:space="preserve">contratuais </w:t>
      </w:r>
      <w:r w:rsidR="00477B63">
        <w:t>de obrigações no caso relatado</w:t>
      </w:r>
      <w:r>
        <w:t>: (i) o</w:t>
      </w:r>
      <w:r w:rsidR="00560FDE">
        <w:t xml:space="preserve"> contrato de locação</w:t>
      </w:r>
      <w:r>
        <w:t xml:space="preserve">, </w:t>
      </w:r>
      <w:r w:rsidR="000F3346">
        <w:t xml:space="preserve">firmado </w:t>
      </w:r>
      <w:r w:rsidR="00477B63">
        <w:t xml:space="preserve">entre </w:t>
      </w:r>
      <w:r w:rsidR="009C2A79">
        <w:t>Luciana e João Pedro</w:t>
      </w:r>
      <w:r w:rsidR="00560FDE">
        <w:t>,</w:t>
      </w:r>
      <w:r>
        <w:t xml:space="preserve"> que</w:t>
      </w:r>
      <w:r w:rsidR="00560FDE">
        <w:t xml:space="preserve"> ger</w:t>
      </w:r>
      <w:r>
        <w:t xml:space="preserve">ou a </w:t>
      </w:r>
      <w:r w:rsidR="00560FDE">
        <w:t>obrigação de pagar o aluguel</w:t>
      </w:r>
      <w:r>
        <w:t>; (</w:t>
      </w:r>
      <w:proofErr w:type="spellStart"/>
      <w:r>
        <w:t>ii</w:t>
      </w:r>
      <w:proofErr w:type="spellEnd"/>
      <w:r>
        <w:t>) o</w:t>
      </w:r>
      <w:r w:rsidR="00477B63">
        <w:t xml:space="preserve"> contrato de prestação de s</w:t>
      </w:r>
      <w:r w:rsidR="000F3346">
        <w:t>erviços</w:t>
      </w:r>
      <w:r w:rsidR="009C2A79">
        <w:t xml:space="preserve">, </w:t>
      </w:r>
      <w:r>
        <w:t xml:space="preserve">firmado </w:t>
      </w:r>
      <w:r w:rsidR="009C2A79">
        <w:t xml:space="preserve">entre os correntistas </w:t>
      </w:r>
      <w:r w:rsidR="00477B63">
        <w:t xml:space="preserve">e </w:t>
      </w:r>
      <w:r w:rsidR="009C2A79">
        <w:t>a instituição financeira</w:t>
      </w:r>
      <w:r w:rsidR="00477B63">
        <w:t xml:space="preserve"> </w:t>
      </w:r>
      <w:r w:rsidR="009C2A79">
        <w:t>responsável pela manutenção da conta</w:t>
      </w:r>
      <w:r w:rsidR="009B5B6A">
        <w:t xml:space="preserve">, resultando </w:t>
      </w:r>
      <w:r>
        <w:t xml:space="preserve">em </w:t>
      </w:r>
      <w:r w:rsidR="009B5B6A">
        <w:t xml:space="preserve">obrigações de fazer </w:t>
      </w:r>
      <w:r w:rsidR="00386CCF">
        <w:t>ou mesmo de pagar</w:t>
      </w:r>
      <w:r>
        <w:t>.</w:t>
      </w:r>
    </w:p>
    <w:p w14:paraId="18A8F5FA" w14:textId="49BB3449" w:rsidR="007C5D05" w:rsidRDefault="008F097F" w:rsidP="003C1463">
      <w:r>
        <w:t>Com</w:t>
      </w:r>
      <w:r w:rsidR="000F3346">
        <w:t xml:space="preserve"> relação </w:t>
      </w:r>
      <w:r w:rsidR="00036167">
        <w:t>ao contrato de locação</w:t>
      </w:r>
      <w:r w:rsidR="000F3346">
        <w:t xml:space="preserve">, </w:t>
      </w:r>
      <w:r w:rsidR="00337CA1">
        <w:t>considerando que</w:t>
      </w:r>
      <w:r w:rsidR="002539A2">
        <w:t xml:space="preserve"> </w:t>
      </w:r>
      <w:r w:rsidR="000F3346">
        <w:t xml:space="preserve">não há responsabilidade solidária passiva dos correntistas em dívidas com relação a </w:t>
      </w:r>
      <w:r w:rsidR="007C5D05">
        <w:t>terceiros</w:t>
      </w:r>
      <w:r w:rsidR="000F3346">
        <w:t xml:space="preserve">, </w:t>
      </w:r>
      <w:r w:rsidR="007C5D05">
        <w:t xml:space="preserve">o valor a ser penhorado não pode ser maior do que a quota-parte de Luciana, </w:t>
      </w:r>
      <w:r w:rsidR="00036167">
        <w:t xml:space="preserve">a qual, </w:t>
      </w:r>
      <w:r w:rsidR="007C5D05">
        <w:t>a princípio</w:t>
      </w:r>
      <w:r w:rsidR="00036167">
        <w:t>,</w:t>
      </w:r>
      <w:r w:rsidR="007C5D05">
        <w:t xml:space="preserve"> corresponde </w:t>
      </w:r>
      <w:proofErr w:type="spellStart"/>
      <w:r w:rsidR="007C5D05">
        <w:t>a</w:t>
      </w:r>
      <w:proofErr w:type="spellEnd"/>
      <w:r w:rsidR="007C5D05">
        <w:t xml:space="preserve"> </w:t>
      </w:r>
      <w:r w:rsidR="00036167">
        <w:t>metade</w:t>
      </w:r>
      <w:r w:rsidR="007C5D05">
        <w:t xml:space="preserve"> do valor constante na conta.</w:t>
      </w:r>
      <w:r w:rsidR="00036167">
        <w:t xml:space="preserve"> Já n</w:t>
      </w:r>
      <w:r w:rsidR="007C5D05">
        <w:t xml:space="preserve">o que diz respeito </w:t>
      </w:r>
      <w:r w:rsidR="00036167">
        <w:t>à</w:t>
      </w:r>
      <w:r w:rsidR="007C5D05">
        <w:t xml:space="preserve"> obrigação dos correntistas </w:t>
      </w:r>
      <w:r w:rsidR="00036167">
        <w:t xml:space="preserve">em relação à </w:t>
      </w:r>
      <w:r w:rsidR="007C5D05">
        <w:t>instituição bancária, os descontos das taxas bancárias são devidos</w:t>
      </w:r>
      <w:r w:rsidR="001D3573">
        <w:t xml:space="preserve">, caso haja </w:t>
      </w:r>
      <w:r w:rsidR="007C5D05">
        <w:t>previsão contratual</w:t>
      </w:r>
      <w:r w:rsidR="001D3573">
        <w:t xml:space="preserve">. Considerando haver previsão contratual, que é a regra em contratos bancários, </w:t>
      </w:r>
      <w:r w:rsidR="007C5D05">
        <w:t>a cobrança foi realizada corretamente.</w:t>
      </w:r>
    </w:p>
    <w:p w14:paraId="5A1DC0AF" w14:textId="020CD58E" w:rsidR="00E062FB" w:rsidRDefault="007C5D05" w:rsidP="00E062FB">
      <w:r>
        <w:t xml:space="preserve">Por fim, </w:t>
      </w:r>
      <w:r w:rsidR="00036167">
        <w:t xml:space="preserve">quanto à </w:t>
      </w:r>
      <w:r>
        <w:t>transferência bancária realizada por apenas um dos</w:t>
      </w:r>
      <w:r w:rsidR="00036167">
        <w:t xml:space="preserve"> </w:t>
      </w:r>
      <w:proofErr w:type="spellStart"/>
      <w:r w:rsidR="00036167">
        <w:t>cotitulares</w:t>
      </w:r>
      <w:proofErr w:type="spellEnd"/>
      <w:r w:rsidR="00036167">
        <w:t xml:space="preserve">, entende-se que essa </w:t>
      </w:r>
      <w:r>
        <w:t xml:space="preserve">é válida, </w:t>
      </w:r>
      <w:r w:rsidR="00036167">
        <w:t xml:space="preserve">uma vez que há incidência do instituto da solidariedade. Assim, </w:t>
      </w:r>
      <w:r>
        <w:t xml:space="preserve">Pedro </w:t>
      </w:r>
      <w:r w:rsidR="00036167">
        <w:t xml:space="preserve">não possui </w:t>
      </w:r>
      <w:r>
        <w:t xml:space="preserve">direito a qualquer reembolso </w:t>
      </w:r>
      <w:r w:rsidR="00036167">
        <w:t>em</w:t>
      </w:r>
      <w:r>
        <w:t xml:space="preserve"> relação a</w:t>
      </w:r>
      <w:r w:rsidR="00036167">
        <w:t>os valores eventualmente transferidos por Luciana.</w:t>
      </w:r>
      <w:r>
        <w:t xml:space="preserve"> </w:t>
      </w:r>
      <w:r w:rsidR="00E062FB">
        <w:t>Nesse momento, deve-se chamar os alunos para reflexão quanto à responsabilidade solidária ativa entre Pedro e Luciana, pontuando no que aquela primeira se diferencia da responsabilidade solidária passiva.</w:t>
      </w:r>
    </w:p>
    <w:p w14:paraId="5A54A742" w14:textId="312AA013" w:rsidR="00CA6835" w:rsidRDefault="00CA6835" w:rsidP="00D86E33">
      <w:pPr>
        <w:pStyle w:val="Ttulo2"/>
        <w:numPr>
          <w:ilvl w:val="1"/>
          <w:numId w:val="12"/>
        </w:numPr>
        <w:rPr>
          <w:rFonts w:eastAsia="Arial"/>
        </w:rPr>
      </w:pPr>
      <w:r w:rsidRPr="00CA6835">
        <w:rPr>
          <w:rFonts w:eastAsia="Arial"/>
        </w:rPr>
        <w:t>Sugestões d</w:t>
      </w:r>
      <w:r w:rsidR="005E4665">
        <w:rPr>
          <w:rFonts w:eastAsia="Arial"/>
        </w:rPr>
        <w:t>e assuntos a serem trabalhados</w:t>
      </w:r>
    </w:p>
    <w:p w14:paraId="6BC8D161" w14:textId="77777777" w:rsidR="00330C59" w:rsidRDefault="003422CA" w:rsidP="003C1463">
      <w:r>
        <w:t xml:space="preserve">Dentro da discussão em grupo, o docente poderá tratar de aspectos </w:t>
      </w:r>
      <w:r w:rsidR="008B3B44">
        <w:t xml:space="preserve">teóricos </w:t>
      </w:r>
      <w:r>
        <w:t>do direito obrigacional</w:t>
      </w:r>
      <w:r w:rsidR="00A756C0">
        <w:t xml:space="preserve"> e do direito dos contratos, perpassando pelas matérias das </w:t>
      </w:r>
      <w:r w:rsidR="008B3B44">
        <w:t xml:space="preserve">fontes </w:t>
      </w:r>
      <w:r w:rsidR="00A756C0">
        <w:t>das obrigações sendo a principal delas o contra</w:t>
      </w:r>
      <w:r w:rsidR="00330C59">
        <w:t xml:space="preserve">to, assim como as </w:t>
      </w:r>
      <w:r>
        <w:t>modalidades das obrigações a</w:t>
      </w:r>
      <w:r w:rsidR="008B3B44">
        <w:t>ssumidas</w:t>
      </w:r>
      <w:r w:rsidR="00330C59">
        <w:t>.</w:t>
      </w:r>
    </w:p>
    <w:p w14:paraId="1E01CD54" w14:textId="570B8311" w:rsidR="003C1463" w:rsidRDefault="00330C59" w:rsidP="003C1463">
      <w:r>
        <w:t xml:space="preserve">É salutar tratar também dos </w:t>
      </w:r>
      <w:r w:rsidR="008B3B44">
        <w:t>aspectos mais práticos relacionados com a responsabilização das partes, seja de maneira objetiva, seja de maneira subjetiva</w:t>
      </w:r>
      <w:r w:rsidR="00347761">
        <w:t>, posicionando-se quanto à presunção da culpa na responsabilidade negocial</w:t>
      </w:r>
      <w:r w:rsidR="008B3B44">
        <w:t>.</w:t>
      </w:r>
    </w:p>
    <w:p w14:paraId="2A8DE729" w14:textId="1507E4FB" w:rsidR="008B3B44" w:rsidRDefault="007C5D05" w:rsidP="003C1463">
      <w:r>
        <w:lastRenderedPageBreak/>
        <w:t>A classificação das obrigações e os princípios do direito</w:t>
      </w:r>
      <w:r w:rsidR="008B3B44">
        <w:t xml:space="preserve"> obrigacional merecem muita atenção neste caso, especialmente o</w:t>
      </w:r>
      <w:r>
        <w:t>s</w:t>
      </w:r>
      <w:r w:rsidR="008B3B44">
        <w:t xml:space="preserve"> princípio</w:t>
      </w:r>
      <w:r>
        <w:t>s</w:t>
      </w:r>
      <w:r w:rsidR="008B3B44">
        <w:t xml:space="preserve"> da </w:t>
      </w:r>
      <w:r>
        <w:t>relatividade</w:t>
      </w:r>
      <w:r w:rsidR="00EB0580">
        <w:t xml:space="preserve"> dos efeitos do contrato e </w:t>
      </w:r>
      <w:r>
        <w:t>da responsabilidade patrimonial</w:t>
      </w:r>
      <w:r w:rsidR="008B3B44">
        <w:t>.</w:t>
      </w:r>
    </w:p>
    <w:p w14:paraId="461122DF" w14:textId="42C83B90" w:rsidR="00CA6835" w:rsidRPr="00D86E33" w:rsidRDefault="00CA6835" w:rsidP="00D86E33">
      <w:pPr>
        <w:pStyle w:val="Ttulo2"/>
        <w:numPr>
          <w:ilvl w:val="1"/>
          <w:numId w:val="12"/>
        </w:numPr>
        <w:rPr>
          <w:rFonts w:eastAsia="Arial"/>
        </w:rPr>
      </w:pPr>
      <w:r w:rsidRPr="00D86E33">
        <w:rPr>
          <w:rFonts w:eastAsia="Arial"/>
        </w:rPr>
        <w:t>Q</w:t>
      </w:r>
      <w:r w:rsidR="005E4665" w:rsidRPr="00D86E33">
        <w:rPr>
          <w:rFonts w:eastAsia="Arial"/>
        </w:rPr>
        <w:t>uestões para discussão do caso</w:t>
      </w:r>
    </w:p>
    <w:p w14:paraId="05CB9A07" w14:textId="17FA885B" w:rsidR="007917AA" w:rsidRPr="00FA6B0A" w:rsidRDefault="00D86E33" w:rsidP="0051686F">
      <w:r>
        <w:t xml:space="preserve">Diante do exposto, no intuito de melhor encaminhar as </w:t>
      </w:r>
      <w:r w:rsidR="00FA6B0A">
        <w:t xml:space="preserve">discussões </w:t>
      </w:r>
      <w:r>
        <w:t xml:space="preserve">a serem realizadas </w:t>
      </w:r>
      <w:r w:rsidR="00FA6B0A">
        <w:t xml:space="preserve">pelos discentes e </w:t>
      </w:r>
      <w:r>
        <w:t xml:space="preserve">de </w:t>
      </w:r>
      <w:r w:rsidR="00FA6B0A">
        <w:t xml:space="preserve">estruturar </w:t>
      </w:r>
      <w:r>
        <w:t>su</w:t>
      </w:r>
      <w:r w:rsidR="00FA6B0A">
        <w:t>a</w:t>
      </w:r>
      <w:r>
        <w:t>s</w:t>
      </w:r>
      <w:r w:rsidR="00FA6B0A">
        <w:t xml:space="preserve"> resposta</w:t>
      </w:r>
      <w:r>
        <w:t>s</w:t>
      </w:r>
      <w:r w:rsidR="00FA6B0A">
        <w:t xml:space="preserve">, </w:t>
      </w:r>
      <w:r>
        <w:t>direcion</w:t>
      </w:r>
      <w:r w:rsidR="0051686F">
        <w:t xml:space="preserve">ou-se </w:t>
      </w:r>
      <w:r w:rsidR="00FA6B0A">
        <w:t>algumas questões</w:t>
      </w:r>
      <w:r>
        <w:t>, as quais</w:t>
      </w:r>
      <w:r w:rsidR="00FA6B0A">
        <w:t xml:space="preserve"> deverão ser abordadas na solução d</w:t>
      </w:r>
      <w:r w:rsidR="0051686F">
        <w:t>a</w:t>
      </w:r>
      <w:r w:rsidR="00FA6B0A">
        <w:t xml:space="preserve"> problem</w:t>
      </w:r>
      <w:r w:rsidR="0051686F">
        <w:t>ática</w:t>
      </w:r>
      <w:r w:rsidR="00FA6B0A">
        <w:t>:</w:t>
      </w:r>
    </w:p>
    <w:p w14:paraId="4A6A60A4" w14:textId="1275518C" w:rsidR="00D64913" w:rsidRDefault="00C84308" w:rsidP="00D64913">
      <w:pPr>
        <w:numPr>
          <w:ilvl w:val="0"/>
          <w:numId w:val="7"/>
        </w:numPr>
      </w:pPr>
      <w:r>
        <w:t xml:space="preserve">Qual é o tipo da conta corrente de Pedro Cartaxo e Luciana Silva: não solidária ou solidária? </w:t>
      </w:r>
      <w:r w:rsidR="00D64913">
        <w:t xml:space="preserve">Explique </w:t>
      </w:r>
      <w:r>
        <w:t>as características d</w:t>
      </w:r>
      <w:r w:rsidR="00D64913">
        <w:t>os tipos.</w:t>
      </w:r>
    </w:p>
    <w:p w14:paraId="6E0A5DAD" w14:textId="7E81A7EE" w:rsidR="00D64913" w:rsidRDefault="00C84308" w:rsidP="00C84308">
      <w:pPr>
        <w:pStyle w:val="PargrafodaLista"/>
        <w:numPr>
          <w:ilvl w:val="0"/>
          <w:numId w:val="7"/>
        </w:numPr>
        <w:tabs>
          <w:tab w:val="left" w:pos="1908"/>
        </w:tabs>
      </w:pPr>
      <w:r>
        <w:t>Em relação às tarifas debitadas na conta corrente conjunta, Pedro Cartaxo e Luciana Silva são considerados devedores solidários passivos perante o banco? Justifique sua resposta.</w:t>
      </w:r>
    </w:p>
    <w:p w14:paraId="1EB8977B" w14:textId="77777777" w:rsidR="00D64913" w:rsidRDefault="00D64913" w:rsidP="00D64913">
      <w:pPr>
        <w:numPr>
          <w:ilvl w:val="0"/>
          <w:numId w:val="7"/>
        </w:numPr>
      </w:pPr>
      <w:r>
        <w:t>O banco pode, de uma forma geral, debitar uma tarifa na conta corrente conjunta solidária?</w:t>
      </w:r>
    </w:p>
    <w:p w14:paraId="53696940" w14:textId="70E943A2" w:rsidR="00C84308" w:rsidRDefault="00C84308" w:rsidP="00D64913">
      <w:pPr>
        <w:numPr>
          <w:ilvl w:val="0"/>
          <w:numId w:val="7"/>
        </w:numPr>
      </w:pPr>
      <w:r>
        <w:t>Qual é o prazo de prescrição para cobrança de tarifas bancárias?</w:t>
      </w:r>
    </w:p>
    <w:p w14:paraId="27C03290" w14:textId="0874533A" w:rsidR="00D64913" w:rsidRDefault="00C84308" w:rsidP="00D64913">
      <w:pPr>
        <w:numPr>
          <w:ilvl w:val="0"/>
          <w:numId w:val="7"/>
        </w:numPr>
      </w:pPr>
      <w:r>
        <w:t>Considerando que a tarifa de 2017 foi cobrada em 2022, é correto afirmar que a pretensão da dívida está prescrita?</w:t>
      </w:r>
    </w:p>
    <w:p w14:paraId="13608905" w14:textId="7A695C1F" w:rsidR="00D64913" w:rsidRDefault="00C84308" w:rsidP="00D64913">
      <w:pPr>
        <w:numPr>
          <w:ilvl w:val="0"/>
          <w:numId w:val="7"/>
        </w:numPr>
      </w:pPr>
      <w:r>
        <w:t>Com base nas informações apresentadas, explique se Pedro Cartaxo tem direito a um reembolso total de R$ 1.000,00, um reembolso parcial de R$ 500,00 ou nenhum reembolso</w:t>
      </w:r>
      <w:r w:rsidR="00D64913">
        <w:t>.</w:t>
      </w:r>
    </w:p>
    <w:p w14:paraId="79753BF6" w14:textId="17186616" w:rsidR="00D64913" w:rsidRDefault="00D64913" w:rsidP="00D64913">
      <w:pPr>
        <w:numPr>
          <w:ilvl w:val="0"/>
          <w:numId w:val="7"/>
        </w:numPr>
      </w:pPr>
      <w:r>
        <w:t xml:space="preserve">Quanto à transferência de R$ 30.000,00 (trinta mil reais) para a mãe de sua esposa, Pedro Cartaxo e Luciana Silva são credores solidários ou devedores solidários </w:t>
      </w:r>
      <w:r w:rsidR="00C84308">
        <w:t>perante a</w:t>
      </w:r>
      <w:r>
        <w:t>o banco?</w:t>
      </w:r>
    </w:p>
    <w:p w14:paraId="218A4095" w14:textId="041FFA66" w:rsidR="00D64913" w:rsidRDefault="00D64913" w:rsidP="00D64913">
      <w:pPr>
        <w:numPr>
          <w:ilvl w:val="0"/>
          <w:numId w:val="7"/>
        </w:numPr>
      </w:pPr>
      <w:r>
        <w:t>A ordem de transferência de modo verbal é válida?</w:t>
      </w:r>
      <w:r w:rsidR="00C84308">
        <w:t xml:space="preserve"> Justifique a sua resposta.</w:t>
      </w:r>
    </w:p>
    <w:p w14:paraId="4FDC637A" w14:textId="77777777" w:rsidR="00D64913" w:rsidRDefault="00D64913" w:rsidP="00D64913">
      <w:pPr>
        <w:numPr>
          <w:ilvl w:val="0"/>
          <w:numId w:val="7"/>
        </w:numPr>
      </w:pPr>
      <w:r>
        <w:t>Pedro Cartaxo tem direito ao reembolso total do valor transferido, R$ 30.000,00 (trinta mil reais)? Ou parcial (R$ 15.000,00)? Ou a nada? Explique.</w:t>
      </w:r>
    </w:p>
    <w:p w14:paraId="54E126DF" w14:textId="77777777" w:rsidR="00D64913" w:rsidRDefault="00D64913" w:rsidP="00D64913">
      <w:pPr>
        <w:numPr>
          <w:ilvl w:val="0"/>
          <w:numId w:val="7"/>
        </w:numPr>
      </w:pPr>
      <w:r>
        <w:t>Quanto aos valores penhorados na ação de execução da dívida de aluguel de Luciana Silva, os correntistas Pedro Cartaxo e Luciana Silva são solidários com terceiros (no caso o locador do imóvel alugado a sua esposa)?</w:t>
      </w:r>
    </w:p>
    <w:p w14:paraId="5C9D13E6" w14:textId="77777777" w:rsidR="00D64913" w:rsidRDefault="00D64913" w:rsidP="00D64913">
      <w:pPr>
        <w:numPr>
          <w:ilvl w:val="0"/>
          <w:numId w:val="7"/>
        </w:numPr>
      </w:pPr>
      <w:r>
        <w:t>Qual o valor correto que deveria ter sido penhorado na conta conjunta em face da dívida de R$ 100.000,00 (cem mil reais) de um correntista (Luciana Silva)?</w:t>
      </w:r>
    </w:p>
    <w:p w14:paraId="24ECF0F8" w14:textId="7BDD2583" w:rsidR="00C84308" w:rsidRDefault="00C84308" w:rsidP="00C84308">
      <w:pPr>
        <w:numPr>
          <w:ilvl w:val="0"/>
          <w:numId w:val="7"/>
        </w:numPr>
      </w:pPr>
      <w:r>
        <w:lastRenderedPageBreak/>
        <w:t>Se considerarmos agora que Pedro Cartaxo tenha comprovado por meio de documentos que o valor penhorado na conta era proveniente da venda de seu carro, ele conseguiria a liberação total do valor penhorado, mesmo que a conta seja solidária? Explique a situação.</w:t>
      </w:r>
    </w:p>
    <w:p w14:paraId="1EFB155B" w14:textId="77777777" w:rsidR="00C84308" w:rsidRDefault="00C84308" w:rsidP="00C84308">
      <w:pPr>
        <w:pStyle w:val="PargrafodaLista"/>
        <w:numPr>
          <w:ilvl w:val="0"/>
          <w:numId w:val="7"/>
        </w:numPr>
      </w:pPr>
      <w:r>
        <w:t>Suponha que Luciana Silva tenha realizado uma transação duvidosa em sua conta corrente conjunta com Pedro Cartaxo, e ele não reconheça a operação. Quais seriam as medidas a serem tomadas por Pedro para resolver esse tipo de situação e quais seriam os direitos dele nesse contexto?</w:t>
      </w:r>
    </w:p>
    <w:p w14:paraId="7A8A83DF" w14:textId="77777777" w:rsidR="00C84308" w:rsidRDefault="00C84308" w:rsidP="00C84308">
      <w:pPr>
        <w:pStyle w:val="PargrafodaLista"/>
        <w:numPr>
          <w:ilvl w:val="0"/>
          <w:numId w:val="7"/>
        </w:numPr>
      </w:pPr>
      <w:r>
        <w:t>Em caso de litígio entre Pedro Cartaxo e Luciana Silva, no qual ambos reivindicam direitos sobre o saldo da conta conjunta, como o banco agiria nessa situação para evitar problemas legais e garantir a segurança dos fundos em questão?</w:t>
      </w:r>
    </w:p>
    <w:p w14:paraId="263EFCE6" w14:textId="72BCBAF2" w:rsidR="00C84308" w:rsidRDefault="00C84308" w:rsidP="0051686F">
      <w:pPr>
        <w:numPr>
          <w:ilvl w:val="0"/>
          <w:numId w:val="7"/>
        </w:numPr>
      </w:pPr>
      <w:r>
        <w:t>Em uma conta corrente conjunta solidária, Pedro Cartaxo fez um investimento utilizando os recursos da conta compartilhada. Caso o investimento tenha prejuízo ou rendimentos, como isso afetaria tanto Pedro quanto Luciana Silva? Existe uma divisão específica dos resultados?</w:t>
      </w:r>
    </w:p>
    <w:p w14:paraId="66014623" w14:textId="77777777" w:rsidR="00B64630" w:rsidRDefault="00B64630" w:rsidP="00854AF1"/>
    <w:p w14:paraId="01E8B88F" w14:textId="26715CC9" w:rsidR="004268CE" w:rsidRPr="00F26B93" w:rsidRDefault="004268CE" w:rsidP="00854AF1">
      <w:r>
        <w:t>Optando-se por dividir a sala em cinco grupos, os grupos responde</w:t>
      </w:r>
      <w:r w:rsidR="00854AF1">
        <w:t>rão</w:t>
      </w:r>
      <w:r>
        <w:t xml:space="preserve"> aos questionamentos seguindo a ordem das perguntas</w:t>
      </w:r>
      <w:r w:rsidR="00854AF1">
        <w:t xml:space="preserve"> proposta pelo p</w:t>
      </w:r>
      <w:r>
        <w:t>rofessor e tutores</w:t>
      </w:r>
      <w:r w:rsidR="00854AF1">
        <w:t>: (i) grupo 01</w:t>
      </w:r>
      <w:r>
        <w:t xml:space="preserve">: </w:t>
      </w:r>
      <w:r w:rsidR="00854AF1">
        <w:t>p</w:t>
      </w:r>
      <w:r>
        <w:t>er</w:t>
      </w:r>
      <w:r w:rsidR="003B508D">
        <w:t>guntas 1, 6</w:t>
      </w:r>
      <w:r w:rsidR="00854AF1">
        <w:t xml:space="preserve"> e</w:t>
      </w:r>
      <w:r w:rsidR="003B508D">
        <w:t xml:space="preserve"> 11;</w:t>
      </w:r>
      <w:r w:rsidR="00854AF1">
        <w:t xml:space="preserve"> (</w:t>
      </w:r>
      <w:proofErr w:type="spellStart"/>
      <w:r w:rsidR="00854AF1">
        <w:t>ii</w:t>
      </w:r>
      <w:proofErr w:type="spellEnd"/>
      <w:r w:rsidR="00854AF1">
        <w:t>) grupo 02: p</w:t>
      </w:r>
      <w:r w:rsidR="003B508D">
        <w:t>erguntas 2, 7</w:t>
      </w:r>
      <w:r w:rsidR="00854AF1">
        <w:t xml:space="preserve"> e</w:t>
      </w:r>
      <w:r w:rsidR="003B508D">
        <w:t xml:space="preserve"> 12</w:t>
      </w:r>
      <w:r>
        <w:t>;</w:t>
      </w:r>
      <w:r w:rsidR="003B508D">
        <w:t xml:space="preserve"> </w:t>
      </w:r>
      <w:r w:rsidR="00854AF1">
        <w:t>(</w:t>
      </w:r>
      <w:proofErr w:type="spellStart"/>
      <w:r w:rsidR="00854AF1">
        <w:t>iii</w:t>
      </w:r>
      <w:proofErr w:type="spellEnd"/>
      <w:r w:rsidR="00854AF1">
        <w:t>) grupo 03</w:t>
      </w:r>
      <w:r w:rsidR="003B508D">
        <w:t xml:space="preserve">: </w:t>
      </w:r>
      <w:r w:rsidR="00854AF1">
        <w:t>p</w:t>
      </w:r>
      <w:r w:rsidR="003B508D">
        <w:t>erguntas 3, 8</w:t>
      </w:r>
      <w:r w:rsidR="00854AF1">
        <w:t xml:space="preserve"> e</w:t>
      </w:r>
      <w:r w:rsidR="003B508D">
        <w:t xml:space="preserve"> 13</w:t>
      </w:r>
      <w:r>
        <w:t>;</w:t>
      </w:r>
      <w:r w:rsidR="00854AF1">
        <w:t xml:space="preserve"> (</w:t>
      </w:r>
      <w:proofErr w:type="spellStart"/>
      <w:r w:rsidR="00854AF1">
        <w:t>iv</w:t>
      </w:r>
      <w:proofErr w:type="spellEnd"/>
      <w:r w:rsidR="00854AF1">
        <w:t>) grupo 04: p</w:t>
      </w:r>
      <w:r w:rsidR="003B508D">
        <w:t>erguntas 4, 9</w:t>
      </w:r>
      <w:r w:rsidR="00854AF1">
        <w:t xml:space="preserve"> e </w:t>
      </w:r>
      <w:r w:rsidR="003B508D">
        <w:t>14</w:t>
      </w:r>
      <w:r>
        <w:t>;</w:t>
      </w:r>
      <w:r w:rsidR="00854AF1">
        <w:t xml:space="preserve"> (v) grupo 05</w:t>
      </w:r>
      <w:r w:rsidR="003B508D">
        <w:t xml:space="preserve">: </w:t>
      </w:r>
      <w:r w:rsidR="00854AF1">
        <w:t>p</w:t>
      </w:r>
      <w:r w:rsidR="003B508D">
        <w:t>erguntas 5, 10</w:t>
      </w:r>
      <w:r w:rsidR="00854AF1">
        <w:t xml:space="preserve"> e</w:t>
      </w:r>
      <w:r w:rsidR="003B508D">
        <w:t xml:space="preserve"> 15</w:t>
      </w:r>
      <w:r>
        <w:t>.</w:t>
      </w:r>
    </w:p>
    <w:p w14:paraId="7C8422D1" w14:textId="5ACE84DE" w:rsidR="00D02A50" w:rsidRDefault="00CA6835" w:rsidP="00D86E33">
      <w:pPr>
        <w:pStyle w:val="Ttulo2"/>
        <w:numPr>
          <w:ilvl w:val="1"/>
          <w:numId w:val="12"/>
        </w:numPr>
        <w:rPr>
          <w:rFonts w:eastAsia="Arial"/>
        </w:rPr>
      </w:pPr>
      <w:r w:rsidRPr="00CA6835">
        <w:rPr>
          <w:rFonts w:eastAsia="Arial"/>
        </w:rPr>
        <w:t xml:space="preserve">Indicações </w:t>
      </w:r>
      <w:r w:rsidR="005E4665">
        <w:rPr>
          <w:rFonts w:eastAsia="Arial"/>
        </w:rPr>
        <w:t>bibliográficas</w:t>
      </w:r>
    </w:p>
    <w:p w14:paraId="33C8B0AD" w14:textId="33216519" w:rsidR="003C1463" w:rsidRDefault="003B5E2C" w:rsidP="003C1463">
      <w:r>
        <w:t xml:space="preserve">Para aplicação do presente caso de </w:t>
      </w:r>
      <w:r w:rsidR="00F70A5D">
        <w:t xml:space="preserve">ensino, seja como fonte de leitura prévia, seja como fonte de consulta no momento da elaboração da solução do problema, </w:t>
      </w:r>
      <w:r w:rsidR="00494F06">
        <w:t>indicam-se as seguintes obras:</w:t>
      </w:r>
    </w:p>
    <w:p w14:paraId="4556522A" w14:textId="1DD11F04" w:rsidR="00291762" w:rsidRDefault="00E20E23" w:rsidP="003B05C0">
      <w:pPr>
        <w:pStyle w:val="PargrafodaLista"/>
        <w:numPr>
          <w:ilvl w:val="0"/>
          <w:numId w:val="13"/>
        </w:numPr>
      </w:pPr>
      <w:r w:rsidRPr="000B41FE">
        <w:t xml:space="preserve">AMARAL, </w:t>
      </w:r>
      <w:r w:rsidRPr="00501515">
        <w:t>Francisco</w:t>
      </w:r>
      <w:r w:rsidRPr="000B41FE">
        <w:t xml:space="preserve">. </w:t>
      </w:r>
      <w:r w:rsidRPr="003B05C0">
        <w:rPr>
          <w:b/>
        </w:rPr>
        <w:t>Direito civil</w:t>
      </w:r>
      <w:r w:rsidRPr="000B41FE">
        <w:t>: introdução. 5. ed. Rio de Janeiro: Renovar, 2004</w:t>
      </w:r>
      <w:r>
        <w:t>.</w:t>
      </w:r>
    </w:p>
    <w:p w14:paraId="6F35E1F6" w14:textId="7A9F9459" w:rsidR="00291762" w:rsidRDefault="002210D0" w:rsidP="003B05C0">
      <w:pPr>
        <w:pStyle w:val="PargrafodaLista"/>
        <w:numPr>
          <w:ilvl w:val="0"/>
          <w:numId w:val="13"/>
        </w:numPr>
      </w:pPr>
      <w:r>
        <w:t xml:space="preserve">BRAGA NETTO, Felipe Peixoto; FARIAS, Cristiano; ROSENVALD, Nelson. </w:t>
      </w:r>
      <w:r w:rsidRPr="003B05C0">
        <w:rPr>
          <w:b/>
        </w:rPr>
        <w:t>Curso de direito civil</w:t>
      </w:r>
      <w:r w:rsidRPr="003B05C0">
        <w:rPr>
          <w:bCs/>
        </w:rPr>
        <w:t>:</w:t>
      </w:r>
      <w:r w:rsidRPr="00340C56">
        <w:t xml:space="preserve"> </w:t>
      </w:r>
      <w:r>
        <w:t>responsabilidade civil</w:t>
      </w:r>
      <w:r w:rsidRPr="003B05C0">
        <w:rPr>
          <w:i/>
        </w:rPr>
        <w:t xml:space="preserve">. </w:t>
      </w:r>
      <w:r>
        <w:t xml:space="preserve">16. ed. Salvador: </w:t>
      </w:r>
      <w:proofErr w:type="spellStart"/>
      <w:r>
        <w:t>JusPodivm</w:t>
      </w:r>
      <w:proofErr w:type="spellEnd"/>
      <w:r>
        <w:t>, 2022, v. 3.</w:t>
      </w:r>
    </w:p>
    <w:p w14:paraId="785BAED9" w14:textId="570B0780" w:rsidR="00291762" w:rsidRDefault="00501515" w:rsidP="003B05C0">
      <w:pPr>
        <w:pStyle w:val="PargrafodaLista"/>
        <w:numPr>
          <w:ilvl w:val="0"/>
          <w:numId w:val="13"/>
        </w:numPr>
      </w:pPr>
      <w:r w:rsidRPr="001A43BA">
        <w:t xml:space="preserve">DINIZ, Maria Helena </w:t>
      </w:r>
      <w:r w:rsidRPr="004C62B4">
        <w:t>Diniz</w:t>
      </w:r>
      <w:r w:rsidRPr="001A43BA">
        <w:t xml:space="preserve">. </w:t>
      </w:r>
      <w:r w:rsidRPr="003B05C0">
        <w:rPr>
          <w:b/>
        </w:rPr>
        <w:t>Curso de direito civil brasileiro</w:t>
      </w:r>
      <w:r w:rsidRPr="001A43BA">
        <w:t>: teoria geral das obrigações. 35. ed. São Paulo: Saraiva, 2020</w:t>
      </w:r>
      <w:r>
        <w:t>.</w:t>
      </w:r>
    </w:p>
    <w:p w14:paraId="29706074" w14:textId="5D2BAC5D" w:rsidR="00291762" w:rsidRDefault="00A84BE8" w:rsidP="003B05C0">
      <w:pPr>
        <w:pStyle w:val="PargrafodaLista"/>
        <w:numPr>
          <w:ilvl w:val="0"/>
          <w:numId w:val="13"/>
        </w:numPr>
      </w:pPr>
      <w:r>
        <w:lastRenderedPageBreak/>
        <w:t xml:space="preserve">FARIAS, Cristiano; ROSENVALD, Nelson. </w:t>
      </w:r>
      <w:r w:rsidRPr="003B05C0">
        <w:rPr>
          <w:b/>
        </w:rPr>
        <w:t>Curso de direito civil</w:t>
      </w:r>
      <w:r w:rsidRPr="003B05C0">
        <w:rPr>
          <w:bCs/>
        </w:rPr>
        <w:t>:</w:t>
      </w:r>
      <w:r w:rsidRPr="00340C56">
        <w:t xml:space="preserve"> obrigações</w:t>
      </w:r>
      <w:r w:rsidRPr="003B05C0">
        <w:rPr>
          <w:i/>
        </w:rPr>
        <w:t xml:space="preserve">. </w:t>
      </w:r>
      <w:r>
        <w:t xml:space="preserve">16. ed. Salvador: </w:t>
      </w:r>
      <w:proofErr w:type="spellStart"/>
      <w:r>
        <w:t>JusPodivm</w:t>
      </w:r>
      <w:proofErr w:type="spellEnd"/>
      <w:r>
        <w:t>, 2022, v. 2.</w:t>
      </w:r>
    </w:p>
    <w:p w14:paraId="092CA3A7" w14:textId="6F805714" w:rsidR="00291762" w:rsidRDefault="00845575" w:rsidP="003B05C0">
      <w:pPr>
        <w:pStyle w:val="PargrafodaLista"/>
        <w:numPr>
          <w:ilvl w:val="0"/>
          <w:numId w:val="13"/>
        </w:numPr>
      </w:pPr>
      <w:r w:rsidRPr="001075EC">
        <w:t>FARIAS, Cristiano Chaves de; ROSENVALD, Nelson</w:t>
      </w:r>
      <w:r w:rsidRPr="003B05C0">
        <w:rPr>
          <w:bCs/>
        </w:rPr>
        <w:t>.</w:t>
      </w:r>
      <w:r w:rsidRPr="003B05C0">
        <w:rPr>
          <w:b/>
        </w:rPr>
        <w:t xml:space="preserve"> Curso de direito civil</w:t>
      </w:r>
      <w:r w:rsidRPr="001075EC">
        <w:t xml:space="preserve">: contratos. 7. ed. Salvador: </w:t>
      </w:r>
      <w:proofErr w:type="spellStart"/>
      <w:r w:rsidRPr="001075EC">
        <w:t>Juspodivm</w:t>
      </w:r>
      <w:proofErr w:type="spellEnd"/>
      <w:r w:rsidRPr="001075EC">
        <w:t>, 2017, v. 4.</w:t>
      </w:r>
    </w:p>
    <w:p w14:paraId="3C4CCA53" w14:textId="73742324" w:rsidR="00705434" w:rsidRDefault="00705434" w:rsidP="003B05C0">
      <w:pPr>
        <w:pStyle w:val="PargrafodaLista"/>
        <w:numPr>
          <w:ilvl w:val="0"/>
          <w:numId w:val="13"/>
        </w:numPr>
      </w:pPr>
      <w:r>
        <w:t xml:space="preserve">GAGLIANO, Pablo </w:t>
      </w:r>
      <w:proofErr w:type="spellStart"/>
      <w:r>
        <w:t>Stolze</w:t>
      </w:r>
      <w:proofErr w:type="spellEnd"/>
      <w:r>
        <w:t xml:space="preserve">; PAMPLONA FILHO, Rodolfo. </w:t>
      </w:r>
      <w:r w:rsidRPr="003B05C0">
        <w:rPr>
          <w:b/>
        </w:rPr>
        <w:t>Novo curso de direito civil</w:t>
      </w:r>
      <w:r w:rsidRPr="003B05C0">
        <w:rPr>
          <w:bCs/>
        </w:rPr>
        <w:t>:</w:t>
      </w:r>
      <w:r w:rsidRPr="003B05C0">
        <w:rPr>
          <w:b/>
        </w:rPr>
        <w:t xml:space="preserve"> </w:t>
      </w:r>
      <w:r w:rsidRPr="00F76A53">
        <w:t>obrigações</w:t>
      </w:r>
      <w:r w:rsidRPr="003B05C0">
        <w:rPr>
          <w:i/>
        </w:rPr>
        <w:t xml:space="preserve">. </w:t>
      </w:r>
      <w:r>
        <w:t xml:space="preserve">23. ed. São Paulo: </w:t>
      </w:r>
      <w:proofErr w:type="spellStart"/>
      <w:r>
        <w:t>SaraivaJur</w:t>
      </w:r>
      <w:proofErr w:type="spellEnd"/>
      <w:r>
        <w:t>, 2022, v. 2.</w:t>
      </w:r>
    </w:p>
    <w:p w14:paraId="78B303BE" w14:textId="29999EAA" w:rsidR="00291762" w:rsidRDefault="00845575" w:rsidP="003B05C0">
      <w:pPr>
        <w:pStyle w:val="PargrafodaLista"/>
        <w:numPr>
          <w:ilvl w:val="0"/>
          <w:numId w:val="13"/>
        </w:numPr>
      </w:pPr>
      <w:r w:rsidRPr="001E3520">
        <w:t xml:space="preserve">GOMES, Orlando. </w:t>
      </w:r>
      <w:r w:rsidRPr="003B05C0">
        <w:rPr>
          <w:b/>
        </w:rPr>
        <w:t>Contratos</w:t>
      </w:r>
      <w:r w:rsidRPr="001E3520">
        <w:t xml:space="preserve">. 28. ed. </w:t>
      </w:r>
      <w:r>
        <w:t>Atualização de Edvaldo Brito.</w:t>
      </w:r>
      <w:r w:rsidRPr="001E3520">
        <w:t xml:space="preserve"> Rio de Janeiro: Forense, 2022</w:t>
      </w:r>
      <w:r>
        <w:t>.</w:t>
      </w:r>
    </w:p>
    <w:p w14:paraId="6883150F" w14:textId="1D6B76D8" w:rsidR="00291762" w:rsidRDefault="004C62B4" w:rsidP="003B05C0">
      <w:pPr>
        <w:pStyle w:val="PargrafodaLista"/>
        <w:numPr>
          <w:ilvl w:val="0"/>
          <w:numId w:val="13"/>
        </w:numPr>
      </w:pPr>
      <w:r w:rsidRPr="00262DF9">
        <w:t xml:space="preserve">GOMES, Orlando. </w:t>
      </w:r>
      <w:r w:rsidRPr="003B05C0">
        <w:rPr>
          <w:b/>
        </w:rPr>
        <w:t>Obrigações</w:t>
      </w:r>
      <w:r w:rsidRPr="00262DF9">
        <w:t xml:space="preserve">. </w:t>
      </w:r>
      <w:r>
        <w:t>19</w:t>
      </w:r>
      <w:r w:rsidRPr="00262DF9">
        <w:t>. ed. Rio de Janeiro: Forense, 20</w:t>
      </w:r>
      <w:r>
        <w:t>19</w:t>
      </w:r>
      <w:r w:rsidRPr="00262DF9">
        <w:t>.</w:t>
      </w:r>
    </w:p>
    <w:p w14:paraId="10E080B5" w14:textId="3EBAF531" w:rsidR="00291762" w:rsidRDefault="000728D3" w:rsidP="003B05C0">
      <w:pPr>
        <w:pStyle w:val="PargrafodaLista"/>
        <w:numPr>
          <w:ilvl w:val="0"/>
          <w:numId w:val="13"/>
        </w:numPr>
      </w:pPr>
      <w:r w:rsidRPr="00837D7A">
        <w:t xml:space="preserve">GONÇALVES, Carlos Roberto. </w:t>
      </w:r>
      <w:r w:rsidRPr="003B05C0">
        <w:rPr>
          <w:b/>
        </w:rPr>
        <w:t>Direito civil brasileiro</w:t>
      </w:r>
      <w:r w:rsidRPr="00837D7A">
        <w:t xml:space="preserve">: teoria geral das obrigações. 20. ed. Edição do </w:t>
      </w:r>
      <w:proofErr w:type="spellStart"/>
      <w:r w:rsidRPr="00837D7A">
        <w:t>Kindle</w:t>
      </w:r>
      <w:proofErr w:type="spellEnd"/>
      <w:r w:rsidRPr="00837D7A">
        <w:t xml:space="preserve">. São Paulo: </w:t>
      </w:r>
      <w:proofErr w:type="spellStart"/>
      <w:r w:rsidRPr="00837D7A">
        <w:t>SaraivaJur</w:t>
      </w:r>
      <w:proofErr w:type="spellEnd"/>
      <w:r w:rsidRPr="00837D7A">
        <w:t>, 2023</w:t>
      </w:r>
      <w:r>
        <w:t>,</w:t>
      </w:r>
      <w:r w:rsidRPr="00837D7A">
        <w:t xml:space="preserve"> v. </w:t>
      </w:r>
      <w:r>
        <w:t>2.</w:t>
      </w:r>
    </w:p>
    <w:p w14:paraId="72E6007E" w14:textId="255D1F89" w:rsidR="00291762" w:rsidRDefault="00626FBF" w:rsidP="003B05C0">
      <w:pPr>
        <w:pStyle w:val="PargrafodaLista"/>
        <w:numPr>
          <w:ilvl w:val="0"/>
          <w:numId w:val="13"/>
        </w:numPr>
      </w:pPr>
      <w:r w:rsidRPr="0050542A">
        <w:t>LÔBO, Paulo</w:t>
      </w:r>
      <w:r>
        <w:t xml:space="preserve"> Luiz Netto</w:t>
      </w:r>
      <w:r w:rsidRPr="0050542A">
        <w:t xml:space="preserve">. </w:t>
      </w:r>
      <w:r w:rsidRPr="003B05C0">
        <w:rPr>
          <w:b/>
        </w:rPr>
        <w:t>Direito Civil</w:t>
      </w:r>
      <w:r w:rsidRPr="003B05C0">
        <w:rPr>
          <w:bCs/>
        </w:rPr>
        <w:t>:</w:t>
      </w:r>
      <w:r w:rsidRPr="00406914">
        <w:t xml:space="preserve"> obrigações.</w:t>
      </w:r>
      <w:r w:rsidRPr="0050542A">
        <w:t xml:space="preserve"> 10. ed. São </w:t>
      </w:r>
      <w:r>
        <w:t xml:space="preserve">Paulo: Saraiva </w:t>
      </w:r>
      <w:proofErr w:type="spellStart"/>
      <w:r>
        <w:t>Jur</w:t>
      </w:r>
      <w:proofErr w:type="spellEnd"/>
      <w:r>
        <w:t>, 2022, v. 2.</w:t>
      </w:r>
    </w:p>
    <w:p w14:paraId="6060FF9A" w14:textId="008F903B" w:rsidR="00291762" w:rsidRDefault="00845575" w:rsidP="003B05C0">
      <w:pPr>
        <w:pStyle w:val="PargrafodaLista"/>
        <w:numPr>
          <w:ilvl w:val="0"/>
          <w:numId w:val="13"/>
        </w:numPr>
      </w:pPr>
      <w:r w:rsidRPr="00686452">
        <w:t xml:space="preserve">LÔBO, Paulo Luiz Netto. </w:t>
      </w:r>
      <w:r w:rsidRPr="003B05C0">
        <w:rPr>
          <w:b/>
        </w:rPr>
        <w:t>Direito Civil</w:t>
      </w:r>
      <w:r w:rsidRPr="00686452">
        <w:t>: contratos. 7. ed. São Paulo: Saraiva Educação, 2021, v. 3.</w:t>
      </w:r>
    </w:p>
    <w:p w14:paraId="596B9B53" w14:textId="1E9CE986" w:rsidR="00291762" w:rsidRDefault="0048147E" w:rsidP="003B05C0">
      <w:pPr>
        <w:pStyle w:val="PargrafodaLista"/>
        <w:numPr>
          <w:ilvl w:val="0"/>
          <w:numId w:val="13"/>
        </w:numPr>
      </w:pPr>
      <w:r>
        <w:t xml:space="preserve">SCHREIBER, Anderson. </w:t>
      </w:r>
      <w:r w:rsidRPr="003B05C0">
        <w:rPr>
          <w:b/>
        </w:rPr>
        <w:t>Manual de direito civil contemporâneo</w:t>
      </w:r>
      <w:r>
        <w:t xml:space="preserve">. 5. ed. São Paulo: </w:t>
      </w:r>
      <w:proofErr w:type="spellStart"/>
      <w:r>
        <w:t>SaraivaJur</w:t>
      </w:r>
      <w:proofErr w:type="spellEnd"/>
      <w:r>
        <w:t>, 2022.</w:t>
      </w:r>
    </w:p>
    <w:p w14:paraId="77974C93" w14:textId="04B7751A" w:rsidR="00291762" w:rsidRPr="00705434" w:rsidRDefault="00091EB5" w:rsidP="003B05C0">
      <w:pPr>
        <w:pStyle w:val="PargrafodaLista"/>
        <w:numPr>
          <w:ilvl w:val="0"/>
          <w:numId w:val="13"/>
        </w:numPr>
      </w:pPr>
      <w:r w:rsidRPr="008B4FF7">
        <w:t xml:space="preserve">TARTUCE, Flávio. </w:t>
      </w:r>
      <w:r w:rsidRPr="003B05C0">
        <w:rPr>
          <w:b/>
        </w:rPr>
        <w:t>Direito civil</w:t>
      </w:r>
      <w:r w:rsidRPr="003B05C0">
        <w:rPr>
          <w:bCs/>
        </w:rPr>
        <w:t xml:space="preserve">: direito das obrigações e responsabilidade civil. </w:t>
      </w:r>
      <w:r w:rsidRPr="008B4FF7">
        <w:t>16. ed. Rio de Janeiro: Forense, 2021</w:t>
      </w:r>
      <w:r>
        <w:t>, v. 2.</w:t>
      </w:r>
    </w:p>
    <w:p w14:paraId="2AFE6FDE" w14:textId="0D142700" w:rsidR="00291762" w:rsidRPr="003B05C0" w:rsidRDefault="00845575" w:rsidP="003B05C0">
      <w:pPr>
        <w:pStyle w:val="PargrafodaLista"/>
        <w:numPr>
          <w:ilvl w:val="0"/>
          <w:numId w:val="13"/>
        </w:numPr>
        <w:rPr>
          <w:color w:val="222222"/>
          <w:shd w:val="clear" w:color="auto" w:fill="FFFFFF"/>
        </w:rPr>
      </w:pPr>
      <w:r w:rsidRPr="003B05C0">
        <w:rPr>
          <w:color w:val="222222"/>
          <w:shd w:val="clear" w:color="auto" w:fill="FFFFFF"/>
        </w:rPr>
        <w:t>TARTUCE, Flávio. </w:t>
      </w:r>
      <w:r w:rsidRPr="003B05C0">
        <w:rPr>
          <w:rStyle w:val="Forte"/>
          <w:color w:val="222222"/>
          <w:shd w:val="clear" w:color="auto" w:fill="FFFFFF"/>
        </w:rPr>
        <w:t>Direito Civil 3</w:t>
      </w:r>
      <w:r w:rsidRPr="003B05C0">
        <w:rPr>
          <w:color w:val="222222"/>
          <w:shd w:val="clear" w:color="auto" w:fill="FFFFFF"/>
        </w:rPr>
        <w:t>: teoria geral dos contratos e contratos em espécie. 9. ed. São Paulo: Método, 2014, v. 3.</w:t>
      </w:r>
    </w:p>
    <w:p w14:paraId="379B3094" w14:textId="77777777" w:rsidR="002C43A6" w:rsidRDefault="002C43A6" w:rsidP="00705434"/>
    <w:p w14:paraId="494581D1" w14:textId="477D93C8" w:rsidR="00A12B33" w:rsidRDefault="00ED7D7F" w:rsidP="00705434">
      <w:r w:rsidRPr="00ED7D7F">
        <w:t>As obras em questão fornecem uma base sólida para a ativida</w:t>
      </w:r>
      <w:r w:rsidR="00CA39AA">
        <w:t>de em questão, o que possibilita</w:t>
      </w:r>
      <w:r w:rsidRPr="00ED7D7F">
        <w:t xml:space="preserve"> uma compreensão aprofundada e abrangente dessa</w:t>
      </w:r>
      <w:r w:rsidR="00A12B33">
        <w:t>s áreas específicas do direito.</w:t>
      </w:r>
    </w:p>
    <w:p w14:paraId="04D67BA1" w14:textId="0B049144" w:rsidR="00E70B2C" w:rsidRPr="00262E4B" w:rsidRDefault="00705434" w:rsidP="00705434">
      <w:r>
        <w:t>A</w:t>
      </w:r>
      <w:r w:rsidR="0075422C">
        <w:t xml:space="preserve"> leitura prévia ou complementar desses textos </w:t>
      </w:r>
      <w:r w:rsidR="00ED7D7F" w:rsidRPr="00ED7D7F">
        <w:t>mostra</w:t>
      </w:r>
      <w:r w:rsidR="0075422C">
        <w:t>-se</w:t>
      </w:r>
      <w:r w:rsidR="00ED7D7F" w:rsidRPr="00ED7D7F">
        <w:t xml:space="preserve"> crucia</w:t>
      </w:r>
      <w:r>
        <w:t>l</w:t>
      </w:r>
      <w:r w:rsidR="00ED7D7F" w:rsidRPr="00ED7D7F">
        <w:t xml:space="preserve"> para o desenvolvimento </w:t>
      </w:r>
      <w:r w:rsidR="003145B8">
        <w:t>do presente caso para ensino</w:t>
      </w:r>
      <w:r w:rsidR="00ED7D7F" w:rsidRPr="00ED7D7F">
        <w:t xml:space="preserve">, fornecendo informações essenciais e orientações fundamentais para lidar com questões relacionadas às obrigações </w:t>
      </w:r>
      <w:r w:rsidR="00BE7D6C">
        <w:t xml:space="preserve">civis </w:t>
      </w:r>
      <w:r w:rsidR="00ED7D7F" w:rsidRPr="00ED7D7F">
        <w:t xml:space="preserve">e ao </w:t>
      </w:r>
      <w:r w:rsidR="00B530CD">
        <w:t>D</w:t>
      </w:r>
      <w:r w:rsidR="00ED7D7F" w:rsidRPr="00ED7D7F">
        <w:t xml:space="preserve">ireito </w:t>
      </w:r>
      <w:r w:rsidR="00B530CD">
        <w:t>C</w:t>
      </w:r>
      <w:r w:rsidR="00ED7D7F" w:rsidRPr="00ED7D7F">
        <w:t>ivil.</w:t>
      </w:r>
    </w:p>
    <w:p w14:paraId="7438B844" w14:textId="503C80A5" w:rsidR="00384D65" w:rsidRPr="00DD4BF6" w:rsidRDefault="00164E7F" w:rsidP="00291762">
      <w:pPr>
        <w:pStyle w:val="Ttulo1"/>
        <w:rPr>
          <w:rFonts w:eastAsia="Arial"/>
        </w:rPr>
      </w:pPr>
      <w:r>
        <w:rPr>
          <w:rFonts w:eastAsia="Arial"/>
        </w:rPr>
        <w:t>REFERÊNCIAS</w:t>
      </w:r>
    </w:p>
    <w:p w14:paraId="046021DC" w14:textId="77777777" w:rsidR="002210D0" w:rsidRPr="00AE3DD9" w:rsidRDefault="002210D0" w:rsidP="00764D64">
      <w:pPr>
        <w:pStyle w:val="REFSFINAIS"/>
      </w:pPr>
      <w:r w:rsidRPr="00AE3DD9">
        <w:t>ALBERTON, A.; SILVA, A. B. Como Escrever um Bom Caso para Ensino? Reflexões sobre o Método. </w:t>
      </w:r>
      <w:r w:rsidRPr="00AE3DD9">
        <w:rPr>
          <w:rStyle w:val="Forte"/>
          <w:bCs w:val="0"/>
        </w:rPr>
        <w:t>Revista de Administração Contemporânea</w:t>
      </w:r>
      <w:r w:rsidRPr="00AE3DD9">
        <w:t>, v. 22, n. 5, p. 745-761, 2018.</w:t>
      </w:r>
    </w:p>
    <w:p w14:paraId="11F6717C" w14:textId="77777777" w:rsidR="00291762" w:rsidRDefault="00291762" w:rsidP="00764D64">
      <w:pPr>
        <w:pStyle w:val="REFSFINAIS"/>
      </w:pPr>
    </w:p>
    <w:p w14:paraId="6A360C0B" w14:textId="24B6C027" w:rsidR="002210D0" w:rsidRPr="00AE3DD9" w:rsidRDefault="002210D0" w:rsidP="00764D64">
      <w:pPr>
        <w:pStyle w:val="REFSFINAIS"/>
      </w:pPr>
      <w:r w:rsidRPr="00AE3DD9">
        <w:lastRenderedPageBreak/>
        <w:t xml:space="preserve">ANPAD – ASSOCIAÇÃO NACIONAL DE PÓS-GRADUAÇÃO E PESQUISA EM ADMINISTRAÇÃO. </w:t>
      </w:r>
      <w:r w:rsidRPr="00AE3DD9">
        <w:rPr>
          <w:b/>
        </w:rPr>
        <w:t>Orientações para elaboração de casos para ensino</w:t>
      </w:r>
      <w:r w:rsidRPr="00AE3DD9">
        <w:t>. 2011. Disponível em: https://arquivo.anpad.org.br/diversos/regras_casos_ensino2011.pdf. Acesso em 09 jul. 2023.</w:t>
      </w:r>
    </w:p>
    <w:p w14:paraId="595DD172" w14:textId="77777777" w:rsidR="00291762" w:rsidRPr="005B739E" w:rsidRDefault="00291762" w:rsidP="00764D64">
      <w:pPr>
        <w:pStyle w:val="REFSFINAIS"/>
      </w:pPr>
    </w:p>
    <w:p w14:paraId="179F841A" w14:textId="22F62E60" w:rsidR="00AA70BD" w:rsidRPr="00291762" w:rsidRDefault="00AA70BD" w:rsidP="00764D64">
      <w:pPr>
        <w:pStyle w:val="REFSFINAIS"/>
      </w:pPr>
      <w:r w:rsidRPr="00AE3DD9">
        <w:rPr>
          <w:lang w:val="en-GB"/>
        </w:rPr>
        <w:t xml:space="preserve">ASSMANN, Hugo; SUNG, Jung Mo. </w:t>
      </w:r>
      <w:r w:rsidRPr="00AE3DD9">
        <w:rPr>
          <w:b/>
        </w:rPr>
        <w:t>Competência e sensibilidade solidária</w:t>
      </w:r>
      <w:r w:rsidRPr="00AE3DD9">
        <w:t xml:space="preserve">: educar para </w:t>
      </w:r>
      <w:proofErr w:type="gramStart"/>
      <w:r w:rsidRPr="00AE3DD9">
        <w:t>a</w:t>
      </w:r>
      <w:proofErr w:type="gramEnd"/>
      <w:r w:rsidRPr="00AE3DD9">
        <w:t xml:space="preserve"> esperança. </w:t>
      </w:r>
      <w:r w:rsidRPr="00291762">
        <w:t>Petrópolis: Vozes, 2000.</w:t>
      </w:r>
    </w:p>
    <w:p w14:paraId="3927CE9C" w14:textId="77777777" w:rsidR="00291762" w:rsidRDefault="00291762" w:rsidP="00764D64">
      <w:pPr>
        <w:pStyle w:val="REFSFINAIS"/>
      </w:pPr>
    </w:p>
    <w:p w14:paraId="4344618A" w14:textId="7BEFCA10" w:rsidR="00D354D3" w:rsidRPr="00C92308" w:rsidRDefault="00D354D3" w:rsidP="00764D64">
      <w:pPr>
        <w:pStyle w:val="REFSFINAIS"/>
        <w:rPr>
          <w:lang w:val="en-GB"/>
        </w:rPr>
      </w:pPr>
      <w:r w:rsidRPr="00291762">
        <w:t xml:space="preserve">BRASIL. Superior Tribunal de Justiça. </w:t>
      </w:r>
      <w:r w:rsidR="00CA657A" w:rsidRPr="00C92308">
        <w:rPr>
          <w:b/>
        </w:rPr>
        <w:t>Recurso Especial n° 1.610.844/BA</w:t>
      </w:r>
      <w:r w:rsidR="00CA657A" w:rsidRPr="00C92308">
        <w:t>.</w:t>
      </w:r>
      <w:r w:rsidR="00C92308" w:rsidRPr="00C92308">
        <w:t xml:space="preserve"> Corte E</w:t>
      </w:r>
      <w:r w:rsidR="00C92308">
        <w:t xml:space="preserve">special. Relator Ministro </w:t>
      </w:r>
      <w:proofErr w:type="spellStart"/>
      <w:r w:rsidR="00C92308">
        <w:t>Luis</w:t>
      </w:r>
      <w:proofErr w:type="spellEnd"/>
      <w:r w:rsidR="00C92308">
        <w:t xml:space="preserve"> Felipe Salomão. </w:t>
      </w:r>
      <w:r w:rsidR="00C92308" w:rsidRPr="00291762">
        <w:t xml:space="preserve">Julgado em 15 jun. 2022. </w:t>
      </w:r>
      <w:r w:rsidR="00C92308" w:rsidRPr="00C92308">
        <w:rPr>
          <w:lang w:val="en-GB"/>
        </w:rPr>
        <w:t>DJe</w:t>
      </w:r>
      <w:r w:rsidR="0023107E">
        <w:rPr>
          <w:lang w:val="en-GB"/>
        </w:rPr>
        <w:t xml:space="preserve">: </w:t>
      </w:r>
      <w:r w:rsidR="00C92308" w:rsidRPr="00C92308">
        <w:rPr>
          <w:lang w:val="en-GB"/>
        </w:rPr>
        <w:t xml:space="preserve">09 ago. </w:t>
      </w:r>
      <w:r w:rsidR="00C92308">
        <w:rPr>
          <w:lang w:val="en-GB"/>
        </w:rPr>
        <w:t>2023.</w:t>
      </w:r>
    </w:p>
    <w:p w14:paraId="471313AA" w14:textId="77777777" w:rsidR="00291762" w:rsidRDefault="00291762" w:rsidP="00764D64">
      <w:pPr>
        <w:pStyle w:val="REFSFINAIS"/>
        <w:rPr>
          <w:lang w:val="en-GB"/>
        </w:rPr>
      </w:pPr>
    </w:p>
    <w:p w14:paraId="780399E3" w14:textId="5C3DB9F0" w:rsidR="001478CF" w:rsidRPr="00AE3DD9" w:rsidRDefault="001478CF" w:rsidP="00764D64">
      <w:pPr>
        <w:pStyle w:val="REFSFINAIS"/>
        <w:rPr>
          <w:lang w:val="en-GB"/>
        </w:rPr>
      </w:pPr>
      <w:r w:rsidRPr="00AE3DD9">
        <w:rPr>
          <w:lang w:val="en-GB"/>
        </w:rPr>
        <w:t>C</w:t>
      </w:r>
      <w:r w:rsidR="002210D0" w:rsidRPr="00AE3DD9">
        <w:rPr>
          <w:lang w:val="en-GB"/>
        </w:rPr>
        <w:t>HANG</w:t>
      </w:r>
      <w:r w:rsidRPr="00AE3DD9">
        <w:rPr>
          <w:lang w:val="en-GB"/>
        </w:rPr>
        <w:t xml:space="preserve">, J. (2003). Strategic management: An evaluation of the use of three learning methods in Hong Kong. </w:t>
      </w:r>
      <w:r w:rsidRPr="00291762">
        <w:rPr>
          <w:b/>
          <w:lang w:val="en-GB"/>
        </w:rPr>
        <w:t>Developments in Business Simulation &amp; Experiential Learning</w:t>
      </w:r>
      <w:r w:rsidRPr="00AE3DD9">
        <w:rPr>
          <w:lang w:val="en-GB"/>
        </w:rPr>
        <w:t>, 30, 146-151. Retrieved from http://citeseerx.ist.psu.edu/viewdoc/download?doi=10.1.1.522.9701&amp;rep=rep1&amp;type=pdf</w:t>
      </w:r>
    </w:p>
    <w:p w14:paraId="09E5BF08" w14:textId="77777777" w:rsidR="00291762" w:rsidRPr="005B739E" w:rsidRDefault="00291762" w:rsidP="00764D64">
      <w:pPr>
        <w:pStyle w:val="REFSFINAIS"/>
        <w:rPr>
          <w:lang w:val="en-GB"/>
        </w:rPr>
      </w:pPr>
    </w:p>
    <w:p w14:paraId="51ED38B3" w14:textId="0AC02F5D" w:rsidR="000D0267" w:rsidRPr="00AC3FD1" w:rsidRDefault="000D0267" w:rsidP="00764D64">
      <w:pPr>
        <w:pStyle w:val="REFSFINAIS"/>
        <w:rPr>
          <w:color w:val="000000" w:themeColor="text1"/>
        </w:rPr>
      </w:pPr>
      <w:r w:rsidRPr="00AC3FD1">
        <w:rPr>
          <w:color w:val="000000" w:themeColor="text1"/>
        </w:rPr>
        <w:t xml:space="preserve">FERNANDES, Gonçalves André. </w:t>
      </w:r>
      <w:r w:rsidRPr="00AC3FD1">
        <w:rPr>
          <w:b/>
          <w:color w:val="000000" w:themeColor="text1"/>
        </w:rPr>
        <w:t xml:space="preserve">Ensinando e aprendendo o direito com o </w:t>
      </w:r>
      <w:proofErr w:type="spellStart"/>
      <w:r w:rsidRPr="00AC3FD1">
        <w:rPr>
          <w:b/>
          <w:color w:val="000000" w:themeColor="text1"/>
        </w:rPr>
        <w:t>método</w:t>
      </w:r>
      <w:proofErr w:type="spellEnd"/>
      <w:r w:rsidRPr="00AC3FD1">
        <w:rPr>
          <w:b/>
          <w:color w:val="000000" w:themeColor="text1"/>
        </w:rPr>
        <w:t xml:space="preserve"> do caso</w:t>
      </w:r>
      <w:r w:rsidRPr="00AC3FD1">
        <w:rPr>
          <w:color w:val="000000" w:themeColor="text1"/>
        </w:rPr>
        <w:t xml:space="preserve">: bases </w:t>
      </w:r>
      <w:proofErr w:type="spellStart"/>
      <w:r w:rsidRPr="00AC3FD1">
        <w:rPr>
          <w:color w:val="000000" w:themeColor="text1"/>
        </w:rPr>
        <w:t>epistemológicas</w:t>
      </w:r>
      <w:proofErr w:type="spellEnd"/>
      <w:r w:rsidRPr="00AC3FD1">
        <w:rPr>
          <w:color w:val="000000" w:themeColor="text1"/>
        </w:rPr>
        <w:t xml:space="preserve"> e </w:t>
      </w:r>
      <w:proofErr w:type="spellStart"/>
      <w:r w:rsidRPr="00AC3FD1">
        <w:rPr>
          <w:color w:val="000000" w:themeColor="text1"/>
        </w:rPr>
        <w:t>metodológicas</w:t>
      </w:r>
      <w:proofErr w:type="spellEnd"/>
      <w:r w:rsidRPr="00AC3FD1">
        <w:rPr>
          <w:color w:val="000000" w:themeColor="text1"/>
        </w:rPr>
        <w:t xml:space="preserve">. 2. ed. </w:t>
      </w:r>
      <w:r w:rsidR="001D3AFD" w:rsidRPr="00AC3FD1">
        <w:rPr>
          <w:color w:val="000000" w:themeColor="text1"/>
        </w:rPr>
        <w:t>r</w:t>
      </w:r>
      <w:r w:rsidR="001E6024" w:rsidRPr="00AC3FD1">
        <w:rPr>
          <w:color w:val="000000" w:themeColor="text1"/>
        </w:rPr>
        <w:t xml:space="preserve">ev., atual.  </w:t>
      </w:r>
      <w:proofErr w:type="gramStart"/>
      <w:r w:rsidR="001D3AFD" w:rsidRPr="00AC3FD1">
        <w:rPr>
          <w:color w:val="000000" w:themeColor="text1"/>
        </w:rPr>
        <w:t>e</w:t>
      </w:r>
      <w:proofErr w:type="gramEnd"/>
      <w:r w:rsidR="001D3AFD" w:rsidRPr="00AC3FD1">
        <w:rPr>
          <w:color w:val="000000" w:themeColor="text1"/>
        </w:rPr>
        <w:t xml:space="preserve"> </w:t>
      </w:r>
      <w:proofErr w:type="spellStart"/>
      <w:r w:rsidR="001E6024" w:rsidRPr="00AC3FD1">
        <w:rPr>
          <w:color w:val="000000" w:themeColor="text1"/>
        </w:rPr>
        <w:t>ampl</w:t>
      </w:r>
      <w:proofErr w:type="spellEnd"/>
      <w:r w:rsidR="001E6024" w:rsidRPr="00AC3FD1">
        <w:rPr>
          <w:color w:val="000000" w:themeColor="text1"/>
        </w:rPr>
        <w:t xml:space="preserve">. </w:t>
      </w:r>
      <w:r w:rsidRPr="00AC3FD1">
        <w:rPr>
          <w:color w:val="000000" w:themeColor="text1"/>
        </w:rPr>
        <w:t xml:space="preserve">São Paulo: </w:t>
      </w:r>
      <w:proofErr w:type="spellStart"/>
      <w:r w:rsidRPr="00AC3FD1">
        <w:rPr>
          <w:color w:val="000000" w:themeColor="text1"/>
        </w:rPr>
        <w:t>Edipro</w:t>
      </w:r>
      <w:proofErr w:type="spellEnd"/>
      <w:r w:rsidRPr="00AC3FD1">
        <w:rPr>
          <w:color w:val="000000" w:themeColor="text1"/>
        </w:rPr>
        <w:t xml:space="preserve"> </w:t>
      </w:r>
      <w:proofErr w:type="spellStart"/>
      <w:r w:rsidRPr="00AC3FD1">
        <w:rPr>
          <w:color w:val="000000" w:themeColor="text1"/>
        </w:rPr>
        <w:t>Ediçôes</w:t>
      </w:r>
      <w:proofErr w:type="spellEnd"/>
      <w:r w:rsidRPr="00AC3FD1">
        <w:rPr>
          <w:color w:val="000000" w:themeColor="text1"/>
        </w:rPr>
        <w:t xml:space="preserve"> Profissionais Ltda., 2018.</w:t>
      </w:r>
    </w:p>
    <w:p w14:paraId="75D0E84E" w14:textId="77777777" w:rsidR="006A137D" w:rsidRPr="00AC3FD1" w:rsidRDefault="006A137D" w:rsidP="00764D64">
      <w:pPr>
        <w:pStyle w:val="REFSFINAIS"/>
        <w:rPr>
          <w:color w:val="000000" w:themeColor="text1"/>
        </w:rPr>
      </w:pPr>
    </w:p>
    <w:p w14:paraId="64C3289C" w14:textId="714226C8" w:rsidR="008D7014" w:rsidRPr="00AC3FD1" w:rsidRDefault="008D7014" w:rsidP="00764D64">
      <w:pPr>
        <w:pStyle w:val="REFSFINAIS"/>
        <w:rPr>
          <w:color w:val="000000" w:themeColor="text1"/>
        </w:rPr>
      </w:pPr>
      <w:r w:rsidRPr="00AC3FD1">
        <w:rPr>
          <w:color w:val="000000" w:themeColor="text1"/>
        </w:rPr>
        <w:t>RAMOS, Luciana de Oliveira; SCHORSCHER, Vivian Cristina. Método do Caso. In: GHIRA</w:t>
      </w:r>
      <w:r w:rsidR="009113E7">
        <w:rPr>
          <w:color w:val="000000" w:themeColor="text1"/>
        </w:rPr>
        <w:t>R</w:t>
      </w:r>
      <w:r w:rsidRPr="00AC3FD1">
        <w:rPr>
          <w:color w:val="000000" w:themeColor="text1"/>
        </w:rPr>
        <w:t xml:space="preserve">DI, José Garcez (org.). </w:t>
      </w:r>
      <w:r w:rsidRPr="00AC3FD1">
        <w:rPr>
          <w:b/>
          <w:color w:val="000000" w:themeColor="text1"/>
        </w:rPr>
        <w:t>Métodos de Ensino em Direito</w:t>
      </w:r>
      <w:r w:rsidRPr="00AC3FD1">
        <w:rPr>
          <w:color w:val="000000" w:themeColor="text1"/>
        </w:rPr>
        <w:t xml:space="preserve">: conceitos para um debate. </w:t>
      </w:r>
      <w:r w:rsidR="001305B9" w:rsidRPr="00AC3FD1">
        <w:rPr>
          <w:color w:val="000000" w:themeColor="text1"/>
        </w:rPr>
        <w:t xml:space="preserve">2. ed. </w:t>
      </w:r>
      <w:r w:rsidRPr="00AC3FD1">
        <w:rPr>
          <w:color w:val="000000" w:themeColor="text1"/>
        </w:rPr>
        <w:t>São Paulo: Saraiva, 20</w:t>
      </w:r>
      <w:r w:rsidR="001305B9" w:rsidRPr="00AC3FD1">
        <w:rPr>
          <w:color w:val="000000" w:themeColor="text1"/>
        </w:rPr>
        <w:t>2</w:t>
      </w:r>
      <w:r w:rsidRPr="00AC3FD1">
        <w:rPr>
          <w:color w:val="000000" w:themeColor="text1"/>
        </w:rPr>
        <w:t>0. p. 49-60.</w:t>
      </w:r>
    </w:p>
    <w:p w14:paraId="1093D15D" w14:textId="77777777" w:rsidR="006A137D" w:rsidRPr="00AC3FD1" w:rsidRDefault="006A137D" w:rsidP="00764D64">
      <w:pPr>
        <w:pStyle w:val="REFSFINAIS"/>
        <w:rPr>
          <w:color w:val="000000" w:themeColor="text1"/>
          <w:shd w:val="clear" w:color="auto" w:fill="FFFFFF"/>
        </w:rPr>
      </w:pPr>
    </w:p>
    <w:p w14:paraId="6B17BF34" w14:textId="3280C1B3" w:rsidR="00063DDD" w:rsidRPr="00AC3FD1" w:rsidRDefault="00063DDD" w:rsidP="00764D64">
      <w:pPr>
        <w:pStyle w:val="REFSFINAIS"/>
        <w:rPr>
          <w:color w:val="000000" w:themeColor="text1"/>
        </w:rPr>
      </w:pPr>
      <w:r w:rsidRPr="00AC3FD1">
        <w:rPr>
          <w:color w:val="000000" w:themeColor="text1"/>
          <w:shd w:val="clear" w:color="auto" w:fill="FFFFFF"/>
        </w:rPr>
        <w:t xml:space="preserve">RODRIGUES, Horácio Wanderlei; BORGES, Marcus Vinícius </w:t>
      </w:r>
      <w:proofErr w:type="spellStart"/>
      <w:r w:rsidRPr="00AC3FD1">
        <w:rPr>
          <w:color w:val="000000" w:themeColor="text1"/>
          <w:shd w:val="clear" w:color="auto" w:fill="FFFFFF"/>
        </w:rPr>
        <w:t>Motter</w:t>
      </w:r>
      <w:proofErr w:type="spellEnd"/>
      <w:r w:rsidRPr="00AC3FD1">
        <w:rPr>
          <w:color w:val="000000" w:themeColor="text1"/>
          <w:shd w:val="clear" w:color="auto" w:fill="FFFFFF"/>
        </w:rPr>
        <w:t>. O M</w:t>
      </w:r>
      <w:r w:rsidR="009E5867" w:rsidRPr="00AC3FD1">
        <w:rPr>
          <w:color w:val="000000" w:themeColor="text1"/>
          <w:shd w:val="clear" w:color="auto" w:fill="FFFFFF"/>
        </w:rPr>
        <w:t>étodo</w:t>
      </w:r>
      <w:r w:rsidRPr="00AC3FD1">
        <w:rPr>
          <w:color w:val="000000" w:themeColor="text1"/>
          <w:shd w:val="clear" w:color="auto" w:fill="FFFFFF"/>
        </w:rPr>
        <w:t xml:space="preserve"> </w:t>
      </w:r>
      <w:r w:rsidR="009E5867" w:rsidRPr="00AC3FD1">
        <w:rPr>
          <w:color w:val="000000" w:themeColor="text1"/>
          <w:shd w:val="clear" w:color="auto" w:fill="FFFFFF"/>
        </w:rPr>
        <w:t>do</w:t>
      </w:r>
      <w:r w:rsidRPr="00AC3FD1">
        <w:rPr>
          <w:color w:val="000000" w:themeColor="text1"/>
          <w:shd w:val="clear" w:color="auto" w:fill="FFFFFF"/>
        </w:rPr>
        <w:t xml:space="preserve"> C</w:t>
      </w:r>
      <w:r w:rsidR="009E5867" w:rsidRPr="00AC3FD1">
        <w:rPr>
          <w:color w:val="000000" w:themeColor="text1"/>
          <w:shd w:val="clear" w:color="auto" w:fill="FFFFFF"/>
        </w:rPr>
        <w:t>aso</w:t>
      </w:r>
      <w:r w:rsidRPr="00AC3FD1">
        <w:rPr>
          <w:color w:val="000000" w:themeColor="text1"/>
          <w:shd w:val="clear" w:color="auto" w:fill="FFFFFF"/>
        </w:rPr>
        <w:t xml:space="preserve"> </w:t>
      </w:r>
      <w:r w:rsidR="009E5867" w:rsidRPr="00AC3FD1">
        <w:rPr>
          <w:color w:val="000000" w:themeColor="text1"/>
          <w:shd w:val="clear" w:color="auto" w:fill="FFFFFF"/>
        </w:rPr>
        <w:t>na</w:t>
      </w:r>
      <w:r w:rsidRPr="00AC3FD1">
        <w:rPr>
          <w:color w:val="000000" w:themeColor="text1"/>
          <w:shd w:val="clear" w:color="auto" w:fill="FFFFFF"/>
        </w:rPr>
        <w:t xml:space="preserve"> E</w:t>
      </w:r>
      <w:r w:rsidR="009E5867" w:rsidRPr="00AC3FD1">
        <w:rPr>
          <w:color w:val="000000" w:themeColor="text1"/>
          <w:shd w:val="clear" w:color="auto" w:fill="FFFFFF"/>
        </w:rPr>
        <w:t>ducação Jurídica</w:t>
      </w:r>
      <w:r w:rsidRPr="00AC3FD1">
        <w:rPr>
          <w:color w:val="000000" w:themeColor="text1"/>
          <w:shd w:val="clear" w:color="auto" w:fill="FFFFFF"/>
        </w:rPr>
        <w:t>. </w:t>
      </w:r>
      <w:r w:rsidRPr="00AC3FD1">
        <w:rPr>
          <w:rStyle w:val="Forte"/>
          <w:color w:val="000000" w:themeColor="text1"/>
          <w:shd w:val="clear" w:color="auto" w:fill="FFFFFF"/>
        </w:rPr>
        <w:t>Revista Quaestio Iuris</w:t>
      </w:r>
      <w:r w:rsidRPr="00AC3FD1">
        <w:rPr>
          <w:color w:val="000000" w:themeColor="text1"/>
          <w:shd w:val="clear" w:color="auto" w:fill="FFFFFF"/>
        </w:rPr>
        <w:t>, Rio de Janeiro, v. 9, n. 3, p. 1363-1390, 2016. http://dx.doi.org/10.12957/rqi.2016.19979.</w:t>
      </w:r>
    </w:p>
    <w:p w14:paraId="5E5915D9" w14:textId="77777777" w:rsidR="006A137D" w:rsidRPr="00AC3FD1" w:rsidRDefault="006A137D" w:rsidP="00764D64">
      <w:pPr>
        <w:pStyle w:val="REFSFINAIS"/>
        <w:rPr>
          <w:color w:val="000000" w:themeColor="text1"/>
        </w:rPr>
      </w:pPr>
    </w:p>
    <w:p w14:paraId="3B03B067" w14:textId="4B28267B" w:rsidR="00C7051B" w:rsidRPr="00AC3FD1" w:rsidRDefault="00AA38DF" w:rsidP="00764D64">
      <w:pPr>
        <w:pStyle w:val="REFSFINAIS"/>
        <w:rPr>
          <w:color w:val="000000" w:themeColor="text1"/>
        </w:rPr>
      </w:pPr>
      <w:r w:rsidRPr="00AC3FD1">
        <w:rPr>
          <w:color w:val="000000" w:themeColor="text1"/>
        </w:rPr>
        <w:t xml:space="preserve">ROESCH, Sylvia Maria Azevedo. Notas sobre a construção de casos para ensino. </w:t>
      </w:r>
      <w:r w:rsidRPr="00AC3FD1">
        <w:rPr>
          <w:b/>
          <w:color w:val="000000" w:themeColor="text1"/>
        </w:rPr>
        <w:t>Rev. adm. contemp</w:t>
      </w:r>
      <w:r w:rsidRPr="00AC3FD1">
        <w:rPr>
          <w:color w:val="000000" w:themeColor="text1"/>
        </w:rPr>
        <w:t xml:space="preserve">. [online], v.11, n.2, pp. 213-234, 2007. Disponível em: </w:t>
      </w:r>
      <w:r w:rsidRPr="00AC3FD1">
        <w:rPr>
          <w:rStyle w:val="Hyperlink"/>
          <w:color w:val="000000" w:themeColor="text1"/>
          <w:u w:val="none"/>
        </w:rPr>
        <w:t>http://www.scielo.br/pdf/rac/v11n2/a12v11n2.pdf</w:t>
      </w:r>
      <w:r w:rsidR="00C24499" w:rsidRPr="00AC3FD1">
        <w:rPr>
          <w:rStyle w:val="Hyperlink"/>
          <w:color w:val="000000" w:themeColor="text1"/>
          <w:u w:val="none"/>
        </w:rPr>
        <w:t>.</w:t>
      </w:r>
      <w:r w:rsidR="00C24499" w:rsidRPr="00AC3FD1">
        <w:rPr>
          <w:color w:val="000000" w:themeColor="text1"/>
        </w:rPr>
        <w:t xml:space="preserve"> Acesso em 09 jul. 2023.</w:t>
      </w:r>
    </w:p>
    <w:sectPr w:rsidR="00C7051B" w:rsidRPr="00AC3FD1" w:rsidSect="002D2070">
      <w:headerReference w:type="default" r:id="rId8"/>
      <w:footerReference w:type="default" r:id="rId9"/>
      <w:pgSz w:w="11906" w:h="16838"/>
      <w:pgMar w:top="1701" w:right="1134" w:bottom="1134" w:left="1701"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F9FC3" w16cex:dateUtc="2023-07-29T17:25:00Z"/>
  <w16cex:commentExtensible w16cex:durableId="286F9BB8" w16cex:dateUtc="2023-07-29T1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7A42F9" w16cid:durableId="286F9FC3"/>
  <w16cid:commentId w16cid:paraId="6E9B7807" w16cid:durableId="286F9BB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8C64A" w14:textId="77777777" w:rsidR="005D2811" w:rsidRDefault="005D2811" w:rsidP="00037EF0">
      <w:pPr>
        <w:spacing w:line="240" w:lineRule="auto"/>
      </w:pPr>
      <w:r>
        <w:separator/>
      </w:r>
    </w:p>
  </w:endnote>
  <w:endnote w:type="continuationSeparator" w:id="0">
    <w:p w14:paraId="12D44DF7" w14:textId="77777777" w:rsidR="005D2811" w:rsidRDefault="005D2811" w:rsidP="00037E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7900814"/>
      <w:docPartObj>
        <w:docPartGallery w:val="Page Numbers (Bottom of Page)"/>
        <w:docPartUnique/>
      </w:docPartObj>
    </w:sdtPr>
    <w:sdtEndPr/>
    <w:sdtContent>
      <w:p w14:paraId="58B924F7" w14:textId="1194EE1F" w:rsidR="0073731C" w:rsidRDefault="0073731C">
        <w:pPr>
          <w:pStyle w:val="Rodap"/>
          <w:jc w:val="right"/>
        </w:pPr>
        <w:r>
          <w:fldChar w:fldCharType="begin"/>
        </w:r>
        <w:r>
          <w:instrText>PAGE   \* MERGEFORMAT</w:instrText>
        </w:r>
        <w:r>
          <w:fldChar w:fldCharType="separate"/>
        </w:r>
        <w:r w:rsidR="00596011">
          <w:rPr>
            <w:noProof/>
          </w:rPr>
          <w:t>2</w:t>
        </w:r>
        <w:r>
          <w:fldChar w:fldCharType="end"/>
        </w:r>
      </w:p>
    </w:sdtContent>
  </w:sdt>
  <w:p w14:paraId="51CBF82A" w14:textId="77777777" w:rsidR="0073731C" w:rsidRDefault="0073731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D1D8E" w14:textId="77777777" w:rsidR="005D2811" w:rsidRDefault="005D2811" w:rsidP="00FB7D28">
      <w:pPr>
        <w:spacing w:line="240" w:lineRule="auto"/>
        <w:ind w:firstLine="0"/>
      </w:pPr>
      <w:r>
        <w:separator/>
      </w:r>
    </w:p>
  </w:footnote>
  <w:footnote w:type="continuationSeparator" w:id="0">
    <w:p w14:paraId="2FE6B465" w14:textId="77777777" w:rsidR="005D2811" w:rsidRDefault="005D2811" w:rsidP="00037EF0">
      <w:pPr>
        <w:spacing w:line="240" w:lineRule="auto"/>
      </w:pPr>
      <w:r>
        <w:continuationSeparator/>
      </w:r>
    </w:p>
  </w:footnote>
  <w:footnote w:id="1">
    <w:p w14:paraId="4932B5A9" w14:textId="0441CA9F" w:rsidR="005B4880" w:rsidRDefault="005B4880" w:rsidP="005B4880">
      <w:pPr>
        <w:pStyle w:val="Textodenotaderodap"/>
      </w:pPr>
      <w:r>
        <w:rPr>
          <w:rStyle w:val="Refdenotaderodap"/>
        </w:rPr>
        <w:t>*</w:t>
      </w:r>
      <w:r>
        <w:t xml:space="preserve"> Graduanda do Curso de Direito da Universidade Federal do Rio Grande do Norte. Monitor das Disciplinas Direito Civil II (Obrigações) e Direito Civil III (Contratos) nos anos de 2022 e 2023.</w:t>
      </w:r>
      <w:r w:rsidR="0021338C" w:rsidRPr="0021338C">
        <w:rPr>
          <w:color w:val="000000"/>
          <w:szCs w:val="22"/>
        </w:rPr>
        <w:t xml:space="preserve"> </w:t>
      </w:r>
      <w:r w:rsidR="0021338C">
        <w:rPr>
          <w:color w:val="000000"/>
          <w:szCs w:val="22"/>
        </w:rPr>
        <w:t xml:space="preserve">E-mail: </w:t>
      </w:r>
      <w:r w:rsidR="00596011">
        <w:rPr>
          <w:color w:val="000000"/>
          <w:szCs w:val="22"/>
        </w:rPr>
        <w:t>j</w:t>
      </w:r>
      <w:r w:rsidR="0021338C">
        <w:rPr>
          <w:color w:val="000000"/>
          <w:szCs w:val="22"/>
        </w:rPr>
        <w:t>amile.barreto.078</w:t>
      </w:r>
      <w:r w:rsidR="0021338C">
        <w:rPr>
          <w:color w:val="000000"/>
          <w:szCs w:val="22"/>
        </w:rPr>
        <w:t>@ufrn.edu.br</w:t>
      </w:r>
      <w:r w:rsidR="0021338C">
        <w:rPr>
          <w:color w:val="000000"/>
          <w:szCs w:val="22"/>
        </w:rPr>
        <w:t>.</w:t>
      </w:r>
    </w:p>
  </w:footnote>
  <w:footnote w:id="2">
    <w:p w14:paraId="396FFEDE" w14:textId="062C1509" w:rsidR="005B4880" w:rsidRDefault="005B4880" w:rsidP="005B4880">
      <w:pPr>
        <w:pStyle w:val="Textodenotaderodap"/>
      </w:pPr>
      <w:r>
        <w:rPr>
          <w:rStyle w:val="Refdenotaderodap"/>
        </w:rPr>
        <w:t>**</w:t>
      </w:r>
      <w:r>
        <w:t xml:space="preserve"> </w:t>
      </w:r>
      <w:r w:rsidRPr="00FF3EDF">
        <w:t>Graduanda em Direito na Universidade Federal do Rio Grande do Norte (UFRN). Monitora das disciplinas Direito Civil II e Direito Civil III no ano de 2022</w:t>
      </w:r>
      <w:r>
        <w:t>.</w:t>
      </w:r>
      <w:r w:rsidR="0021338C">
        <w:t xml:space="preserve"> </w:t>
      </w:r>
      <w:r w:rsidR="0021338C">
        <w:rPr>
          <w:color w:val="000000"/>
          <w:szCs w:val="22"/>
        </w:rPr>
        <w:t xml:space="preserve">E-mail: </w:t>
      </w:r>
      <w:bookmarkStart w:id="0" w:name="_GoBack"/>
      <w:r w:rsidR="00596011">
        <w:rPr>
          <w:color w:val="000000"/>
          <w:szCs w:val="22"/>
        </w:rPr>
        <w:t>r</w:t>
      </w:r>
      <w:r w:rsidR="00596011" w:rsidRPr="00596011">
        <w:rPr>
          <w:color w:val="000000"/>
          <w:szCs w:val="22"/>
        </w:rPr>
        <w:t>aquel.cardoso.058@ufrn.edu.br</w:t>
      </w:r>
      <w:bookmarkEnd w:id="0"/>
      <w:r w:rsidR="0021338C">
        <w:rPr>
          <w:color w:val="000000"/>
          <w:szCs w:val="22"/>
        </w:rPr>
        <w:t>.</w:t>
      </w:r>
    </w:p>
  </w:footnote>
  <w:footnote w:id="3">
    <w:p w14:paraId="189168C3" w14:textId="77777777" w:rsidR="005B4880" w:rsidRDefault="005B4880" w:rsidP="005B4880">
      <w:pPr>
        <w:pStyle w:val="Textodenotaderodap"/>
      </w:pPr>
      <w:r>
        <w:rPr>
          <w:rStyle w:val="Refdenotaderodap"/>
        </w:rPr>
        <w:t>***</w:t>
      </w:r>
      <w:r>
        <w:t xml:space="preserve"> </w:t>
      </w:r>
      <w:r>
        <w:rPr>
          <w:color w:val="000000"/>
          <w:szCs w:val="22"/>
        </w:rPr>
        <w:t>Graduanda em Direito pela Universidade Federal do Rio Grande do Norte. Monitora das Disciplinas Direito Civil II (Obrigações) e Direito Civil III (Contratos) nos anos de 2022 e 2023. E-mail: ana.julia.119@ufrn.edu.br.</w:t>
      </w:r>
    </w:p>
  </w:footnote>
  <w:footnote w:id="4">
    <w:p w14:paraId="1D6CB9B6" w14:textId="77777777" w:rsidR="005B4880" w:rsidRDefault="005B4880" w:rsidP="005B4880">
      <w:pPr>
        <w:pStyle w:val="Textodenotaderodap"/>
      </w:pPr>
      <w:r>
        <w:rPr>
          <w:rStyle w:val="Refdenotaderodap"/>
        </w:rPr>
        <w:t>****</w:t>
      </w:r>
      <w:r>
        <w:t xml:space="preserve"> </w:t>
      </w:r>
      <w:r w:rsidRPr="00A667B1">
        <w:t xml:space="preserve">Professor Adjunto da Universidade Federal do Rio Grande do Norte, Departamento de Direito Privado. Doutor em Direito pela Universidade de Coimbra. Ministra as disciplinas de Obrigações (Direito Civil II) e Contratos (Direito Civil III). </w:t>
      </w:r>
      <w:r>
        <w:t>Ju</w:t>
      </w:r>
      <w:r w:rsidRPr="00A667B1">
        <w:t>iz Federal</w:t>
      </w:r>
      <w:r>
        <w:t xml:space="preserve">. </w:t>
      </w:r>
      <w:r w:rsidRPr="00A667B1">
        <w:t>Lattes: http://lattes.cnpq.br/4850326871996552. E-mail: fabio.bezerra@ufrn.br</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A3B07" w14:textId="77777777" w:rsidR="00D02A50" w:rsidRDefault="0073731C" w:rsidP="00027FA6">
    <w:pPr>
      <w:pStyle w:val="Cabealho"/>
      <w:tabs>
        <w:tab w:val="clear" w:pos="4252"/>
        <w:tab w:val="clear" w:pos="8504"/>
      </w:tabs>
      <w:jc w:val="center"/>
      <w:rPr>
        <w:rFonts w:ascii="Calibri Light" w:hAnsi="Calibri Light"/>
        <w:color w:val="808080" w:themeColor="background1" w:themeShade="80"/>
        <w:sz w:val="20"/>
        <w:szCs w:val="20"/>
      </w:rPr>
    </w:pPr>
    <w:r>
      <w:rPr>
        <w:noProof/>
        <w:szCs w:val="20"/>
      </w:rPr>
      <w:drawing>
        <wp:anchor distT="0" distB="0" distL="114300" distR="114300" simplePos="0" relativeHeight="251658240" behindDoc="0" locked="0" layoutInCell="1" allowOverlap="1" wp14:anchorId="5974954B" wp14:editId="146F821B">
          <wp:simplePos x="0" y="0"/>
          <wp:positionH relativeFrom="column">
            <wp:posOffset>-13335</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14:sizeRelH relativeFrom="margin">
            <wp14:pctWidth>0</wp14:pctWidth>
          </wp14:sizeRelH>
          <wp14:sizeRelV relativeFrom="margin">
            <wp14:pctHeight>0</wp14:pctHeight>
          </wp14:sizeRelV>
        </wp:anchor>
      </w:drawing>
    </w:r>
  </w:p>
  <w:p w14:paraId="7B0754DB" w14:textId="77777777" w:rsidR="00D02A50" w:rsidRDefault="00D02A50" w:rsidP="00027FA6">
    <w:pPr>
      <w:pStyle w:val="Cabealho"/>
      <w:tabs>
        <w:tab w:val="clear" w:pos="4252"/>
        <w:tab w:val="clear" w:pos="8504"/>
      </w:tabs>
      <w:jc w:val="center"/>
      <w:rPr>
        <w:rFonts w:ascii="Calibri Light" w:hAnsi="Calibri Light"/>
        <w:color w:val="808080" w:themeColor="background1" w:themeShade="80"/>
        <w:sz w:val="20"/>
        <w:szCs w:val="20"/>
      </w:rPr>
    </w:pPr>
  </w:p>
  <w:p w14:paraId="634F432D" w14:textId="77777777" w:rsidR="001D32C9" w:rsidRPr="00027FA6" w:rsidRDefault="001D32C9" w:rsidP="00027FA6">
    <w:pPr>
      <w:pStyle w:val="Cabealho"/>
      <w:tabs>
        <w:tab w:val="clear" w:pos="4252"/>
        <w:tab w:val="clear" w:pos="8504"/>
      </w:tabs>
      <w:jc w:val="center"/>
      <w:rPr>
        <w:rFonts w:ascii="Calibri Light" w:hAnsi="Calibri Light"/>
        <w:color w:val="808080" w:themeColor="background1" w:themeShade="8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C08FB"/>
    <w:multiLevelType w:val="hybridMultilevel"/>
    <w:tmpl w:val="619E6AD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11325D60"/>
    <w:multiLevelType w:val="multilevel"/>
    <w:tmpl w:val="D9D8AA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F70F2C"/>
    <w:multiLevelType w:val="multilevel"/>
    <w:tmpl w:val="2B968D1C"/>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61948E4"/>
    <w:multiLevelType w:val="multilevel"/>
    <w:tmpl w:val="24622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7D63C6"/>
    <w:multiLevelType w:val="hybridMultilevel"/>
    <w:tmpl w:val="E30037D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2D222258"/>
    <w:multiLevelType w:val="hybridMultilevel"/>
    <w:tmpl w:val="60B44DC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4210179B"/>
    <w:multiLevelType w:val="multilevel"/>
    <w:tmpl w:val="8564C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7D6976"/>
    <w:multiLevelType w:val="hybridMultilevel"/>
    <w:tmpl w:val="5A106F2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15:restartNumberingAfterBreak="0">
    <w:nsid w:val="5F871B4F"/>
    <w:multiLevelType w:val="hybridMultilevel"/>
    <w:tmpl w:val="259E9460"/>
    <w:lvl w:ilvl="0" w:tplc="4E58F5A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15:restartNumberingAfterBreak="0">
    <w:nsid w:val="649E4FF6"/>
    <w:multiLevelType w:val="multilevel"/>
    <w:tmpl w:val="B6A0AE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2D775DA"/>
    <w:multiLevelType w:val="multilevel"/>
    <w:tmpl w:val="D968EA4E"/>
    <w:lvl w:ilvl="0">
      <w:start w:val="1"/>
      <w:numFmt w:val="decimal"/>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2" w15:restartNumberingAfterBreak="0">
    <w:nsid w:val="75C96BAA"/>
    <w:multiLevelType w:val="hybridMultilevel"/>
    <w:tmpl w:val="493848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0"/>
  </w:num>
  <w:num w:numId="2">
    <w:abstractNumId w:val="12"/>
  </w:num>
  <w:num w:numId="3">
    <w:abstractNumId w:val="2"/>
  </w:num>
  <w:num w:numId="4">
    <w:abstractNumId w:val="11"/>
  </w:num>
  <w:num w:numId="5">
    <w:abstractNumId w:val="5"/>
  </w:num>
  <w:num w:numId="6">
    <w:abstractNumId w:val="7"/>
  </w:num>
  <w:num w:numId="7">
    <w:abstractNumId w:val="8"/>
  </w:num>
  <w:num w:numId="8">
    <w:abstractNumId w:val="0"/>
  </w:num>
  <w:num w:numId="9">
    <w:abstractNumId w:val="3"/>
  </w:num>
  <w:num w:numId="10">
    <w:abstractNumId w:val="6"/>
  </w:num>
  <w:num w:numId="11">
    <w:abstractNumId w:val="9"/>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AE5"/>
    <w:rsid w:val="00003C55"/>
    <w:rsid w:val="00006D45"/>
    <w:rsid w:val="00007ED3"/>
    <w:rsid w:val="00014CE0"/>
    <w:rsid w:val="00026591"/>
    <w:rsid w:val="00027FA6"/>
    <w:rsid w:val="000358D6"/>
    <w:rsid w:val="00036167"/>
    <w:rsid w:val="00037EF0"/>
    <w:rsid w:val="000563D2"/>
    <w:rsid w:val="00063DDD"/>
    <w:rsid w:val="000728D3"/>
    <w:rsid w:val="00072EC4"/>
    <w:rsid w:val="00080496"/>
    <w:rsid w:val="00083550"/>
    <w:rsid w:val="00083960"/>
    <w:rsid w:val="000860E4"/>
    <w:rsid w:val="00091EB5"/>
    <w:rsid w:val="00094232"/>
    <w:rsid w:val="000A42DF"/>
    <w:rsid w:val="000A5AD8"/>
    <w:rsid w:val="000B2A37"/>
    <w:rsid w:val="000B574B"/>
    <w:rsid w:val="000B6513"/>
    <w:rsid w:val="000C2FB8"/>
    <w:rsid w:val="000D0267"/>
    <w:rsid w:val="000D69E9"/>
    <w:rsid w:val="000E3A4F"/>
    <w:rsid w:val="000E60AA"/>
    <w:rsid w:val="000F2279"/>
    <w:rsid w:val="000F3346"/>
    <w:rsid w:val="000F6110"/>
    <w:rsid w:val="00120D2D"/>
    <w:rsid w:val="0012439F"/>
    <w:rsid w:val="00125382"/>
    <w:rsid w:val="001305B9"/>
    <w:rsid w:val="00130A2B"/>
    <w:rsid w:val="001315CB"/>
    <w:rsid w:val="001478CF"/>
    <w:rsid w:val="00162EE3"/>
    <w:rsid w:val="00164E7F"/>
    <w:rsid w:val="001931A5"/>
    <w:rsid w:val="0019459A"/>
    <w:rsid w:val="00197A6A"/>
    <w:rsid w:val="001A2F87"/>
    <w:rsid w:val="001B00E2"/>
    <w:rsid w:val="001B4F4C"/>
    <w:rsid w:val="001B6C0F"/>
    <w:rsid w:val="001D32C9"/>
    <w:rsid w:val="001D3573"/>
    <w:rsid w:val="001D3AFD"/>
    <w:rsid w:val="001D3C83"/>
    <w:rsid w:val="001D736D"/>
    <w:rsid w:val="001E0CF8"/>
    <w:rsid w:val="001E6024"/>
    <w:rsid w:val="001F132E"/>
    <w:rsid w:val="002120F0"/>
    <w:rsid w:val="0021338C"/>
    <w:rsid w:val="00217C5D"/>
    <w:rsid w:val="002210D0"/>
    <w:rsid w:val="00223BAB"/>
    <w:rsid w:val="00225D20"/>
    <w:rsid w:val="0023107E"/>
    <w:rsid w:val="00231595"/>
    <w:rsid w:val="002539A2"/>
    <w:rsid w:val="00257CF5"/>
    <w:rsid w:val="00265B67"/>
    <w:rsid w:val="002770E2"/>
    <w:rsid w:val="0028161B"/>
    <w:rsid w:val="00286112"/>
    <w:rsid w:val="00290C5B"/>
    <w:rsid w:val="00291762"/>
    <w:rsid w:val="002A045C"/>
    <w:rsid w:val="002C43A6"/>
    <w:rsid w:val="002C70D1"/>
    <w:rsid w:val="002D1E75"/>
    <w:rsid w:val="002D2070"/>
    <w:rsid w:val="002E4610"/>
    <w:rsid w:val="002E6DF8"/>
    <w:rsid w:val="002E6F35"/>
    <w:rsid w:val="002F42C1"/>
    <w:rsid w:val="00300A22"/>
    <w:rsid w:val="003145B8"/>
    <w:rsid w:val="00325243"/>
    <w:rsid w:val="00330C59"/>
    <w:rsid w:val="00335DEC"/>
    <w:rsid w:val="00337CA1"/>
    <w:rsid w:val="00341FA6"/>
    <w:rsid w:val="003422CA"/>
    <w:rsid w:val="00345F70"/>
    <w:rsid w:val="00347761"/>
    <w:rsid w:val="003526CE"/>
    <w:rsid w:val="00370BCC"/>
    <w:rsid w:val="00384D65"/>
    <w:rsid w:val="003864FF"/>
    <w:rsid w:val="00386C08"/>
    <w:rsid w:val="00386CCF"/>
    <w:rsid w:val="0038789D"/>
    <w:rsid w:val="003A130E"/>
    <w:rsid w:val="003A1397"/>
    <w:rsid w:val="003A1D49"/>
    <w:rsid w:val="003A6155"/>
    <w:rsid w:val="003B05C0"/>
    <w:rsid w:val="003B397B"/>
    <w:rsid w:val="003B43F5"/>
    <w:rsid w:val="003B508D"/>
    <w:rsid w:val="003B5155"/>
    <w:rsid w:val="003B5E2C"/>
    <w:rsid w:val="003C1463"/>
    <w:rsid w:val="003C52DE"/>
    <w:rsid w:val="003D0321"/>
    <w:rsid w:val="003D0B86"/>
    <w:rsid w:val="003E339A"/>
    <w:rsid w:val="003E6571"/>
    <w:rsid w:val="003F303C"/>
    <w:rsid w:val="003F5F5A"/>
    <w:rsid w:val="004016B6"/>
    <w:rsid w:val="00420BFA"/>
    <w:rsid w:val="004268CE"/>
    <w:rsid w:val="00444EE1"/>
    <w:rsid w:val="00446FD2"/>
    <w:rsid w:val="00454CCA"/>
    <w:rsid w:val="0047204D"/>
    <w:rsid w:val="0047270A"/>
    <w:rsid w:val="00477B63"/>
    <w:rsid w:val="0048147E"/>
    <w:rsid w:val="00484874"/>
    <w:rsid w:val="004903CF"/>
    <w:rsid w:val="00494F06"/>
    <w:rsid w:val="004967D0"/>
    <w:rsid w:val="004A2242"/>
    <w:rsid w:val="004B074E"/>
    <w:rsid w:val="004B4A09"/>
    <w:rsid w:val="004C06D6"/>
    <w:rsid w:val="004C0F8C"/>
    <w:rsid w:val="004C2702"/>
    <w:rsid w:val="004C4DA5"/>
    <w:rsid w:val="004C5129"/>
    <w:rsid w:val="004C62B4"/>
    <w:rsid w:val="004C7227"/>
    <w:rsid w:val="004E0019"/>
    <w:rsid w:val="004E1E3D"/>
    <w:rsid w:val="004E2B68"/>
    <w:rsid w:val="004E3CC5"/>
    <w:rsid w:val="004F0D89"/>
    <w:rsid w:val="004F561B"/>
    <w:rsid w:val="004F5C74"/>
    <w:rsid w:val="005000C1"/>
    <w:rsid w:val="00501515"/>
    <w:rsid w:val="005037A7"/>
    <w:rsid w:val="005045C1"/>
    <w:rsid w:val="00506C46"/>
    <w:rsid w:val="00510EC8"/>
    <w:rsid w:val="00513AF5"/>
    <w:rsid w:val="0051686F"/>
    <w:rsid w:val="00531386"/>
    <w:rsid w:val="005425EA"/>
    <w:rsid w:val="00544CE8"/>
    <w:rsid w:val="00551B9A"/>
    <w:rsid w:val="00551C32"/>
    <w:rsid w:val="0055337E"/>
    <w:rsid w:val="00560FDE"/>
    <w:rsid w:val="00566E8C"/>
    <w:rsid w:val="00572EAF"/>
    <w:rsid w:val="00585962"/>
    <w:rsid w:val="005954C6"/>
    <w:rsid w:val="00595B07"/>
    <w:rsid w:val="00596011"/>
    <w:rsid w:val="005B13BB"/>
    <w:rsid w:val="005B4880"/>
    <w:rsid w:val="005B4F90"/>
    <w:rsid w:val="005B6DB5"/>
    <w:rsid w:val="005B739E"/>
    <w:rsid w:val="005C3D92"/>
    <w:rsid w:val="005C7C0F"/>
    <w:rsid w:val="005D2811"/>
    <w:rsid w:val="005E0E53"/>
    <w:rsid w:val="005E1E6D"/>
    <w:rsid w:val="005E43D3"/>
    <w:rsid w:val="005E4665"/>
    <w:rsid w:val="005F3B31"/>
    <w:rsid w:val="005F6646"/>
    <w:rsid w:val="00611540"/>
    <w:rsid w:val="00612D4D"/>
    <w:rsid w:val="00617411"/>
    <w:rsid w:val="00617CB2"/>
    <w:rsid w:val="006254FA"/>
    <w:rsid w:val="00626FBF"/>
    <w:rsid w:val="006351C2"/>
    <w:rsid w:val="006357A0"/>
    <w:rsid w:val="00647DA5"/>
    <w:rsid w:val="0065705C"/>
    <w:rsid w:val="0066767F"/>
    <w:rsid w:val="006A137D"/>
    <w:rsid w:val="006A66B5"/>
    <w:rsid w:val="006B2585"/>
    <w:rsid w:val="006B3D97"/>
    <w:rsid w:val="006D625F"/>
    <w:rsid w:val="006E002A"/>
    <w:rsid w:val="006E1858"/>
    <w:rsid w:val="006E2491"/>
    <w:rsid w:val="006E451C"/>
    <w:rsid w:val="006E7EEF"/>
    <w:rsid w:val="006F7521"/>
    <w:rsid w:val="007037EB"/>
    <w:rsid w:val="00705434"/>
    <w:rsid w:val="007104F1"/>
    <w:rsid w:val="00714612"/>
    <w:rsid w:val="00721E1F"/>
    <w:rsid w:val="007227D6"/>
    <w:rsid w:val="00732237"/>
    <w:rsid w:val="0073602F"/>
    <w:rsid w:val="0073731C"/>
    <w:rsid w:val="00737E12"/>
    <w:rsid w:val="00741F3D"/>
    <w:rsid w:val="00752509"/>
    <w:rsid w:val="0075422C"/>
    <w:rsid w:val="00764D64"/>
    <w:rsid w:val="0077046B"/>
    <w:rsid w:val="00781B56"/>
    <w:rsid w:val="0078732D"/>
    <w:rsid w:val="00787568"/>
    <w:rsid w:val="007917AA"/>
    <w:rsid w:val="007B41DC"/>
    <w:rsid w:val="007C5D05"/>
    <w:rsid w:val="007E2D72"/>
    <w:rsid w:val="007F3167"/>
    <w:rsid w:val="00817D68"/>
    <w:rsid w:val="00827241"/>
    <w:rsid w:val="0082751B"/>
    <w:rsid w:val="00832AF9"/>
    <w:rsid w:val="008346FE"/>
    <w:rsid w:val="00835885"/>
    <w:rsid w:val="00845575"/>
    <w:rsid w:val="00850B14"/>
    <w:rsid w:val="008535B8"/>
    <w:rsid w:val="00854AF1"/>
    <w:rsid w:val="00856DE4"/>
    <w:rsid w:val="008623DF"/>
    <w:rsid w:val="008640F4"/>
    <w:rsid w:val="008669BC"/>
    <w:rsid w:val="00880EEE"/>
    <w:rsid w:val="008907D6"/>
    <w:rsid w:val="00895F7F"/>
    <w:rsid w:val="00896885"/>
    <w:rsid w:val="008B3B44"/>
    <w:rsid w:val="008D091E"/>
    <w:rsid w:val="008D2A33"/>
    <w:rsid w:val="008D3B5C"/>
    <w:rsid w:val="008D7014"/>
    <w:rsid w:val="008F097F"/>
    <w:rsid w:val="008F14DA"/>
    <w:rsid w:val="008F4CBC"/>
    <w:rsid w:val="008F66E4"/>
    <w:rsid w:val="00902A2C"/>
    <w:rsid w:val="009113E7"/>
    <w:rsid w:val="00911EC4"/>
    <w:rsid w:val="009142D3"/>
    <w:rsid w:val="00915319"/>
    <w:rsid w:val="00915891"/>
    <w:rsid w:val="00922F0B"/>
    <w:rsid w:val="00923603"/>
    <w:rsid w:val="00924BF1"/>
    <w:rsid w:val="00932BC5"/>
    <w:rsid w:val="00934292"/>
    <w:rsid w:val="00934D34"/>
    <w:rsid w:val="00937485"/>
    <w:rsid w:val="00942E30"/>
    <w:rsid w:val="00944D85"/>
    <w:rsid w:val="00954FB3"/>
    <w:rsid w:val="0095521C"/>
    <w:rsid w:val="009617F1"/>
    <w:rsid w:val="00965747"/>
    <w:rsid w:val="00966B2D"/>
    <w:rsid w:val="00983A36"/>
    <w:rsid w:val="00984149"/>
    <w:rsid w:val="009908E7"/>
    <w:rsid w:val="009925F9"/>
    <w:rsid w:val="009A1F0E"/>
    <w:rsid w:val="009B5B6A"/>
    <w:rsid w:val="009B657A"/>
    <w:rsid w:val="009C2A79"/>
    <w:rsid w:val="009C2AAB"/>
    <w:rsid w:val="009D3072"/>
    <w:rsid w:val="009E370B"/>
    <w:rsid w:val="009E3D7D"/>
    <w:rsid w:val="009E5867"/>
    <w:rsid w:val="009E5FF1"/>
    <w:rsid w:val="009F06E7"/>
    <w:rsid w:val="009F5F63"/>
    <w:rsid w:val="00A0334A"/>
    <w:rsid w:val="00A10865"/>
    <w:rsid w:val="00A10CC0"/>
    <w:rsid w:val="00A1103C"/>
    <w:rsid w:val="00A12B33"/>
    <w:rsid w:val="00A151ED"/>
    <w:rsid w:val="00A2793B"/>
    <w:rsid w:val="00A321E7"/>
    <w:rsid w:val="00A32F21"/>
    <w:rsid w:val="00A349AA"/>
    <w:rsid w:val="00A35C35"/>
    <w:rsid w:val="00A41867"/>
    <w:rsid w:val="00A45FC6"/>
    <w:rsid w:val="00A50B86"/>
    <w:rsid w:val="00A53CC5"/>
    <w:rsid w:val="00A608A6"/>
    <w:rsid w:val="00A74850"/>
    <w:rsid w:val="00A756C0"/>
    <w:rsid w:val="00A8438C"/>
    <w:rsid w:val="00A84BE8"/>
    <w:rsid w:val="00AA0C5A"/>
    <w:rsid w:val="00AA38DF"/>
    <w:rsid w:val="00AA4AE5"/>
    <w:rsid w:val="00AA615E"/>
    <w:rsid w:val="00AA70BD"/>
    <w:rsid w:val="00AB3914"/>
    <w:rsid w:val="00AB3FD1"/>
    <w:rsid w:val="00AB74A0"/>
    <w:rsid w:val="00AB75B0"/>
    <w:rsid w:val="00AC1F34"/>
    <w:rsid w:val="00AC21F5"/>
    <w:rsid w:val="00AC2548"/>
    <w:rsid w:val="00AC3FD1"/>
    <w:rsid w:val="00AD18D1"/>
    <w:rsid w:val="00AD3B07"/>
    <w:rsid w:val="00AE3DD9"/>
    <w:rsid w:val="00AE6829"/>
    <w:rsid w:val="00B06D60"/>
    <w:rsid w:val="00B13B98"/>
    <w:rsid w:val="00B14418"/>
    <w:rsid w:val="00B31C17"/>
    <w:rsid w:val="00B530CD"/>
    <w:rsid w:val="00B53218"/>
    <w:rsid w:val="00B577DE"/>
    <w:rsid w:val="00B64630"/>
    <w:rsid w:val="00B70B50"/>
    <w:rsid w:val="00B71731"/>
    <w:rsid w:val="00B82878"/>
    <w:rsid w:val="00B83ED2"/>
    <w:rsid w:val="00B9325A"/>
    <w:rsid w:val="00B97F77"/>
    <w:rsid w:val="00BA56B3"/>
    <w:rsid w:val="00BA7287"/>
    <w:rsid w:val="00BA7ADD"/>
    <w:rsid w:val="00BB5E7B"/>
    <w:rsid w:val="00BC0F39"/>
    <w:rsid w:val="00BD7D7F"/>
    <w:rsid w:val="00BE3252"/>
    <w:rsid w:val="00BE4C44"/>
    <w:rsid w:val="00BE67B1"/>
    <w:rsid w:val="00BE7D6C"/>
    <w:rsid w:val="00C01E28"/>
    <w:rsid w:val="00C211B5"/>
    <w:rsid w:val="00C24499"/>
    <w:rsid w:val="00C276F1"/>
    <w:rsid w:val="00C419B6"/>
    <w:rsid w:val="00C468D0"/>
    <w:rsid w:val="00C55257"/>
    <w:rsid w:val="00C6082E"/>
    <w:rsid w:val="00C7051B"/>
    <w:rsid w:val="00C8309A"/>
    <w:rsid w:val="00C84308"/>
    <w:rsid w:val="00C86866"/>
    <w:rsid w:val="00C8701A"/>
    <w:rsid w:val="00C92308"/>
    <w:rsid w:val="00C92336"/>
    <w:rsid w:val="00C92ADE"/>
    <w:rsid w:val="00C93F74"/>
    <w:rsid w:val="00C96EDC"/>
    <w:rsid w:val="00C970D7"/>
    <w:rsid w:val="00CA39AA"/>
    <w:rsid w:val="00CA657A"/>
    <w:rsid w:val="00CA6835"/>
    <w:rsid w:val="00CA731C"/>
    <w:rsid w:val="00CA7ED2"/>
    <w:rsid w:val="00CB1987"/>
    <w:rsid w:val="00CD2923"/>
    <w:rsid w:val="00CE222C"/>
    <w:rsid w:val="00CE7E10"/>
    <w:rsid w:val="00D004AA"/>
    <w:rsid w:val="00D02A50"/>
    <w:rsid w:val="00D11DC4"/>
    <w:rsid w:val="00D11FFA"/>
    <w:rsid w:val="00D12080"/>
    <w:rsid w:val="00D22CB5"/>
    <w:rsid w:val="00D24A4A"/>
    <w:rsid w:val="00D32DB2"/>
    <w:rsid w:val="00D354D3"/>
    <w:rsid w:val="00D44A5E"/>
    <w:rsid w:val="00D47439"/>
    <w:rsid w:val="00D55879"/>
    <w:rsid w:val="00D60DC0"/>
    <w:rsid w:val="00D64913"/>
    <w:rsid w:val="00D710B7"/>
    <w:rsid w:val="00D810AB"/>
    <w:rsid w:val="00D86E33"/>
    <w:rsid w:val="00D8799B"/>
    <w:rsid w:val="00D915C6"/>
    <w:rsid w:val="00DA1875"/>
    <w:rsid w:val="00DC2ADD"/>
    <w:rsid w:val="00DC55AC"/>
    <w:rsid w:val="00DC6628"/>
    <w:rsid w:val="00DD0630"/>
    <w:rsid w:val="00DD48C3"/>
    <w:rsid w:val="00DD4BF6"/>
    <w:rsid w:val="00DF4F60"/>
    <w:rsid w:val="00E039CD"/>
    <w:rsid w:val="00E062FB"/>
    <w:rsid w:val="00E11027"/>
    <w:rsid w:val="00E151D7"/>
    <w:rsid w:val="00E20E23"/>
    <w:rsid w:val="00E22165"/>
    <w:rsid w:val="00E22433"/>
    <w:rsid w:val="00E32F72"/>
    <w:rsid w:val="00E40184"/>
    <w:rsid w:val="00E47823"/>
    <w:rsid w:val="00E51BEC"/>
    <w:rsid w:val="00E53E1A"/>
    <w:rsid w:val="00E54FA8"/>
    <w:rsid w:val="00E61AEC"/>
    <w:rsid w:val="00E625AC"/>
    <w:rsid w:val="00E64F4F"/>
    <w:rsid w:val="00E6580F"/>
    <w:rsid w:val="00E70B2C"/>
    <w:rsid w:val="00E72222"/>
    <w:rsid w:val="00E77DF0"/>
    <w:rsid w:val="00E847FE"/>
    <w:rsid w:val="00E86C58"/>
    <w:rsid w:val="00E910F2"/>
    <w:rsid w:val="00EA2A31"/>
    <w:rsid w:val="00EA3129"/>
    <w:rsid w:val="00EA5855"/>
    <w:rsid w:val="00EB0580"/>
    <w:rsid w:val="00EB143A"/>
    <w:rsid w:val="00EC3B48"/>
    <w:rsid w:val="00EC7D7C"/>
    <w:rsid w:val="00ED3E6F"/>
    <w:rsid w:val="00ED5439"/>
    <w:rsid w:val="00ED7757"/>
    <w:rsid w:val="00ED7D7F"/>
    <w:rsid w:val="00EE54FF"/>
    <w:rsid w:val="00EF6812"/>
    <w:rsid w:val="00F04F4C"/>
    <w:rsid w:val="00F1288F"/>
    <w:rsid w:val="00F22B5C"/>
    <w:rsid w:val="00F27E69"/>
    <w:rsid w:val="00F30B0B"/>
    <w:rsid w:val="00F4521F"/>
    <w:rsid w:val="00F4543A"/>
    <w:rsid w:val="00F45532"/>
    <w:rsid w:val="00F53D45"/>
    <w:rsid w:val="00F606BF"/>
    <w:rsid w:val="00F61A0E"/>
    <w:rsid w:val="00F70A5D"/>
    <w:rsid w:val="00F81079"/>
    <w:rsid w:val="00F8174D"/>
    <w:rsid w:val="00FA14CC"/>
    <w:rsid w:val="00FA1873"/>
    <w:rsid w:val="00FA4A23"/>
    <w:rsid w:val="00FA6B0A"/>
    <w:rsid w:val="00FA71FD"/>
    <w:rsid w:val="00FB7D28"/>
    <w:rsid w:val="00FC0737"/>
    <w:rsid w:val="00FC320E"/>
    <w:rsid w:val="00FC4D9D"/>
    <w:rsid w:val="00FD257E"/>
    <w:rsid w:val="00FE23A6"/>
    <w:rsid w:val="00FE762C"/>
    <w:rsid w:val="00FF4B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04D19"/>
  <w15:docId w15:val="{D6302433-A8B2-4D61-A9A2-008DB12E2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070"/>
    <w:pPr>
      <w:spacing w:after="0" w:line="360" w:lineRule="auto"/>
      <w:ind w:firstLine="851"/>
      <w:jc w:val="both"/>
    </w:pPr>
    <w:rPr>
      <w:rFonts w:ascii="Times New Roman" w:hAnsi="Times New Roman"/>
      <w:sz w:val="24"/>
    </w:rPr>
  </w:style>
  <w:style w:type="paragraph" w:styleId="Ttulo1">
    <w:name w:val="heading 1"/>
    <w:next w:val="Normal"/>
    <w:link w:val="Ttulo1Char"/>
    <w:autoRedefine/>
    <w:uiPriority w:val="9"/>
    <w:qFormat/>
    <w:rsid w:val="00291762"/>
    <w:pPr>
      <w:keepNext/>
      <w:keepLines/>
      <w:spacing w:before="240" w:after="240" w:line="360" w:lineRule="auto"/>
      <w:ind w:left="227" w:hanging="227"/>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next w:val="Normal"/>
    <w:link w:val="Ttulo2Char"/>
    <w:uiPriority w:val="9"/>
    <w:unhideWhenUsed/>
    <w:qFormat/>
    <w:rsid w:val="00E11027"/>
    <w:pPr>
      <w:keepNext/>
      <w:keepLines/>
      <w:numPr>
        <w:ilvl w:val="1"/>
        <w:numId w:val="3"/>
      </w:numPr>
      <w:spacing w:before="240" w:after="240"/>
      <w:ind w:left="0" w:firstLine="0"/>
      <w:jc w:val="left"/>
      <w:outlineLvl w:val="1"/>
    </w:pPr>
    <w:rPr>
      <w:rFonts w:eastAsiaTheme="majorEastAsia" w:cstheme="majorBidi"/>
      <w:b/>
      <w:szCs w:val="26"/>
    </w:rPr>
  </w:style>
  <w:style w:type="paragraph" w:styleId="Ttulo3">
    <w:name w:val="heading 3"/>
    <w:basedOn w:val="Normal"/>
    <w:next w:val="Normal"/>
    <w:link w:val="Ttulo3Char"/>
    <w:uiPriority w:val="9"/>
    <w:semiHidden/>
    <w:unhideWhenUsed/>
    <w:qFormat/>
    <w:rsid w:val="00384D65"/>
    <w:pPr>
      <w:keepNext/>
      <w:keepLines/>
      <w:numPr>
        <w:ilvl w:val="2"/>
        <w:numId w:val="3"/>
      </w:numPr>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3C1463"/>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3C1463"/>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3C1463"/>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3C1463"/>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3C146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C146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37EF0"/>
    <w:pPr>
      <w:tabs>
        <w:tab w:val="center" w:pos="4252"/>
        <w:tab w:val="right" w:pos="8504"/>
      </w:tabs>
      <w:spacing w:line="240" w:lineRule="auto"/>
    </w:pPr>
  </w:style>
  <w:style w:type="character" w:customStyle="1" w:styleId="CabealhoChar">
    <w:name w:val="Cabeçalho Char"/>
    <w:basedOn w:val="Fontepargpadro"/>
    <w:link w:val="Cabealho"/>
    <w:uiPriority w:val="99"/>
    <w:qFormat/>
    <w:rsid w:val="00037EF0"/>
  </w:style>
  <w:style w:type="paragraph" w:styleId="Rodap">
    <w:name w:val="footer"/>
    <w:basedOn w:val="Normal"/>
    <w:link w:val="RodapChar"/>
    <w:uiPriority w:val="99"/>
    <w:unhideWhenUsed/>
    <w:rsid w:val="00037EF0"/>
    <w:pPr>
      <w:tabs>
        <w:tab w:val="center" w:pos="4252"/>
        <w:tab w:val="right" w:pos="8504"/>
      </w:tabs>
      <w:spacing w:line="240" w:lineRule="auto"/>
    </w:pPr>
  </w:style>
  <w:style w:type="character" w:customStyle="1" w:styleId="RodapChar">
    <w:name w:val="Rodapé Char"/>
    <w:basedOn w:val="Fontepargpadro"/>
    <w:link w:val="Rodap"/>
    <w:uiPriority w:val="99"/>
    <w:rsid w:val="00037EF0"/>
  </w:style>
  <w:style w:type="paragraph" w:styleId="Textodebalo">
    <w:name w:val="Balloon Text"/>
    <w:basedOn w:val="Normal"/>
    <w:link w:val="TextodebaloChar"/>
    <w:uiPriority w:val="99"/>
    <w:semiHidden/>
    <w:unhideWhenUsed/>
    <w:rsid w:val="00A45FC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5FC6"/>
    <w:rPr>
      <w:rFonts w:ascii="Tahoma" w:hAnsi="Tahoma" w:cs="Tahoma"/>
      <w:sz w:val="16"/>
      <w:szCs w:val="16"/>
    </w:rPr>
  </w:style>
  <w:style w:type="character" w:customStyle="1" w:styleId="Ttulo1Char">
    <w:name w:val="Título 1 Char"/>
    <w:basedOn w:val="Fontepargpadro"/>
    <w:link w:val="Ttulo1"/>
    <w:uiPriority w:val="9"/>
    <w:rsid w:val="00291762"/>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E11027"/>
    <w:rPr>
      <w:rFonts w:ascii="Times New Roman" w:eastAsiaTheme="majorEastAsia" w:hAnsi="Times New Roman" w:cstheme="majorBidi"/>
      <w:b/>
      <w:sz w:val="24"/>
      <w:szCs w:val="26"/>
    </w:rPr>
  </w:style>
  <w:style w:type="character" w:customStyle="1" w:styleId="Ttulo3Char">
    <w:name w:val="Título 3 Char"/>
    <w:basedOn w:val="Fontepargpadro"/>
    <w:link w:val="Ttulo3"/>
    <w:uiPriority w:val="9"/>
    <w:semiHidden/>
    <w:rsid w:val="00384D65"/>
    <w:rPr>
      <w:rFonts w:asciiTheme="majorHAnsi" w:eastAsiaTheme="majorEastAsia" w:hAnsiTheme="majorHAnsi" w:cstheme="majorBidi"/>
      <w:color w:val="1F4D78" w:themeColor="accent1" w:themeShade="7F"/>
      <w:sz w:val="24"/>
      <w:szCs w:val="24"/>
    </w:rPr>
  </w:style>
  <w:style w:type="character" w:styleId="Hyperlink">
    <w:name w:val="Hyperlink"/>
    <w:basedOn w:val="Fontepargpadro"/>
    <w:uiPriority w:val="99"/>
    <w:unhideWhenUsed/>
    <w:rsid w:val="00C93F74"/>
    <w:rPr>
      <w:color w:val="0563C1" w:themeColor="hyperlink"/>
      <w:u w:val="single"/>
    </w:rPr>
  </w:style>
  <w:style w:type="paragraph" w:styleId="Citao">
    <w:name w:val="Quote"/>
    <w:basedOn w:val="Normal"/>
    <w:next w:val="Normal"/>
    <w:link w:val="CitaoChar"/>
    <w:autoRedefine/>
    <w:uiPriority w:val="29"/>
    <w:qFormat/>
    <w:rsid w:val="005037A7"/>
    <w:pPr>
      <w:tabs>
        <w:tab w:val="left" w:pos="851"/>
      </w:tabs>
      <w:spacing w:line="240" w:lineRule="auto"/>
      <w:ind w:left="2268"/>
    </w:pPr>
    <w:rPr>
      <w:rFonts w:eastAsia="Arial" w:cs="Times New Roman"/>
      <w:iCs/>
      <w:color w:val="000000" w:themeColor="text1"/>
    </w:rPr>
  </w:style>
  <w:style w:type="character" w:customStyle="1" w:styleId="CitaoChar">
    <w:name w:val="Citação Char"/>
    <w:basedOn w:val="Fontepargpadro"/>
    <w:link w:val="Citao"/>
    <w:uiPriority w:val="29"/>
    <w:rsid w:val="005037A7"/>
    <w:rPr>
      <w:rFonts w:ascii="Times New Roman" w:eastAsia="Arial" w:hAnsi="Times New Roman" w:cs="Times New Roman"/>
      <w:iCs/>
      <w:color w:val="000000" w:themeColor="text1"/>
    </w:rPr>
  </w:style>
  <w:style w:type="paragraph" w:customStyle="1" w:styleId="Texto">
    <w:name w:val="Texto"/>
    <w:basedOn w:val="Normal"/>
    <w:rsid w:val="001F132E"/>
    <w:pPr>
      <w:suppressAutoHyphens/>
    </w:pPr>
    <w:rPr>
      <w:rFonts w:ascii="Arial" w:eastAsia="Calibri" w:hAnsi="Arial" w:cs="Arial"/>
      <w:lang w:eastAsia="zh-CN"/>
    </w:rPr>
  </w:style>
  <w:style w:type="paragraph" w:styleId="PargrafodaLista">
    <w:name w:val="List Paragraph"/>
    <w:basedOn w:val="Normal"/>
    <w:uiPriority w:val="34"/>
    <w:qFormat/>
    <w:rsid w:val="002A045C"/>
    <w:pPr>
      <w:ind w:left="720"/>
      <w:contextualSpacing/>
    </w:pPr>
  </w:style>
  <w:style w:type="character" w:customStyle="1" w:styleId="Ttulo4Char">
    <w:name w:val="Título 4 Char"/>
    <w:basedOn w:val="Fontepargpadro"/>
    <w:link w:val="Ttulo4"/>
    <w:uiPriority w:val="9"/>
    <w:semiHidden/>
    <w:rsid w:val="003C1463"/>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3C1463"/>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3C1463"/>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3C1463"/>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3C1463"/>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C1463"/>
    <w:rPr>
      <w:rFonts w:asciiTheme="majorHAnsi" w:eastAsiaTheme="majorEastAsia" w:hAnsiTheme="majorHAnsi" w:cstheme="majorBidi"/>
      <w:i/>
      <w:iCs/>
      <w:color w:val="272727" w:themeColor="text1" w:themeTint="D8"/>
      <w:sz w:val="21"/>
      <w:szCs w:val="21"/>
    </w:rPr>
  </w:style>
  <w:style w:type="character" w:styleId="RefernciaIntensa">
    <w:name w:val="Intense Reference"/>
    <w:basedOn w:val="Fontepargpadro"/>
    <w:uiPriority w:val="32"/>
    <w:qFormat/>
    <w:rsid w:val="00AA38DF"/>
    <w:rPr>
      <w:b/>
      <w:bCs/>
      <w:smallCaps/>
      <w:color w:val="5B9BD5" w:themeColor="accent1"/>
      <w:spacing w:val="5"/>
    </w:rPr>
  </w:style>
  <w:style w:type="paragraph" w:customStyle="1" w:styleId="REFSFINAIS">
    <w:name w:val="REFS FINAIS"/>
    <w:basedOn w:val="Normal"/>
    <w:link w:val="REFSFINAISChar"/>
    <w:qFormat/>
    <w:rsid w:val="00291762"/>
    <w:pPr>
      <w:spacing w:line="240" w:lineRule="auto"/>
      <w:ind w:firstLine="0"/>
      <w:jc w:val="left"/>
    </w:pPr>
    <w:rPr>
      <w:rFonts w:eastAsia="Arial" w:cs="Times New Roman"/>
      <w:spacing w:val="-2"/>
      <w:szCs w:val="24"/>
    </w:rPr>
  </w:style>
  <w:style w:type="paragraph" w:styleId="Textodenotaderodap">
    <w:name w:val="footnote text"/>
    <w:link w:val="TextodenotaderodapChar"/>
    <w:uiPriority w:val="99"/>
    <w:unhideWhenUsed/>
    <w:qFormat/>
    <w:rsid w:val="005B6DB5"/>
    <w:pPr>
      <w:spacing w:after="0" w:line="240" w:lineRule="auto"/>
      <w:jc w:val="both"/>
    </w:pPr>
    <w:rPr>
      <w:rFonts w:ascii="Times New Roman" w:hAnsi="Times New Roman"/>
      <w:szCs w:val="20"/>
    </w:rPr>
  </w:style>
  <w:style w:type="character" w:customStyle="1" w:styleId="REFSFINAISChar">
    <w:name w:val="REFS FINAIS Char"/>
    <w:basedOn w:val="Fontepargpadro"/>
    <w:link w:val="REFSFINAIS"/>
    <w:rsid w:val="00291762"/>
    <w:rPr>
      <w:rFonts w:ascii="Times New Roman" w:eastAsia="Arial" w:hAnsi="Times New Roman" w:cs="Times New Roman"/>
      <w:spacing w:val="-2"/>
      <w:sz w:val="24"/>
      <w:szCs w:val="24"/>
    </w:rPr>
  </w:style>
  <w:style w:type="character" w:customStyle="1" w:styleId="TextodenotaderodapChar">
    <w:name w:val="Texto de nota de rodapé Char"/>
    <w:basedOn w:val="Fontepargpadro"/>
    <w:link w:val="Textodenotaderodap"/>
    <w:uiPriority w:val="99"/>
    <w:rsid w:val="005B6DB5"/>
    <w:rPr>
      <w:rFonts w:ascii="Times New Roman" w:hAnsi="Times New Roman"/>
      <w:szCs w:val="20"/>
    </w:rPr>
  </w:style>
  <w:style w:type="character" w:styleId="Refdenotaderodap">
    <w:name w:val="footnote reference"/>
    <w:basedOn w:val="Fontepargpadro"/>
    <w:uiPriority w:val="99"/>
    <w:semiHidden/>
    <w:unhideWhenUsed/>
    <w:rsid w:val="00F04F4C"/>
    <w:rPr>
      <w:vertAlign w:val="superscript"/>
    </w:rPr>
  </w:style>
  <w:style w:type="paragraph" w:customStyle="1" w:styleId="notaderodap">
    <w:name w:val="nota de rodapé"/>
    <w:basedOn w:val="Rodap"/>
    <w:link w:val="notaderodapChar"/>
    <w:qFormat/>
    <w:rsid w:val="00F04F4C"/>
  </w:style>
  <w:style w:type="character" w:customStyle="1" w:styleId="notaderodapChar">
    <w:name w:val="nota de rodapé Char"/>
    <w:basedOn w:val="RodapChar"/>
    <w:link w:val="notaderodap"/>
    <w:rsid w:val="00F04F4C"/>
    <w:rPr>
      <w:rFonts w:ascii="Times New Roman" w:hAnsi="Times New Roman"/>
      <w:sz w:val="24"/>
    </w:rPr>
  </w:style>
  <w:style w:type="character" w:styleId="Forte">
    <w:name w:val="Strong"/>
    <w:basedOn w:val="Fontepargpadro"/>
    <w:uiPriority w:val="22"/>
    <w:qFormat/>
    <w:rsid w:val="002210D0"/>
    <w:rPr>
      <w:b/>
      <w:bCs/>
    </w:rPr>
  </w:style>
  <w:style w:type="character" w:styleId="Refdecomentrio">
    <w:name w:val="annotation reference"/>
    <w:basedOn w:val="Fontepargpadro"/>
    <w:uiPriority w:val="99"/>
    <w:semiHidden/>
    <w:unhideWhenUsed/>
    <w:rsid w:val="00854AF1"/>
    <w:rPr>
      <w:sz w:val="16"/>
      <w:szCs w:val="16"/>
    </w:rPr>
  </w:style>
  <w:style w:type="paragraph" w:styleId="Textodecomentrio">
    <w:name w:val="annotation text"/>
    <w:basedOn w:val="Normal"/>
    <w:link w:val="TextodecomentrioChar"/>
    <w:uiPriority w:val="99"/>
    <w:unhideWhenUsed/>
    <w:rsid w:val="00854AF1"/>
    <w:pPr>
      <w:spacing w:line="240" w:lineRule="auto"/>
    </w:pPr>
    <w:rPr>
      <w:sz w:val="20"/>
      <w:szCs w:val="20"/>
    </w:rPr>
  </w:style>
  <w:style w:type="character" w:customStyle="1" w:styleId="TextodecomentrioChar">
    <w:name w:val="Texto de comentário Char"/>
    <w:basedOn w:val="Fontepargpadro"/>
    <w:link w:val="Textodecomentrio"/>
    <w:uiPriority w:val="99"/>
    <w:rsid w:val="00854AF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854AF1"/>
    <w:rPr>
      <w:b/>
      <w:bCs/>
    </w:rPr>
  </w:style>
  <w:style w:type="character" w:customStyle="1" w:styleId="AssuntodocomentrioChar">
    <w:name w:val="Assunto do comentário Char"/>
    <w:basedOn w:val="TextodecomentrioChar"/>
    <w:link w:val="Assuntodocomentrio"/>
    <w:uiPriority w:val="99"/>
    <w:semiHidden/>
    <w:rsid w:val="00854AF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433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82A19-61A5-4EA0-B90A-87DB01A7F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2311</TotalTime>
  <Pages>11</Pages>
  <Words>3683</Words>
  <Characters>19893</Characters>
  <Application>Microsoft Office Word</Application>
  <DocSecurity>0</DocSecurity>
  <Lines>165</Lines>
  <Paragraphs>47</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Conta da Microsoft</cp:lastModifiedBy>
  <cp:revision>372</cp:revision>
  <dcterms:created xsi:type="dcterms:W3CDTF">2020-02-18T16:17:00Z</dcterms:created>
  <dcterms:modified xsi:type="dcterms:W3CDTF">2023-07-31T13:58:00Z</dcterms:modified>
</cp:coreProperties>
</file>