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E5" w:rsidRPr="00DD4BF6" w:rsidRDefault="002770E2" w:rsidP="0055337E">
      <w:pPr>
        <w:jc w:val="center"/>
        <w:rPr>
          <w:rFonts w:eastAsia="Arial" w:cs="Times New Roman"/>
          <w:b/>
          <w:szCs w:val="24"/>
        </w:rPr>
      </w:pPr>
      <w:r w:rsidRPr="00DD4BF6">
        <w:rPr>
          <w:rFonts w:eastAsia="Arial" w:cs="Times New Roman"/>
          <w:b/>
          <w:szCs w:val="24"/>
        </w:rPr>
        <w:t xml:space="preserve">GT </w:t>
      </w:r>
      <w:r w:rsidR="001D32C9" w:rsidRPr="00DD4BF6">
        <w:rPr>
          <w:rFonts w:eastAsia="Arial" w:cs="Times New Roman"/>
          <w:b/>
          <w:szCs w:val="24"/>
        </w:rPr>
        <w:t>CASOS PARA ENSINO</w:t>
      </w:r>
    </w:p>
    <w:p w:rsidR="00AA4AE5" w:rsidRPr="00DD4BF6" w:rsidRDefault="00AA4AE5" w:rsidP="0055337E">
      <w:pPr>
        <w:rPr>
          <w:rFonts w:eastAsia="Arial" w:cs="Times New Roman"/>
          <w:b/>
          <w:szCs w:val="24"/>
        </w:rPr>
      </w:pPr>
    </w:p>
    <w:p w:rsidR="00AA4AE5" w:rsidRDefault="00AD18D1" w:rsidP="0055337E">
      <w:pPr>
        <w:jc w:val="center"/>
        <w:rPr>
          <w:rFonts w:eastAsia="Arial" w:cs="Times New Roman"/>
          <w:b/>
          <w:szCs w:val="24"/>
        </w:rPr>
      </w:pPr>
      <w:r>
        <w:rPr>
          <w:rFonts w:eastAsia="Arial" w:cs="Times New Roman"/>
          <w:b/>
          <w:szCs w:val="24"/>
        </w:rPr>
        <w:t xml:space="preserve">CONTRATAÇÃO DE </w:t>
      </w:r>
      <w:r w:rsidR="00FC3144">
        <w:rPr>
          <w:rFonts w:eastAsia="Arial" w:cs="Times New Roman"/>
          <w:b/>
          <w:szCs w:val="24"/>
        </w:rPr>
        <w:t>EMPRÉSTIMO MEDIANTE LIGAÇÃO TELEFÔNICA</w:t>
      </w:r>
      <w:r w:rsidR="004548D9">
        <w:rPr>
          <w:rFonts w:eastAsia="Arial" w:cs="Times New Roman"/>
          <w:b/>
          <w:szCs w:val="24"/>
        </w:rPr>
        <w:t>: CASO PARA ENSINO COM POSSIBILIDADE DE SIMULAÇÃO DAS TRATATIVAS</w:t>
      </w:r>
      <w:r w:rsidR="0024349A">
        <w:rPr>
          <w:rFonts w:eastAsia="Arial" w:cs="Times New Roman"/>
          <w:b/>
          <w:szCs w:val="24"/>
        </w:rPr>
        <w:t xml:space="preserve"> DO NEGÓCIO JURÍDICO</w:t>
      </w:r>
    </w:p>
    <w:p w:rsidR="00354E07" w:rsidRPr="00DD4BF6" w:rsidRDefault="00354E07" w:rsidP="0055337E">
      <w:pPr>
        <w:jc w:val="center"/>
        <w:rPr>
          <w:rFonts w:eastAsia="Arial" w:cs="Times New Roman"/>
          <w:b/>
          <w:szCs w:val="24"/>
        </w:rPr>
      </w:pPr>
    </w:p>
    <w:p w:rsidR="00D34275" w:rsidRDefault="00D34275" w:rsidP="00D34275">
      <w:pPr>
        <w:jc w:val="right"/>
        <w:rPr>
          <w:rFonts w:eastAsia="Times New Roman" w:cs="Times New Roman"/>
          <w:szCs w:val="24"/>
        </w:rPr>
      </w:pPr>
      <w:r>
        <w:rPr>
          <w:rFonts w:eastAsia="Arial" w:cs="Times New Roman"/>
          <w:szCs w:val="24"/>
        </w:rPr>
        <w:t>Igor</w:t>
      </w:r>
      <w:r w:rsidR="007135FF">
        <w:rPr>
          <w:rFonts w:eastAsia="Arial" w:cs="Times New Roman"/>
          <w:szCs w:val="24"/>
        </w:rPr>
        <w:t xml:space="preserve"> Siqueira Melo</w:t>
      </w:r>
      <w:r w:rsidR="007B5106">
        <w:rPr>
          <w:rStyle w:val="Refdenotaderodap"/>
          <w:rFonts w:eastAsia="Arial" w:cs="Times New Roman"/>
          <w:szCs w:val="24"/>
        </w:rPr>
        <w:footnoteReference w:customMarkFollows="1" w:id="2"/>
        <w:t>*</w:t>
      </w:r>
    </w:p>
    <w:p w:rsidR="007B5106" w:rsidRDefault="007B5106" w:rsidP="007B5106">
      <w:pPr>
        <w:jc w:val="right"/>
      </w:pPr>
      <w:r>
        <w:t>Nicolas Rebelo de Oliveira</w:t>
      </w:r>
      <w:r>
        <w:rPr>
          <w:rStyle w:val="Refdenotaderodap"/>
        </w:rPr>
        <w:footnoteReference w:customMarkFollows="1" w:id="3"/>
        <w:t>**</w:t>
      </w:r>
    </w:p>
    <w:p w:rsidR="001E3076" w:rsidRDefault="001E3076" w:rsidP="001E3076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Fábio Luiz de Oliveira Bezerra</w:t>
      </w:r>
      <w:r w:rsidR="007B5106">
        <w:rPr>
          <w:rStyle w:val="Refdenotaderodap"/>
          <w:rFonts w:eastAsia="Arial" w:cs="Times New Roman"/>
          <w:szCs w:val="24"/>
        </w:rPr>
        <w:footnoteReference w:customMarkFollows="1" w:id="4"/>
        <w:t>***</w:t>
      </w:r>
    </w:p>
    <w:p w:rsidR="00EA11C3" w:rsidRDefault="00EA11C3" w:rsidP="00932BC5">
      <w:pPr>
        <w:spacing w:line="240" w:lineRule="auto"/>
        <w:ind w:firstLine="0"/>
        <w:rPr>
          <w:rFonts w:eastAsia="Arial" w:cs="Times New Roman"/>
          <w:b/>
          <w:caps/>
          <w:szCs w:val="24"/>
        </w:rPr>
      </w:pPr>
    </w:p>
    <w:p w:rsidR="0055337E" w:rsidRPr="00DD4BF6" w:rsidRDefault="009617F1" w:rsidP="00932BC5">
      <w:pPr>
        <w:spacing w:line="240" w:lineRule="auto"/>
        <w:ind w:firstLine="0"/>
        <w:rPr>
          <w:rFonts w:eastAsia="Arial" w:cs="Times New Roman"/>
          <w:b/>
          <w:caps/>
          <w:szCs w:val="24"/>
        </w:rPr>
      </w:pPr>
      <w:r w:rsidRPr="00DD4BF6">
        <w:rPr>
          <w:rFonts w:eastAsia="Arial" w:cs="Times New Roman"/>
          <w:b/>
          <w:caps/>
          <w:szCs w:val="24"/>
        </w:rPr>
        <w:t>Resumo</w:t>
      </w:r>
    </w:p>
    <w:p w:rsidR="00B27820" w:rsidRDefault="00851412" w:rsidP="00B27820">
      <w:pPr>
        <w:spacing w:line="240" w:lineRule="auto"/>
        <w:ind w:firstLine="0"/>
        <w:rPr>
          <w:rFonts w:eastAsia="Arial"/>
        </w:rPr>
      </w:pPr>
      <w:r>
        <w:rPr>
          <w:rFonts w:eastAsia="Arial"/>
        </w:rPr>
        <w:t>O</w:t>
      </w:r>
      <w:r w:rsidR="00B27820" w:rsidRPr="00A24C37">
        <w:rPr>
          <w:rFonts w:eastAsia="Arial"/>
        </w:rPr>
        <w:t xml:space="preserve"> presente caso de ensino aborda a contratação de empréstimo bancário, por uma pessoa que é residente no Brasil e trabalha como enfermeira, que resolveu procurar uma instituição financeira com vistas a regularizar as dívidas relativas às mensalidades escolares de seus filhos, as quais estavam com seus respectivos pagamentos pendentes. Após formalização de um acordo para o pagamento em determinada parcela, o mutuário contratante verificou, em momento posterior, que as prestações seriam maiores do que as anuídas</w:t>
      </w:r>
      <w:r>
        <w:rPr>
          <w:rFonts w:eastAsia="Arial"/>
        </w:rPr>
        <w:t>, e intenta alguma providência para revisão de seu contrato</w:t>
      </w:r>
      <w:r w:rsidR="00B27820" w:rsidRPr="00A24C37">
        <w:rPr>
          <w:rFonts w:eastAsia="Arial"/>
        </w:rPr>
        <w:t xml:space="preserve">. Nesse contexto, o objetivo central do presente caso de ensino é conduzir os discentes à reflexão acerca dos aspectos sociais e jurídicos que permeiam o problema, especificamente no que tange a análise dos institutos jurídicos que estão inseridos na situação problema, tais como as fases de formação dos contratos, os princípios da boa-fé objetiva </w:t>
      </w:r>
      <w:r w:rsidR="000C2E77">
        <w:rPr>
          <w:rFonts w:eastAsia="Arial"/>
        </w:rPr>
        <w:t>e</w:t>
      </w:r>
      <w:r w:rsidR="00B27820" w:rsidRPr="00A24C37">
        <w:rPr>
          <w:rFonts w:eastAsia="Arial"/>
        </w:rPr>
        <w:t xml:space="preserve"> da função social do contrato, assim como </w:t>
      </w:r>
      <w:r w:rsidR="00442B5D">
        <w:rPr>
          <w:rFonts w:eastAsia="Arial"/>
        </w:rPr>
        <w:t xml:space="preserve">a possibilidade de revisão contratual e </w:t>
      </w:r>
      <w:r w:rsidR="00B27820" w:rsidRPr="00A24C37">
        <w:rPr>
          <w:rFonts w:eastAsia="Arial"/>
        </w:rPr>
        <w:t xml:space="preserve">a cláusula </w:t>
      </w:r>
      <w:r w:rsidR="00B27820">
        <w:rPr>
          <w:rFonts w:eastAsia="Arial"/>
        </w:rPr>
        <w:t>“</w:t>
      </w:r>
      <w:r w:rsidR="00B27820" w:rsidRPr="00A24C37">
        <w:rPr>
          <w:rFonts w:eastAsia="Arial"/>
          <w:i/>
          <w:iCs/>
        </w:rPr>
        <w:t>exceptio non adimpleti contractus</w:t>
      </w:r>
      <w:r w:rsidR="00B27820" w:rsidRPr="0077698B">
        <w:rPr>
          <w:rFonts w:eastAsia="Arial"/>
        </w:rPr>
        <w:t>”</w:t>
      </w:r>
      <w:r w:rsidR="00B27820" w:rsidRPr="00A24C37">
        <w:rPr>
          <w:rFonts w:eastAsia="Arial"/>
        </w:rPr>
        <w:t>.</w:t>
      </w:r>
    </w:p>
    <w:p w:rsidR="00384D65" w:rsidRPr="00DD4BF6" w:rsidRDefault="009617F1" w:rsidP="00E22433">
      <w:pPr>
        <w:ind w:firstLine="0"/>
        <w:rPr>
          <w:rFonts w:eastAsia="Arial" w:cs="Times New Roman"/>
          <w:szCs w:val="24"/>
        </w:rPr>
      </w:pPr>
      <w:r w:rsidRPr="00DD4BF6">
        <w:rPr>
          <w:rFonts w:eastAsia="Arial" w:cs="Times New Roman"/>
          <w:b/>
          <w:szCs w:val="24"/>
        </w:rPr>
        <w:t xml:space="preserve">Palavras-chave: </w:t>
      </w:r>
      <w:r w:rsidR="00C419B6" w:rsidRPr="00C419B6">
        <w:rPr>
          <w:rFonts w:eastAsia="Arial" w:cs="Times New Roman"/>
          <w:szCs w:val="24"/>
        </w:rPr>
        <w:t>Contratos.</w:t>
      </w:r>
      <w:r w:rsidR="00507A61">
        <w:rPr>
          <w:rFonts w:eastAsia="Arial" w:cs="Times New Roman"/>
          <w:szCs w:val="24"/>
        </w:rPr>
        <w:t xml:space="preserve"> Exceção do contrato não cumprido. </w:t>
      </w:r>
      <w:r w:rsidR="00600398">
        <w:rPr>
          <w:rFonts w:eastAsia="Arial" w:cs="Times New Roman"/>
          <w:szCs w:val="24"/>
        </w:rPr>
        <w:t xml:space="preserve">Revisão judicial. </w:t>
      </w:r>
      <w:r w:rsidR="00E22433" w:rsidRPr="00721E1F">
        <w:rPr>
          <w:rFonts w:eastAsia="Arial" w:cs="Times New Roman"/>
          <w:szCs w:val="24"/>
        </w:rPr>
        <w:t>Caso para ensino.</w:t>
      </w:r>
    </w:p>
    <w:p w:rsidR="00384D65" w:rsidRPr="00DD4BF6" w:rsidRDefault="00384D65" w:rsidP="00DD4BF6">
      <w:pPr>
        <w:rPr>
          <w:rFonts w:eastAsia="Arial" w:cs="Times New Roman"/>
          <w:spacing w:val="-2"/>
          <w:szCs w:val="24"/>
        </w:rPr>
      </w:pPr>
    </w:p>
    <w:p w:rsidR="00C93F74" w:rsidRDefault="00384D65" w:rsidP="003C1463">
      <w:pPr>
        <w:pStyle w:val="Ttulo1"/>
        <w:rPr>
          <w:rFonts w:eastAsia="Arial"/>
        </w:rPr>
      </w:pPr>
      <w:r w:rsidRPr="00DD4BF6">
        <w:rPr>
          <w:rFonts w:eastAsia="Arial"/>
        </w:rPr>
        <w:t>APRESENTAÇÃO DO CASO</w:t>
      </w:r>
    </w:p>
    <w:p w:rsidR="008118E7" w:rsidRDefault="00F63BD2" w:rsidP="008118E7">
      <w:r>
        <w:t>A</w:t>
      </w:r>
      <w:r w:rsidR="003E27AB">
        <w:t xml:space="preserve">tualmente, é corriqueiro recebermos ligação telefônica ou </w:t>
      </w:r>
      <w:r w:rsidR="009A655A">
        <w:t>mensagens de texto por aplicativos de mensagens, tais como o WhatsApp</w:t>
      </w:r>
      <w:r w:rsidR="0099270C">
        <w:t>,</w:t>
      </w:r>
      <w:r w:rsidR="003E27AB">
        <w:t>co</w:t>
      </w:r>
      <w:r w:rsidR="0099270C">
        <w:t xml:space="preserve">ntendo </w:t>
      </w:r>
      <w:r w:rsidR="003E27AB">
        <w:t>proposta de financiamento de valores, com condições aparentemente muito boas, mas que pode ao final resultar em grandes prejuízos</w:t>
      </w:r>
      <w:r w:rsidR="008118E7">
        <w:t>.</w:t>
      </w:r>
    </w:p>
    <w:p w:rsidR="00544475" w:rsidRDefault="00544475" w:rsidP="008118E7">
      <w:r>
        <w:lastRenderedPageBreak/>
        <w:t>Muitas pessoas</w:t>
      </w:r>
      <w:r w:rsidR="0072540F">
        <w:t xml:space="preserve">, por se </w:t>
      </w:r>
      <w:r>
        <w:t>encontra</w:t>
      </w:r>
      <w:r w:rsidR="0072540F">
        <w:t xml:space="preserve">rem </w:t>
      </w:r>
      <w:r>
        <w:t>em situação de vulnerabilidade econômica</w:t>
      </w:r>
      <w:r w:rsidR="00AB2615">
        <w:t xml:space="preserve">, </w:t>
      </w:r>
      <w:r>
        <w:t>acabam optando por contratar algum financiamento para resolver os problemas financeiros mais urgentes.</w:t>
      </w:r>
    </w:p>
    <w:p w:rsidR="00544475" w:rsidRDefault="00544475" w:rsidP="008118E7">
      <w:r>
        <w:t xml:space="preserve">Quando a contratação se dá por telefone, há um fator de complexidade ainda maior, pois </w:t>
      </w:r>
      <w:r w:rsidR="00096A10">
        <w:t>as partes não estão presentes, as dúvidas nem sempre são tiradas devidamente, e o consentimento nem sempre fica evide</w:t>
      </w:r>
      <w:r w:rsidR="001E1354">
        <w:t>nte, havendo inclusive muitas situações de fraude.</w:t>
      </w:r>
    </w:p>
    <w:p w:rsidR="001E1354" w:rsidRPr="008118E7" w:rsidRDefault="001E1354" w:rsidP="008118E7">
      <w:r>
        <w:t xml:space="preserve">Para aprofundar o estudo das nuances que envolvem a contratação à distância, </w:t>
      </w:r>
      <w:r w:rsidR="003F6DD4">
        <w:t>apresenta-se o presente c</w:t>
      </w:r>
      <w:r>
        <w:t xml:space="preserve">aso para ser desenvolvido com os alunos </w:t>
      </w:r>
      <w:r w:rsidR="00606DE0">
        <w:t>em sala de aula, a partir do relato inicial (seção 1.1) e da situação-problema (seção 1.2)</w:t>
      </w:r>
      <w:r w:rsidR="008A4635">
        <w:t>, descritos a seguir.</w:t>
      </w:r>
    </w:p>
    <w:p w:rsidR="00902A2C" w:rsidRDefault="00902A2C" w:rsidP="00902A2C">
      <w:pPr>
        <w:pStyle w:val="Ttulo2"/>
        <w:rPr>
          <w:rFonts w:eastAsia="Arial"/>
        </w:rPr>
      </w:pPr>
      <w:r>
        <w:rPr>
          <w:rFonts w:eastAsia="Arial"/>
        </w:rPr>
        <w:t>Relato inicial</w:t>
      </w:r>
    </w:p>
    <w:p w:rsidR="00035A20" w:rsidRDefault="00035A20" w:rsidP="0097281F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 Souza, brasileira, solteira, enfermeira, </w:t>
      </w:r>
      <w:r w:rsidR="00EB1D7D">
        <w:rPr>
          <w:rFonts w:ascii="Times New Roman" w:eastAsia="Times New Roman" w:hAnsi="Times New Roman" w:cs="Times New Roman"/>
          <w:sz w:val="24"/>
          <w:szCs w:val="24"/>
        </w:rPr>
        <w:t xml:space="preserve">reside </w:t>
      </w:r>
      <w:r w:rsidR="00D95317">
        <w:rPr>
          <w:rFonts w:ascii="Times New Roman" w:eastAsia="Times New Roman" w:hAnsi="Times New Roman" w:cs="Times New Roman"/>
          <w:sz w:val="24"/>
          <w:szCs w:val="24"/>
        </w:rPr>
        <w:t xml:space="preserve">em um imóvel alugado </w:t>
      </w:r>
      <w:r w:rsidR="00EB1D7D">
        <w:rPr>
          <w:rFonts w:ascii="Times New Roman" w:eastAsia="Times New Roman" w:hAnsi="Times New Roman" w:cs="Times New Roman"/>
          <w:sz w:val="24"/>
          <w:szCs w:val="24"/>
        </w:rPr>
        <w:t>com seus dois filhos adolescentes, que possuem pai</w:t>
      </w:r>
      <w:r w:rsidR="00D95317">
        <w:rPr>
          <w:rFonts w:ascii="Times New Roman" w:eastAsia="Times New Roman" w:hAnsi="Times New Roman" w:cs="Times New Roman"/>
          <w:sz w:val="24"/>
          <w:szCs w:val="24"/>
        </w:rPr>
        <w:t>s diferentes, em Parnamirim/RN.</w:t>
      </w:r>
    </w:p>
    <w:p w:rsidR="000B1DF8" w:rsidRDefault="00EB1D7D" w:rsidP="0097281F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Ocorre que Ana, </w:t>
      </w:r>
      <w:r w:rsidR="007C4C3C">
        <w:rPr>
          <w:rFonts w:ascii="Times New Roman" w:eastAsia="Times New Roman" w:hAnsi="Times New Roman" w:cs="Times New Roman"/>
          <w:sz w:val="24"/>
          <w:szCs w:val="24"/>
        </w:rPr>
        <w:t>em situação semelhante a de várias mulheres brasileiras</w:t>
      </w:r>
      <w:r>
        <w:rPr>
          <w:rFonts w:ascii="Times New Roman" w:eastAsia="Times New Roman" w:hAnsi="Times New Roman" w:cs="Times New Roman"/>
          <w:sz w:val="24"/>
          <w:szCs w:val="24"/>
        </w:rPr>
        <w:t>, enfrenta muitas dificuldades com relação ao recebimento das pensõ</w:t>
      </w:r>
      <w:r w:rsidR="000B1DF8">
        <w:rPr>
          <w:rFonts w:ascii="Times New Roman" w:eastAsia="Times New Roman" w:hAnsi="Times New Roman" w:cs="Times New Roman"/>
          <w:sz w:val="24"/>
          <w:szCs w:val="24"/>
        </w:rPr>
        <w:t>es alimentícias de seus filhos.</w:t>
      </w:r>
    </w:p>
    <w:p w:rsidR="00EB1D7D" w:rsidRDefault="00EB1D7D" w:rsidP="0097281F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Além de as prestações de alimentos possuírem baixos valores, </w:t>
      </w:r>
      <w:r w:rsidR="00A007FF">
        <w:rPr>
          <w:rFonts w:ascii="Times New Roman" w:eastAsia="Times New Roman" w:hAnsi="Times New Roman" w:cs="Times New Roman"/>
          <w:sz w:val="24"/>
          <w:szCs w:val="24"/>
        </w:rPr>
        <w:t>que pouco ajudam a custear os gastos mensais dos filhos, Ana convive</w:t>
      </w:r>
      <w:r w:rsidR="00D9531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07FF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r w:rsidR="00DF242F">
        <w:rPr>
          <w:rFonts w:ascii="Times New Roman" w:eastAsia="Times New Roman" w:hAnsi="Times New Roman" w:cs="Times New Roman"/>
          <w:sz w:val="24"/>
          <w:szCs w:val="24"/>
        </w:rPr>
        <w:t>frequ</w:t>
      </w:r>
      <w:r w:rsidR="00D95317">
        <w:rPr>
          <w:rFonts w:ascii="Times New Roman" w:eastAsia="Times New Roman" w:hAnsi="Times New Roman" w:cs="Times New Roman"/>
          <w:sz w:val="24"/>
          <w:szCs w:val="24"/>
        </w:rPr>
        <w:t>ência,</w:t>
      </w:r>
      <w:r w:rsidR="00A007FF">
        <w:rPr>
          <w:rFonts w:ascii="Times New Roman" w:eastAsia="Times New Roman" w:hAnsi="Times New Roman" w:cs="Times New Roman"/>
          <w:sz w:val="24"/>
          <w:szCs w:val="24"/>
        </w:rPr>
        <w:t xml:space="preserve"> com a inadimplência dos </w:t>
      </w:r>
      <w:r w:rsidR="00E44D37">
        <w:rPr>
          <w:rFonts w:ascii="Times New Roman" w:eastAsia="Times New Roman" w:hAnsi="Times New Roman" w:cs="Times New Roman"/>
          <w:sz w:val="24"/>
          <w:szCs w:val="24"/>
        </w:rPr>
        <w:t xml:space="preserve">dois </w:t>
      </w:r>
      <w:r w:rsidR="00A007FF">
        <w:rPr>
          <w:rFonts w:ascii="Times New Roman" w:eastAsia="Times New Roman" w:hAnsi="Times New Roman" w:cs="Times New Roman"/>
          <w:sz w:val="24"/>
          <w:szCs w:val="24"/>
        </w:rPr>
        <w:t xml:space="preserve">genitores </w:t>
      </w:r>
      <w:r w:rsidR="00E44D37">
        <w:rPr>
          <w:rFonts w:ascii="Times New Roman" w:eastAsia="Times New Roman" w:hAnsi="Times New Roman" w:cs="Times New Roman"/>
          <w:sz w:val="24"/>
          <w:szCs w:val="24"/>
        </w:rPr>
        <w:t xml:space="preserve">de seus filhos </w:t>
      </w:r>
      <w:r w:rsidR="00A007FF">
        <w:rPr>
          <w:rFonts w:ascii="Times New Roman" w:eastAsia="Times New Roman" w:hAnsi="Times New Roman" w:cs="Times New Roman"/>
          <w:sz w:val="24"/>
          <w:szCs w:val="24"/>
        </w:rPr>
        <w:t>no que toca ao pagamento das referidas prestações.</w:t>
      </w:r>
    </w:p>
    <w:p w:rsidR="00D95317" w:rsidRDefault="00A007FF" w:rsidP="0097281F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contexto, Ana tem </w:t>
      </w:r>
      <w:r w:rsidR="00D95317">
        <w:rPr>
          <w:rFonts w:ascii="Times New Roman" w:eastAsia="Times New Roman" w:hAnsi="Times New Roman" w:cs="Times New Roman"/>
          <w:sz w:val="24"/>
          <w:szCs w:val="24"/>
        </w:rPr>
        <w:t>apresentado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muitas dificuldades para adimplir as diversas contas que possui, em especial </w:t>
      </w:r>
      <w:r w:rsidR="002C2DD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mensalidades da escola em que estão matriculados os </w:t>
      </w:r>
      <w:r w:rsidR="008F7DF6">
        <w:rPr>
          <w:rFonts w:ascii="Times New Roman" w:eastAsia="Times New Roman" w:hAnsi="Times New Roman" w:cs="Times New Roman"/>
          <w:sz w:val="24"/>
          <w:szCs w:val="24"/>
        </w:rPr>
        <w:t>descendentes</w:t>
      </w:r>
      <w:r w:rsidR="00F10D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DF6" w:rsidRDefault="00D95317" w:rsidP="0097281F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Foi nesse cenário que Ana, a</w:t>
      </w:r>
      <w:r w:rsidR="008F7DF6">
        <w:rPr>
          <w:rFonts w:ascii="Times New Roman" w:eastAsia="Times New Roman" w:hAnsi="Times New Roman" w:cs="Times New Roman"/>
          <w:sz w:val="24"/>
          <w:szCs w:val="24"/>
        </w:rPr>
        <w:t xml:space="preserve">pós receber </w:t>
      </w:r>
      <w:r w:rsidR="00DF242F">
        <w:rPr>
          <w:rFonts w:ascii="Times New Roman" w:eastAsia="Times New Roman" w:hAnsi="Times New Roman" w:cs="Times New Roman"/>
          <w:sz w:val="24"/>
          <w:szCs w:val="24"/>
        </w:rPr>
        <w:t>várias</w:t>
      </w:r>
      <w:r w:rsidR="008F7DF6">
        <w:rPr>
          <w:rFonts w:ascii="Times New Roman" w:eastAsia="Times New Roman" w:hAnsi="Times New Roman" w:cs="Times New Roman"/>
          <w:sz w:val="24"/>
          <w:szCs w:val="24"/>
        </w:rPr>
        <w:t xml:space="preserve"> ligações de cobrança da escola, </w:t>
      </w:r>
      <w:r w:rsidR="005E518D">
        <w:rPr>
          <w:rFonts w:ascii="Times New Roman" w:eastAsia="Times New Roman" w:hAnsi="Times New Roman" w:cs="Times New Roman"/>
          <w:sz w:val="24"/>
          <w:szCs w:val="24"/>
        </w:rPr>
        <w:t>decidiu</w:t>
      </w:r>
      <w:r w:rsidR="008F7DF6">
        <w:rPr>
          <w:rFonts w:ascii="Times New Roman" w:eastAsia="Times New Roman" w:hAnsi="Times New Roman" w:cs="Times New Roman"/>
          <w:sz w:val="24"/>
          <w:szCs w:val="24"/>
        </w:rPr>
        <w:t xml:space="preserve"> que a solução de</w:t>
      </w:r>
      <w:r w:rsidR="00DF242F">
        <w:rPr>
          <w:rFonts w:ascii="Times New Roman" w:eastAsia="Times New Roman" w:hAnsi="Times New Roman" w:cs="Times New Roman"/>
          <w:sz w:val="24"/>
          <w:szCs w:val="24"/>
        </w:rPr>
        <w:t>ssa dívida seria prioridade</w:t>
      </w:r>
      <w:r w:rsidR="00F10D21">
        <w:rPr>
          <w:rFonts w:ascii="Times New Roman" w:eastAsia="Times New Roman" w:hAnsi="Times New Roman" w:cs="Times New Roman"/>
          <w:sz w:val="24"/>
          <w:szCs w:val="24"/>
        </w:rPr>
        <w:t xml:space="preserve">. Para tanto, </w:t>
      </w:r>
      <w:r w:rsidR="0097281F">
        <w:rPr>
          <w:rFonts w:ascii="Times New Roman" w:eastAsia="Times New Roman" w:hAnsi="Times New Roman" w:cs="Times New Roman"/>
          <w:sz w:val="24"/>
          <w:szCs w:val="24"/>
        </w:rPr>
        <w:t xml:space="preserve">Ana contatou, via ligação telefônica, a instituição DC Financeira S/A visando </w:t>
      </w:r>
      <w:r w:rsidR="008F7DF6">
        <w:rPr>
          <w:rFonts w:ascii="Times New Roman" w:eastAsia="Times New Roman" w:hAnsi="Times New Roman" w:cs="Times New Roman"/>
          <w:sz w:val="24"/>
          <w:szCs w:val="24"/>
        </w:rPr>
        <w:t>a</w:t>
      </w:r>
      <w:r w:rsidR="0097281F">
        <w:rPr>
          <w:rFonts w:ascii="Times New Roman" w:eastAsia="Times New Roman" w:hAnsi="Times New Roman" w:cs="Times New Roman"/>
          <w:sz w:val="24"/>
          <w:szCs w:val="24"/>
        </w:rPr>
        <w:t>o entabulamento de empré</w:t>
      </w:r>
      <w:r w:rsidR="00DC71C5">
        <w:rPr>
          <w:rFonts w:ascii="Times New Roman" w:eastAsia="Times New Roman" w:hAnsi="Times New Roman" w:cs="Times New Roman"/>
          <w:sz w:val="24"/>
          <w:szCs w:val="24"/>
        </w:rPr>
        <w:t>stimo no valor de R$ 10.000,00</w:t>
      </w:r>
      <w:r w:rsidR="00B3718D">
        <w:rPr>
          <w:rFonts w:ascii="Times New Roman" w:eastAsia="Times New Roman" w:hAnsi="Times New Roman" w:cs="Times New Roman"/>
          <w:sz w:val="24"/>
          <w:szCs w:val="24"/>
        </w:rPr>
        <w:t xml:space="preserve"> (dez mil reais)</w:t>
      </w:r>
      <w:r w:rsidR="00DC71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DF6" w:rsidRDefault="0097281F" w:rsidP="0097281F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as tratativas de praxe, acordaram que, apresentada a documentação necessária, a condição estabelecida para a concessão do empréstimo seria o pagamento de 24 p</w:t>
      </w:r>
      <w:r w:rsidR="002961A1">
        <w:rPr>
          <w:rFonts w:ascii="Times New Roman" w:eastAsia="Times New Roman" w:hAnsi="Times New Roman" w:cs="Times New Roman"/>
          <w:sz w:val="24"/>
          <w:szCs w:val="24"/>
        </w:rPr>
        <w:t>arcelas no valor de R$ 824,00</w:t>
      </w:r>
      <w:r w:rsidR="00B3718D">
        <w:rPr>
          <w:rFonts w:ascii="Times New Roman" w:eastAsia="Times New Roman" w:hAnsi="Times New Roman" w:cs="Times New Roman"/>
          <w:sz w:val="24"/>
          <w:szCs w:val="24"/>
        </w:rPr>
        <w:t xml:space="preserve"> (oitocentos e vinte e quatro reais)</w:t>
      </w:r>
      <w:r w:rsidR="002961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281F" w:rsidRDefault="0097281F" w:rsidP="008F7DF6">
      <w:pPr>
        <w:pStyle w:val="Normal1"/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Por estarem justas e acordadas</w:t>
      </w:r>
      <w:r w:rsidR="008F30B3">
        <w:rPr>
          <w:rFonts w:ascii="Times New Roman" w:eastAsia="Times New Roman" w:hAnsi="Times New Roman" w:cs="Times New Roman"/>
          <w:sz w:val="24"/>
          <w:szCs w:val="24"/>
        </w:rPr>
        <w:t xml:space="preserve"> as partes</w:t>
      </w:r>
      <w:r>
        <w:rPr>
          <w:rFonts w:ascii="Times New Roman" w:eastAsia="Times New Roman" w:hAnsi="Times New Roman" w:cs="Times New Roman"/>
          <w:sz w:val="24"/>
          <w:szCs w:val="24"/>
        </w:rPr>
        <w:t>, o empréstimo foi</w:t>
      </w:r>
      <w:r w:rsidR="00EF5C54">
        <w:rPr>
          <w:rFonts w:ascii="Times New Roman" w:eastAsia="Times New Roman" w:hAnsi="Times New Roman" w:cs="Times New Roman"/>
          <w:sz w:val="24"/>
          <w:szCs w:val="24"/>
        </w:rPr>
        <w:t>, enfim,</w:t>
      </w:r>
      <w:r w:rsidR="00DA0F8C">
        <w:rPr>
          <w:rFonts w:ascii="Times New Roman" w:eastAsia="Times New Roman" w:hAnsi="Times New Roman" w:cs="Times New Roman"/>
          <w:sz w:val="24"/>
          <w:szCs w:val="24"/>
        </w:rPr>
        <w:t>celebrado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 valor creditado na conta de Ana.</w:t>
      </w:r>
    </w:p>
    <w:p w:rsidR="003D0321" w:rsidRDefault="003D0321" w:rsidP="003D0321">
      <w:pPr>
        <w:pStyle w:val="Ttulo2"/>
        <w:rPr>
          <w:rFonts w:eastAsia="Arial"/>
        </w:rPr>
      </w:pPr>
      <w:r>
        <w:rPr>
          <w:rFonts w:eastAsia="Arial"/>
        </w:rPr>
        <w:lastRenderedPageBreak/>
        <w:t>Situação</w:t>
      </w:r>
      <w:r w:rsidR="004B074E">
        <w:rPr>
          <w:rFonts w:eastAsia="Arial"/>
        </w:rPr>
        <w:t>-</w:t>
      </w:r>
      <w:r>
        <w:rPr>
          <w:rFonts w:eastAsia="Arial"/>
        </w:rPr>
        <w:t>problema</w:t>
      </w:r>
    </w:p>
    <w:p w:rsidR="008F7DF6" w:rsidRDefault="00035A20" w:rsidP="00035A20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Ocorre que, após a ativação do empréstimo, Ana recebeu extrato de operação de crédito onde havia a confirmação do empréstimo e 24 parcelas a vencer no montante de R$ 986,00</w:t>
      </w:r>
      <w:r w:rsidR="00355B37">
        <w:rPr>
          <w:rFonts w:ascii="Times New Roman" w:eastAsia="Times New Roman" w:hAnsi="Times New Roman" w:cs="Times New Roman"/>
          <w:sz w:val="24"/>
          <w:szCs w:val="24"/>
        </w:rPr>
        <w:t xml:space="preserve"> (novecentos e oitenta e seis reais)</w:t>
      </w:r>
      <w:r>
        <w:rPr>
          <w:rFonts w:ascii="Times New Roman" w:eastAsia="Times New Roman" w:hAnsi="Times New Roman" w:cs="Times New Roman"/>
          <w:sz w:val="24"/>
          <w:szCs w:val="24"/>
        </w:rPr>
        <w:t>, que totalizaria R$ 23.664,00</w:t>
      </w:r>
      <w:r w:rsidR="00355B37">
        <w:rPr>
          <w:rFonts w:ascii="Times New Roman" w:eastAsia="Times New Roman" w:hAnsi="Times New Roman" w:cs="Times New Roman"/>
          <w:sz w:val="24"/>
          <w:szCs w:val="24"/>
        </w:rPr>
        <w:t xml:space="preserve"> (vinte e três mil, seiscentos e sessenta e quatro reais)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A57B56">
        <w:rPr>
          <w:rFonts w:ascii="Times New Roman" w:eastAsia="Times New Roman" w:hAnsi="Times New Roman" w:cs="Times New Roman"/>
          <w:sz w:val="24"/>
          <w:szCs w:val="24"/>
        </w:rPr>
        <w:t xml:space="preserve"> valor muito acima do pactuado.</w:t>
      </w:r>
    </w:p>
    <w:p w:rsidR="00035A20" w:rsidRDefault="00035A20" w:rsidP="00035A20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Ao perceber o equívoco, Ana acionou a instituição financeira visando </w:t>
      </w:r>
      <w:r w:rsidR="008F7DF6">
        <w:rPr>
          <w:rFonts w:ascii="Times New Roman" w:eastAsia="Times New Roman" w:hAnsi="Times New Roman" w:cs="Times New Roman"/>
          <w:sz w:val="24"/>
          <w:szCs w:val="24"/>
        </w:rPr>
        <w:t>à retificação da cobrança</w:t>
      </w:r>
      <w:r>
        <w:rPr>
          <w:rFonts w:ascii="Times New Roman" w:eastAsia="Times New Roman" w:hAnsi="Times New Roman" w:cs="Times New Roman"/>
          <w:sz w:val="24"/>
          <w:szCs w:val="24"/>
        </w:rPr>
        <w:t>, ocasião em que esta informou que o valor cobrado estaria correto, não havendo possibilidade de alteração.</w:t>
      </w:r>
    </w:p>
    <w:p w:rsidR="00D95317" w:rsidRDefault="00D95317" w:rsidP="00035A20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Desesperada com a situação, Ana procurou </w:t>
      </w:r>
      <w:r w:rsidR="00391CB4">
        <w:rPr>
          <w:rFonts w:ascii="Times New Roman" w:eastAsia="Times New Roman" w:hAnsi="Times New Roman" w:cs="Times New Roman"/>
          <w:sz w:val="24"/>
          <w:szCs w:val="24"/>
        </w:rPr>
        <w:t>a ajuda de um grande amigo, que a aconselhou a ir à Defensoria Pública para tentar resolver a questão.</w:t>
      </w:r>
    </w:p>
    <w:p w:rsidR="008F03DF" w:rsidRDefault="004437C5" w:rsidP="00035A20">
      <w:pPr>
        <w:pStyle w:val="Normal1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deste </w:t>
      </w:r>
      <w:r w:rsidR="008F03DF">
        <w:rPr>
          <w:rFonts w:ascii="Times New Roman" w:eastAsia="Times New Roman" w:hAnsi="Times New Roman" w:cs="Times New Roman"/>
          <w:sz w:val="24"/>
          <w:szCs w:val="24"/>
        </w:rPr>
        <w:t xml:space="preserve">problema </w:t>
      </w:r>
      <w:r w:rsidR="00BC079E">
        <w:rPr>
          <w:rFonts w:ascii="Times New Roman" w:eastAsia="Times New Roman" w:hAnsi="Times New Roman" w:cs="Times New Roman"/>
          <w:sz w:val="24"/>
          <w:szCs w:val="24"/>
        </w:rPr>
        <w:t>no financiamento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os alunos devem, </w:t>
      </w:r>
      <w:r w:rsidR="008F03DF">
        <w:rPr>
          <w:rFonts w:ascii="Times New Roman" w:eastAsia="Times New Roman" w:hAnsi="Times New Roman" w:cs="Times New Roman"/>
          <w:sz w:val="24"/>
          <w:szCs w:val="24"/>
        </w:rPr>
        <w:t xml:space="preserve">na condição de Defensor Público,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propor as medidas </w:t>
      </w:r>
      <w:r w:rsidR="008F03DF">
        <w:rPr>
          <w:rFonts w:ascii="Times New Roman" w:eastAsia="Times New Roman" w:hAnsi="Times New Roman" w:cs="Times New Roman"/>
          <w:sz w:val="24"/>
          <w:szCs w:val="24"/>
        </w:rPr>
        <w:t>cabíveis judiciais.</w:t>
      </w:r>
    </w:p>
    <w:p w:rsidR="00DD4BF6" w:rsidRDefault="00DD4BF6" w:rsidP="003C1463">
      <w:pPr>
        <w:pStyle w:val="Ttulo1"/>
        <w:rPr>
          <w:rFonts w:eastAsia="Arial"/>
        </w:rPr>
      </w:pPr>
      <w:r>
        <w:rPr>
          <w:rFonts w:eastAsia="Arial"/>
        </w:rPr>
        <w:t>NOTAS DE ENSINO</w:t>
      </w:r>
    </w:p>
    <w:p w:rsidR="00312F8B" w:rsidRDefault="00312F8B" w:rsidP="00312F8B">
      <w:pPr>
        <w:rPr>
          <w:rFonts w:eastAsia="Arial"/>
        </w:rPr>
      </w:pPr>
      <w:r w:rsidRPr="00312F8B">
        <w:rPr>
          <w:rFonts w:eastAsia="Arial"/>
        </w:rPr>
        <w:t>As anotações nesta seção são exclusivamente para o propósito de aplicação do caso em sala de aula, sendo destinadas ao uso reservado do professor e seus monitores.</w:t>
      </w:r>
    </w:p>
    <w:p w:rsidR="00AB3FD1" w:rsidRDefault="008D1A79" w:rsidP="00934D34">
      <w:pPr>
        <w:rPr>
          <w:rFonts w:eastAsia="Arial"/>
        </w:rPr>
      </w:pPr>
      <w:r w:rsidRPr="008D1A79">
        <w:rPr>
          <w:rFonts w:eastAsia="Arial"/>
        </w:rPr>
        <w:t>Um caso para ensino é um relato de situações da vida organizacional, elaborado com propósitos educacionais bem definidos, com o intuito principal de aprimorar o conhecimento dos participantes, suas habilidades na aplicação desse conhecimento e os comportamentos essenciais para a r</w:t>
      </w:r>
      <w:r>
        <w:rPr>
          <w:rFonts w:eastAsia="Arial"/>
        </w:rPr>
        <w:t>esolução do problema em questão</w:t>
      </w:r>
      <w:r w:rsidR="00AB74A0">
        <w:rPr>
          <w:rFonts w:eastAsia="Arial"/>
        </w:rPr>
        <w:t>(ROESCH, 2004, p. 89)</w:t>
      </w:r>
      <w:r w:rsidR="0038789D">
        <w:rPr>
          <w:rFonts w:eastAsia="Arial"/>
        </w:rPr>
        <w:t>.</w:t>
      </w:r>
    </w:p>
    <w:p w:rsidR="005C7C0F" w:rsidRDefault="00CC2836" w:rsidP="003111D6">
      <w:pPr>
        <w:rPr>
          <w:rFonts w:eastAsia="Arial"/>
        </w:rPr>
      </w:pPr>
      <w:r w:rsidRPr="00CC2836">
        <w:rPr>
          <w:rFonts w:eastAsia="Arial"/>
        </w:rPr>
        <w:t>Em geral, os casos para ensino são elaborados com base em pesquisa empírica, embora alguns casos possam derivar princip</w:t>
      </w:r>
      <w:r>
        <w:rPr>
          <w:rFonts w:eastAsia="Arial"/>
        </w:rPr>
        <w:t xml:space="preserve">almente de materiais publicados </w:t>
      </w:r>
      <w:r w:rsidR="00A15576">
        <w:rPr>
          <w:rFonts w:eastAsia="Arial"/>
        </w:rPr>
        <w:t xml:space="preserve">(ROESCH, 2007, p. 218). </w:t>
      </w:r>
      <w:r w:rsidR="003111D6" w:rsidRPr="003111D6">
        <w:rPr>
          <w:rFonts w:eastAsia="Arial"/>
        </w:rPr>
        <w:t xml:space="preserve">De maneira mais abrangente, a elaboração de um caso se fundamenta em trabalho de campo, experiência de consultoria ou em dados </w:t>
      </w:r>
      <w:r w:rsidR="003111D6">
        <w:rPr>
          <w:rFonts w:eastAsia="Arial"/>
        </w:rPr>
        <w:t xml:space="preserve">documentais e/ou bibliográficos </w:t>
      </w:r>
      <w:r w:rsidR="00C92ADE">
        <w:rPr>
          <w:rFonts w:eastAsia="Arial"/>
        </w:rPr>
        <w:t>(A</w:t>
      </w:r>
      <w:r w:rsidR="00AC21F5">
        <w:rPr>
          <w:rFonts w:eastAsia="Arial"/>
        </w:rPr>
        <w:t>NPAD, 2011)</w:t>
      </w:r>
      <w:r w:rsidR="005C7C0F">
        <w:rPr>
          <w:rFonts w:eastAsia="Arial"/>
        </w:rPr>
        <w:t>.</w:t>
      </w:r>
    </w:p>
    <w:p w:rsidR="00A32F21" w:rsidRPr="00A32F21" w:rsidRDefault="00443931" w:rsidP="004F4361">
      <w:pPr>
        <w:rPr>
          <w:rFonts w:eastAsia="Arial"/>
        </w:rPr>
      </w:pPr>
      <w:r w:rsidRPr="00443931">
        <w:rPr>
          <w:rFonts w:eastAsia="Arial"/>
        </w:rPr>
        <w:t xml:space="preserve">No âmbito jurídico, a utilização desse método é creditada a Christopher Columbus Langdell, que o empregou em seu curso sobre contratos na </w:t>
      </w:r>
      <w:r w:rsidRPr="004F4361">
        <w:rPr>
          <w:rFonts w:eastAsia="Arial"/>
          <w:i/>
        </w:rPr>
        <w:t>Harvard Law School</w:t>
      </w:r>
      <w:r w:rsidRPr="00443931">
        <w:rPr>
          <w:rFonts w:eastAsia="Arial"/>
        </w:rPr>
        <w:t>. Esse método é considerado uma ferramenta didática que visa ensinar habilidades direcionadas para o desenvolvimento e a prática do raciocínio jurídico através d</w:t>
      </w:r>
      <w:r w:rsidR="004F4361">
        <w:rPr>
          <w:rFonts w:eastAsia="Arial"/>
        </w:rPr>
        <w:t xml:space="preserve">a análise de decisões judiciais </w:t>
      </w:r>
      <w:r w:rsidR="003B397B">
        <w:rPr>
          <w:rFonts w:eastAsia="Arial"/>
        </w:rPr>
        <w:t>(</w:t>
      </w:r>
      <w:r w:rsidR="003B397B">
        <w:t>RAMOS; SCHORSCHER</w:t>
      </w:r>
      <w:r w:rsidR="003B397B">
        <w:rPr>
          <w:rFonts w:eastAsia="Arial"/>
        </w:rPr>
        <w:t>, 2020, p. 73)</w:t>
      </w:r>
      <w:r w:rsidR="004F4361">
        <w:rPr>
          <w:rFonts w:eastAsia="Arial"/>
        </w:rPr>
        <w:t xml:space="preserve">. Contemporaneamente, o método do caso não </w:t>
      </w:r>
      <w:r w:rsidR="00B31C17">
        <w:rPr>
          <w:rFonts w:eastAsia="Arial"/>
        </w:rPr>
        <w:t>se limita apenas a comentários de julgados já realizados</w:t>
      </w:r>
      <w:r w:rsidR="005B4F90">
        <w:rPr>
          <w:rFonts w:eastAsia="Arial"/>
        </w:rPr>
        <w:t xml:space="preserve">, englobando a situação jurídica como um todo, </w:t>
      </w:r>
      <w:r w:rsidR="00D52666">
        <w:rPr>
          <w:rFonts w:eastAsia="Arial"/>
        </w:rPr>
        <w:t>com circunstâncias adicionais para envolver todo o problema jurídico</w:t>
      </w:r>
      <w:r w:rsidR="00072FAC">
        <w:rPr>
          <w:rFonts w:eastAsia="Arial"/>
        </w:rPr>
        <w:t xml:space="preserve">pelo qual </w:t>
      </w:r>
      <w:r w:rsidR="00ED733A">
        <w:rPr>
          <w:rFonts w:eastAsia="Arial"/>
        </w:rPr>
        <w:t>passa uma pessoa</w:t>
      </w:r>
      <w:r w:rsidR="00D52666">
        <w:rPr>
          <w:rFonts w:eastAsia="Arial"/>
        </w:rPr>
        <w:t xml:space="preserve">, não apenas o judicial, buscando ainda </w:t>
      </w:r>
      <w:r w:rsidR="005B4F90">
        <w:rPr>
          <w:rFonts w:eastAsia="Arial"/>
        </w:rPr>
        <w:t>soluções extrajudiciais.</w:t>
      </w:r>
    </w:p>
    <w:p w:rsidR="00521A96" w:rsidRDefault="00521A96" w:rsidP="0029755E">
      <w:pPr>
        <w:rPr>
          <w:rFonts w:eastAsia="Arial"/>
        </w:rPr>
      </w:pPr>
      <w:r>
        <w:rPr>
          <w:rFonts w:eastAsia="Arial"/>
        </w:rPr>
        <w:lastRenderedPageBreak/>
        <w:t>Como lembra Roesch (2004, p. 96), u</w:t>
      </w:r>
      <w:r w:rsidRPr="00521A96">
        <w:rPr>
          <w:rFonts w:eastAsia="Arial"/>
        </w:rPr>
        <w:t>ma das principais vantagens desse método é que ele coloca os alunos na posição do responsável por tomar a decisão para resolver o problema em questão.</w:t>
      </w:r>
    </w:p>
    <w:p w:rsidR="00FC0577" w:rsidRDefault="00786B0A" w:rsidP="00EE54FF">
      <w:pPr>
        <w:rPr>
          <w:rFonts w:eastAsia="Arial"/>
        </w:rPr>
      </w:pPr>
      <w:r w:rsidRPr="000273BB">
        <w:rPr>
          <w:rFonts w:eastAsia="Arial"/>
        </w:rPr>
        <w:t xml:space="preserve">Neste trabalho, o caso é inspirado em uma situação bastante comum: a alteração nos termos de um contrato após sua formalização, acarretando prejuízos significativos para a parte mais </w:t>
      </w:r>
      <w:r>
        <w:rPr>
          <w:rFonts w:eastAsia="Arial"/>
        </w:rPr>
        <w:t>vulnerável</w:t>
      </w:r>
      <w:r w:rsidR="00FC0577">
        <w:rPr>
          <w:rFonts w:eastAsia="Arial"/>
        </w:rPr>
        <w:t>.</w:t>
      </w:r>
    </w:p>
    <w:p w:rsidR="00F953BF" w:rsidRPr="00DD4BF6" w:rsidRDefault="00FC0577" w:rsidP="00F953BF">
      <w:pPr>
        <w:rPr>
          <w:rFonts w:eastAsia="Arial"/>
        </w:rPr>
      </w:pPr>
      <w:r w:rsidRPr="000273BB">
        <w:rPr>
          <w:rFonts w:eastAsia="Arial"/>
        </w:rPr>
        <w:t xml:space="preserve">O caso de ensino descreve a vulnerabilidade de uma pessoa que contraiu um empréstimo e procurou uma instituição financeira para regularizar as dívidas das mensalidades escolares de seus filhos. </w:t>
      </w:r>
      <w:r w:rsidR="00F953BF">
        <w:rPr>
          <w:rFonts w:eastAsia="Arial"/>
        </w:rPr>
        <w:t>Todavia, mesmo a</w:t>
      </w:r>
      <w:r w:rsidR="00F953BF" w:rsidRPr="000273BB">
        <w:rPr>
          <w:rFonts w:eastAsia="Arial"/>
        </w:rPr>
        <w:t>pós a formalização do acordo para pagamento em determinadas parcelas, ela percebeu posteriormente que as prestações seriam maiores do que as originalmente acordadas</w:t>
      </w:r>
      <w:r w:rsidR="00F953BF">
        <w:rPr>
          <w:rFonts w:eastAsia="Arial"/>
        </w:rPr>
        <w:t>.</w:t>
      </w:r>
    </w:p>
    <w:p w:rsidR="00CA6835" w:rsidRDefault="00CA6835" w:rsidP="003C1463">
      <w:pPr>
        <w:pStyle w:val="Ttulo2"/>
        <w:rPr>
          <w:rFonts w:eastAsia="Arial"/>
        </w:rPr>
      </w:pPr>
      <w:r>
        <w:rPr>
          <w:rFonts w:eastAsia="Arial"/>
        </w:rPr>
        <w:t>Objetivos Educaciona</w:t>
      </w:r>
      <w:r w:rsidR="005E4665">
        <w:rPr>
          <w:rFonts w:eastAsia="Arial"/>
        </w:rPr>
        <w:t>is</w:t>
      </w:r>
    </w:p>
    <w:p w:rsidR="001978C2" w:rsidRDefault="001978C2" w:rsidP="003C1463">
      <w:r w:rsidRPr="001978C2">
        <w:t xml:space="preserve">A perspectiva atual da educação vai além da simples transmissão de conhecimento (saber) e abrange a formação de habilidades (saber fazer) e o desenvolvimento de comportamentos (saber ser), </w:t>
      </w:r>
      <w:r w:rsidR="00682693">
        <w:t xml:space="preserve">como apontam Assmann e Sung (2000), </w:t>
      </w:r>
      <w:r w:rsidRPr="001978C2">
        <w:t>com o objetivo de capacitar os indivíduos para desempenhar funções predefinidas.</w:t>
      </w:r>
    </w:p>
    <w:p w:rsidR="005F6646" w:rsidRDefault="009C2AAB" w:rsidP="005F6646">
      <w:pPr>
        <w:rPr>
          <w:rFonts w:eastAsia="Arial"/>
        </w:rPr>
      </w:pPr>
      <w:r>
        <w:rPr>
          <w:rFonts w:eastAsia="Arial"/>
        </w:rPr>
        <w:t xml:space="preserve">O objetivo do presente caso de ensino é levar os discentes à reflexão dos aspectos sociais e jurídicos que permeiam o problema, especificamente acerca da análise dos institutos jurídicos que estão inseridos nesta situação, tais como </w:t>
      </w:r>
      <w:r w:rsidR="00391CB4">
        <w:rPr>
          <w:rFonts w:eastAsia="Arial"/>
        </w:rPr>
        <w:t xml:space="preserve">fases de formação dos contratos, da </w:t>
      </w:r>
      <w:r w:rsidR="00715829">
        <w:rPr>
          <w:rFonts w:eastAsia="Arial"/>
        </w:rPr>
        <w:t xml:space="preserve">cláusula de </w:t>
      </w:r>
      <w:r w:rsidR="00391CB4" w:rsidRPr="00D95317">
        <w:rPr>
          <w:rFonts w:eastAsia="Arial"/>
          <w:i/>
        </w:rPr>
        <w:t>exceptio non adimpleti contractus</w:t>
      </w:r>
      <w:r w:rsidR="00391CB4" w:rsidRPr="00D95317">
        <w:rPr>
          <w:rFonts w:eastAsia="Arial"/>
        </w:rPr>
        <w:t xml:space="preserve">, </w:t>
      </w:r>
      <w:r w:rsidR="00391CB4">
        <w:rPr>
          <w:rFonts w:eastAsia="Arial"/>
        </w:rPr>
        <w:t>d</w:t>
      </w:r>
      <w:r w:rsidR="00715829">
        <w:rPr>
          <w:rFonts w:eastAsia="Arial"/>
        </w:rPr>
        <w:t>os princípios d</w:t>
      </w:r>
      <w:r w:rsidR="00391CB4">
        <w:rPr>
          <w:rFonts w:eastAsia="Arial"/>
        </w:rPr>
        <w:t xml:space="preserve">a </w:t>
      </w:r>
      <w:r w:rsidR="00391CB4" w:rsidRPr="00D95317">
        <w:rPr>
          <w:rFonts w:eastAsia="Arial"/>
        </w:rPr>
        <w:t>boa-fé objetiva e da função social do contrato</w:t>
      </w:r>
      <w:r w:rsidR="00391CB4">
        <w:rPr>
          <w:rFonts w:eastAsia="Arial"/>
        </w:rPr>
        <w:t>.</w:t>
      </w:r>
    </w:p>
    <w:p w:rsidR="009C2AAB" w:rsidRDefault="005F6646" w:rsidP="005F6646">
      <w:pPr>
        <w:rPr>
          <w:rFonts w:eastAsia="Arial"/>
        </w:rPr>
      </w:pPr>
      <w:r>
        <w:rPr>
          <w:rFonts w:eastAsia="Arial"/>
        </w:rPr>
        <w:t xml:space="preserve">Almeja-se que os discentes </w:t>
      </w:r>
      <w:r w:rsidR="00391CB4">
        <w:rPr>
          <w:rFonts w:eastAsia="Arial"/>
        </w:rPr>
        <w:t xml:space="preserve">entendam os tópicos relacionados à matéria e que </w:t>
      </w:r>
      <w:r w:rsidR="005A0BB1">
        <w:rPr>
          <w:rFonts w:eastAsia="Arial"/>
        </w:rPr>
        <w:t xml:space="preserve">pensem em uma </w:t>
      </w:r>
      <w:r w:rsidR="00DF242F">
        <w:rPr>
          <w:rFonts w:eastAsia="Arial"/>
        </w:rPr>
        <w:t>possível solução para a demanda, com a aplicação prática de importantes institutos jurídicos atinentes ao Direito Civil, sobretudo no que tange aos contratos.</w:t>
      </w:r>
    </w:p>
    <w:p w:rsidR="004025B3" w:rsidRPr="001D736D" w:rsidRDefault="004025B3" w:rsidP="005F6646">
      <w:pPr>
        <w:rPr>
          <w:rFonts w:eastAsia="Arial"/>
        </w:rPr>
      </w:pPr>
      <w:r>
        <w:rPr>
          <w:rFonts w:eastAsia="Arial"/>
        </w:rPr>
        <w:t>Pretende-se que os alunos apreendam a utilizar o método indutivo no direito, “pelo qual os princípios gerais são derivados a partir da análise dos casos particulares (casuísmo jurisprudencial)”, criando, assim, um pensamento crítico e analítico</w:t>
      </w:r>
      <w:r w:rsidR="00D264E6">
        <w:rPr>
          <w:rFonts w:eastAsia="Arial"/>
        </w:rPr>
        <w:t xml:space="preserve"> (FERNANDES, 2018, p. 176).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Disciplinas e possibilidades de apli</w:t>
      </w:r>
      <w:r w:rsidR="005E4665">
        <w:rPr>
          <w:rFonts w:eastAsia="Arial"/>
        </w:rPr>
        <w:t>cação do caso</w:t>
      </w:r>
    </w:p>
    <w:p w:rsidR="003F24E8" w:rsidRDefault="00FC4D9D" w:rsidP="003C1463">
      <w:r>
        <w:t xml:space="preserve">O presente caso de ensino foi </w:t>
      </w:r>
      <w:r w:rsidR="003F24E8">
        <w:t>pensado</w:t>
      </w:r>
      <w:r>
        <w:t xml:space="preserve"> para aplicação nas disciplinas de Direito Civil, </w:t>
      </w:r>
      <w:r w:rsidR="003F24E8">
        <w:t xml:space="preserve">prioritariamente </w:t>
      </w:r>
      <w:r w:rsidR="00915891">
        <w:t>na cadeira de</w:t>
      </w:r>
      <w:r>
        <w:t xml:space="preserve"> Contratos</w:t>
      </w:r>
      <w:r w:rsidR="00026591">
        <w:t xml:space="preserve"> (Direito Civil III, Direito Civil IV)</w:t>
      </w:r>
      <w:r w:rsidR="005045C1">
        <w:t xml:space="preserve">, </w:t>
      </w:r>
      <w:r w:rsidR="003F24E8">
        <w:t xml:space="preserve">em que são </w:t>
      </w:r>
      <w:r w:rsidR="003F24E8">
        <w:lastRenderedPageBreak/>
        <w:t>abordadas as fases de formação de um contrat</w:t>
      </w:r>
      <w:r w:rsidR="005B5C78">
        <w:t>o, tanto o contrato entre pessoas presentes, quanto contrato entre pessoas ausentes, incluindo nesta última situação as contratações por telefone ou mesmo por internet.</w:t>
      </w:r>
    </w:p>
    <w:p w:rsidR="00082807" w:rsidRDefault="00082807" w:rsidP="003C1463">
      <w:r>
        <w:t>O caso também pode ser implementado na disciplina de Direito Civil II (obrigações), após a última unidade consistente nos inadimplementos das obrigações.</w:t>
      </w:r>
    </w:p>
    <w:p w:rsidR="00FC4D9D" w:rsidRDefault="0086114D" w:rsidP="003C1463">
      <w:r>
        <w:t xml:space="preserve">A disciplina de </w:t>
      </w:r>
      <w:r w:rsidR="005045C1">
        <w:t>Responsabili</w:t>
      </w:r>
      <w:r>
        <w:t xml:space="preserve">dade Civil (Direito Civil VIII) também é propícia para </w:t>
      </w:r>
      <w:r w:rsidR="00241D76">
        <w:t xml:space="preserve">receber aplicação do </w:t>
      </w:r>
      <w:r>
        <w:t xml:space="preserve">presente caso para ensino, visto que </w:t>
      </w:r>
      <w:r w:rsidR="001252C6">
        <w:t>essa cadeira envolve aspectos de responsabilidade civil</w:t>
      </w:r>
      <w:r w:rsidR="0075530B">
        <w:t xml:space="preserve"> em vários segmentos, como contratos eletrônicos.</w:t>
      </w:r>
    </w:p>
    <w:p w:rsidR="00EA3129" w:rsidRPr="003C1463" w:rsidRDefault="00BC0F39" w:rsidP="003C1463">
      <w:r>
        <w:t>Também pode ser utilizado o caso de ensino nas disciplinas de prática jurídica, que env</w:t>
      </w:r>
      <w:r w:rsidR="00411E27">
        <w:t>olvam aspectos do direito civil, como são as disciplinas de Análise de Casos Concretos I (DPR3217) e Análise de Casos Concretos II (DPR3307).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Aspecto</w:t>
      </w:r>
      <w:r w:rsidR="005E4665">
        <w:rPr>
          <w:rFonts w:eastAsia="Arial"/>
        </w:rPr>
        <w:t>s pedagógicos para a aplicação</w:t>
      </w:r>
    </w:p>
    <w:p w:rsidR="00223BAB" w:rsidRDefault="00BC7473" w:rsidP="00223BAB">
      <w:r>
        <w:t xml:space="preserve">O desenvolvimento em sala demanda uma </w:t>
      </w:r>
      <w:r w:rsidR="00223BAB">
        <w:t xml:space="preserve">hora e </w:t>
      </w:r>
      <w:r w:rsidR="006B166D">
        <w:t>quarenta</w:t>
      </w:r>
      <w:r w:rsidR="00223BAB">
        <w:t xml:space="preserve"> minutos, que corresponde a duas aulas.</w:t>
      </w:r>
    </w:p>
    <w:p w:rsidR="00DF242F" w:rsidRDefault="00CA7ED2" w:rsidP="00EA3129">
      <w:r>
        <w:t>Para solução do caso, p</w:t>
      </w:r>
      <w:r w:rsidR="00EA3129">
        <w:t xml:space="preserve">ode-se dividir a turma em grupos.Cada grupo deve responder </w:t>
      </w:r>
      <w:r w:rsidR="005A0BB1">
        <w:t>a questão a ele atribuída</w:t>
      </w:r>
      <w:r w:rsidR="00EA3129">
        <w:t>.</w:t>
      </w:r>
      <w:r w:rsidR="00DF242F">
        <w:t xml:space="preserve">Além disso, cada grupo pode funcionar como revisor da resposta de um outro grupo, tecendo comentários acerca da resolução </w:t>
      </w:r>
      <w:r w:rsidR="00FC3144">
        <w:t>dada, assim como proceder às devidas complementações.</w:t>
      </w:r>
    </w:p>
    <w:p w:rsidR="00FC3144" w:rsidRDefault="00FC3144" w:rsidP="00EA3129">
      <w:r>
        <w:t xml:space="preserve">Demais disso, pode ser realizada a simulação da contratação do empréstimo. Nesse caso, são necessários dois grupos de alunos, um para fazer o papel de Ana e outro para fazer o papel da </w:t>
      </w:r>
      <w:r>
        <w:rPr>
          <w:rFonts w:eastAsia="Times New Roman" w:cs="Times New Roman"/>
          <w:szCs w:val="24"/>
        </w:rPr>
        <w:t xml:space="preserve">instituição DC Financeira S/A. </w:t>
      </w:r>
      <w:r>
        <w:t>Neste particular, é relevante apresentar algumas orientações para cada um desses dois papéis.</w:t>
      </w:r>
    </w:p>
    <w:p w:rsidR="00AA6796" w:rsidRDefault="00D10548" w:rsidP="00EA3129">
      <w:r w:rsidRPr="004417EC">
        <w:rPr>
          <w:i/>
        </w:rPr>
        <w:t>Orientação para o grupo 1 (</w:t>
      </w:r>
      <w:r w:rsidR="0094588C" w:rsidRPr="004417EC">
        <w:rPr>
          <w:i/>
        </w:rPr>
        <w:t>Ana/</w:t>
      </w:r>
      <w:r w:rsidRPr="004417EC">
        <w:rPr>
          <w:i/>
        </w:rPr>
        <w:t>mutuári</w:t>
      </w:r>
      <w:r w:rsidR="0094588C" w:rsidRPr="004417EC">
        <w:rPr>
          <w:i/>
        </w:rPr>
        <w:t>a</w:t>
      </w:r>
      <w:r w:rsidRPr="004417EC">
        <w:rPr>
          <w:i/>
        </w:rPr>
        <w:t xml:space="preserve">): </w:t>
      </w:r>
      <w:r>
        <w:t xml:space="preserve">O tutor deverá orientar o grupo a manter uma atitude de dúvida quanto à proposta da </w:t>
      </w:r>
      <w:r w:rsidR="00225C97">
        <w:t xml:space="preserve">instituição financeira, </w:t>
      </w:r>
      <w:r>
        <w:t xml:space="preserve">buscando obter uma informação de certeza </w:t>
      </w:r>
      <w:r w:rsidR="00225C97">
        <w:t>sobre os valores das prestações mensais, os juros cobrados e todos os encargos envolvidos</w:t>
      </w:r>
      <w:r>
        <w:t xml:space="preserve">. </w:t>
      </w:r>
      <w:r w:rsidR="008E68D3">
        <w:t>O grupo deve evitar concordar expressamente com a proposta do financiamento, dizendo sempre que está bom, mas precisa pensar, que isso resolveria o seu problema, mas não sabe direito se os valores estão corret</w:t>
      </w:r>
      <w:r w:rsidR="00933137">
        <w:t>os.</w:t>
      </w:r>
      <w:r w:rsidR="00516005">
        <w:t xml:space="preserve"> Mencionar que não está ouvindo bem a ligação.</w:t>
      </w:r>
    </w:p>
    <w:p w:rsidR="00295B51" w:rsidRDefault="001E0088" w:rsidP="001E0088">
      <w:r w:rsidRPr="004B06A5">
        <w:rPr>
          <w:i/>
        </w:rPr>
        <w:t xml:space="preserve">Orientação para o grupo </w:t>
      </w:r>
      <w:r w:rsidR="00B36521" w:rsidRPr="004B06A5">
        <w:rPr>
          <w:i/>
        </w:rPr>
        <w:t>2</w:t>
      </w:r>
      <w:r w:rsidRPr="004B06A5">
        <w:rPr>
          <w:i/>
        </w:rPr>
        <w:t xml:space="preserve"> (</w:t>
      </w:r>
      <w:r w:rsidR="000079F0" w:rsidRPr="004B06A5">
        <w:rPr>
          <w:i/>
        </w:rPr>
        <w:t>instituição financeira</w:t>
      </w:r>
      <w:r w:rsidRPr="004B06A5">
        <w:rPr>
          <w:i/>
        </w:rPr>
        <w:t xml:space="preserve">): </w:t>
      </w:r>
      <w:r>
        <w:t xml:space="preserve">O tutor deverá orientar o grupo a </w:t>
      </w:r>
      <w:r w:rsidR="00295B51">
        <w:t xml:space="preserve">agir com falta de clareza quanto aos termos do financiamento, minimizar as dúvidas da </w:t>
      </w:r>
      <w:r w:rsidR="00295B51">
        <w:lastRenderedPageBreak/>
        <w:t xml:space="preserve">contratante. O grupo deve buscar obter o consentimento de maneira expressa, e, caso não obtenha, deve buscar esta concordância de outro modo, fazendo perguntas indiretas. </w:t>
      </w:r>
    </w:p>
    <w:p w:rsidR="004F4A23" w:rsidRDefault="004F4A23" w:rsidP="00EA3129">
      <w:r>
        <w:t xml:space="preserve">Dando continuidade à atividade, após Ana se surpreender com a mudança nos valores das prestações do empréstimo, </w:t>
      </w:r>
      <w:r w:rsidR="000D449D">
        <w:t>o</w:t>
      </w:r>
      <w:r>
        <w:t xml:space="preserve"> grupo </w:t>
      </w:r>
      <w:r w:rsidR="000D449D">
        <w:t xml:space="preserve">3 </w:t>
      </w:r>
      <w:r>
        <w:t>passa a fazer o papel da Defensoria Pública, que vai orientar Ana sobre a possibilidade de ajuizamento de uma ação judicial em face da financeira.</w:t>
      </w:r>
      <w:r w:rsidR="00623548">
        <w:t xml:space="preserve"> O grupo 4 será o escritório de advocacia da instituição financeira, e preparará a defesa.</w:t>
      </w:r>
    </w:p>
    <w:p w:rsidR="00FC3144" w:rsidRDefault="004F4A23" w:rsidP="00EA3129">
      <w:r>
        <w:t xml:space="preserve">Após as devidas orientações, ogrupo </w:t>
      </w:r>
      <w:r w:rsidR="001C6DEA">
        <w:t xml:space="preserve">4 </w:t>
      </w:r>
      <w:r>
        <w:t>fica responsável pelo papel do juiz, o qual será responsável pelo julgamento da lide ajuizada por Ana, por intermédio da Defensoria Pública, em desfavor da DC Financeira.</w:t>
      </w:r>
    </w:p>
    <w:p w:rsidR="006E2491" w:rsidRDefault="006E2491" w:rsidP="00325243">
      <w:r>
        <w:t>Pode-se dividir a aplicação do caso em algumas fases:</w:t>
      </w:r>
    </w:p>
    <w:p w:rsidR="006E2491" w:rsidRDefault="006E2491" w:rsidP="006E2491">
      <w:pPr>
        <w:pStyle w:val="PargrafodaLista"/>
        <w:numPr>
          <w:ilvl w:val="0"/>
          <w:numId w:val="6"/>
        </w:numPr>
      </w:pPr>
      <w:r>
        <w:t xml:space="preserve">Fase 1: Explicações iniciais a todos na </w:t>
      </w:r>
      <w:r w:rsidR="004D2B66">
        <w:t>sala (10</w:t>
      </w:r>
      <w:r>
        <w:t xml:space="preserve"> min). </w:t>
      </w:r>
      <w:r w:rsidR="00896885">
        <w:t>C</w:t>
      </w:r>
      <w:r>
        <w:t xml:space="preserve">ontratação de </w:t>
      </w:r>
      <w:r w:rsidR="00FC3144">
        <w:t>empréstimo mediante ligação telefônica</w:t>
      </w:r>
      <w:r>
        <w:t>.</w:t>
      </w:r>
      <w:r w:rsidR="00896885">
        <w:t xml:space="preserve"> Apresenta-se o relato inicial do caso.</w:t>
      </w:r>
    </w:p>
    <w:p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 xml:space="preserve">Fase </w:t>
      </w:r>
      <w:r w:rsidRPr="00896885">
        <w:t>2: Orientação dos grupos (10 min). Os tutores orientam, separadamente, fora da s</w:t>
      </w:r>
      <w:r w:rsidR="004D2B66">
        <w:t>ala, cada grupo G1 e G2</w:t>
      </w:r>
      <w:r w:rsidRPr="00896885">
        <w:t>. Os demais grupos ficam na sala.</w:t>
      </w:r>
    </w:p>
    <w:p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>Fase 3</w:t>
      </w:r>
      <w:r w:rsidRPr="00896885">
        <w:t xml:space="preserve">: Simulação da contratação </w:t>
      </w:r>
      <w:r w:rsidR="00FC3144">
        <w:t>do empréstimo</w:t>
      </w:r>
      <w:r w:rsidRPr="00896885">
        <w:t>. Negoci</w:t>
      </w:r>
      <w:r w:rsidR="00A94B7F">
        <w:t>ação entre os grupos G1 e G2 (10</w:t>
      </w:r>
      <w:r w:rsidRPr="00896885">
        <w:t xml:space="preserve"> min).</w:t>
      </w:r>
    </w:p>
    <w:p w:rsidR="00896885" w:rsidRDefault="00896885" w:rsidP="00896885">
      <w:pPr>
        <w:pStyle w:val="PargrafodaLista"/>
        <w:numPr>
          <w:ilvl w:val="0"/>
          <w:numId w:val="6"/>
        </w:numPr>
      </w:pPr>
      <w:r>
        <w:t>Fase 4</w:t>
      </w:r>
      <w:r w:rsidRPr="00896885">
        <w:t xml:space="preserve">: </w:t>
      </w:r>
      <w:r>
        <w:t xml:space="preserve">Apresenta-se a situação-problema. </w:t>
      </w:r>
      <w:r w:rsidRPr="00896885">
        <w:t>(</w:t>
      </w:r>
      <w:r w:rsidR="00956483">
        <w:t>5</w:t>
      </w:r>
      <w:r w:rsidRPr="00896885">
        <w:t xml:space="preserve"> min).</w:t>
      </w:r>
    </w:p>
    <w:p w:rsidR="004F4A23" w:rsidRDefault="004F4A23" w:rsidP="00896885">
      <w:pPr>
        <w:pStyle w:val="PargrafodaLista"/>
        <w:numPr>
          <w:ilvl w:val="0"/>
          <w:numId w:val="6"/>
        </w:numPr>
      </w:pPr>
      <w:r>
        <w:t>Fase 5: Simulação da orientação pela Defensoria Pública, na qual participam os grupos G1 e G3 (</w:t>
      </w:r>
      <w:r w:rsidR="00A94B7F">
        <w:t>1</w:t>
      </w:r>
      <w:r w:rsidR="00956483">
        <w:t>5</w:t>
      </w:r>
      <w:r w:rsidR="00A94B7F">
        <w:t xml:space="preserve"> min</w:t>
      </w:r>
      <w:r>
        <w:t>).</w:t>
      </w:r>
    </w:p>
    <w:p w:rsidR="004F4A23" w:rsidRPr="00896885" w:rsidRDefault="004F4A23" w:rsidP="00896885">
      <w:pPr>
        <w:pStyle w:val="PargrafodaLista"/>
        <w:numPr>
          <w:ilvl w:val="0"/>
          <w:numId w:val="6"/>
        </w:numPr>
      </w:pPr>
      <w:r>
        <w:t xml:space="preserve">Fase 6: Simulação do julgamento, com a participação dos grupos </w:t>
      </w:r>
      <w:r w:rsidR="00A94B7F">
        <w:t>G1, G2, G3</w:t>
      </w:r>
      <w:r w:rsidR="00E86614">
        <w:t xml:space="preserve">, </w:t>
      </w:r>
      <w:r w:rsidR="00A94B7F">
        <w:t xml:space="preserve"> G4 </w:t>
      </w:r>
      <w:r w:rsidR="00E86614">
        <w:t xml:space="preserve">e G5 </w:t>
      </w:r>
      <w:r w:rsidR="00A94B7F">
        <w:t>(20min</w:t>
      </w:r>
      <w:r>
        <w:t>).</w:t>
      </w:r>
    </w:p>
    <w:p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 xml:space="preserve">Fase </w:t>
      </w:r>
      <w:r w:rsidRPr="00896885">
        <w:t>5: Debate (</w:t>
      </w:r>
      <w:r w:rsidR="004F4A23">
        <w:t>30</w:t>
      </w:r>
      <w:r w:rsidRPr="00896885">
        <w:t xml:space="preserve"> min), sendo discussão interna nos grupos (</w:t>
      </w:r>
      <w:r w:rsidR="004F4A23">
        <w:t>10</w:t>
      </w:r>
      <w:r w:rsidRPr="00896885">
        <w:t xml:space="preserve"> minutos) e depois respostas às questões </w:t>
      </w:r>
      <w:r w:rsidR="00A94B7F">
        <w:t>e debate com todos (20 minutos), com a participação de todos os grupos.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Alte</w:t>
      </w:r>
      <w:r w:rsidR="005E4665">
        <w:rPr>
          <w:rFonts w:eastAsia="Arial"/>
        </w:rPr>
        <w:t>rnativas de solução para o caso</w:t>
      </w:r>
    </w:p>
    <w:p w:rsidR="003C1463" w:rsidRDefault="00EC3B48" w:rsidP="003C1463">
      <w:r>
        <w:t>Não há uma resposta única para o presente caso. Tudo dependerá de como será enquadrada cada um dos negócios jurídicos envolvidos.</w:t>
      </w:r>
      <w:r w:rsidR="00120D2D">
        <w:t xml:space="preserve"> C</w:t>
      </w:r>
      <w:r w:rsidR="005A79E4">
        <w:t xml:space="preserve">omo o caso de ensino pode ser complementado pelo que ocorreu durante a simulação, há uma grande </w:t>
      </w:r>
      <w:r w:rsidR="00BE3252">
        <w:t>margem para os discentes avaliarem e considerarem outras circunstâncias para a solução do problema.</w:t>
      </w:r>
    </w:p>
    <w:p w:rsidR="00D47C98" w:rsidRDefault="00217C5D" w:rsidP="00B21FFB">
      <w:r>
        <w:t xml:space="preserve">Em uma análise estrita do caso, sem outras considerações fáticas, pode-se esperar que </w:t>
      </w:r>
      <w:r w:rsidR="00D47C98">
        <w:t xml:space="preserve">seja feita a correta </w:t>
      </w:r>
      <w:r w:rsidR="00D47C98">
        <w:rPr>
          <w:rFonts w:eastAsia="Times New Roman" w:cs="Times New Roman"/>
          <w:szCs w:val="24"/>
        </w:rPr>
        <w:t xml:space="preserve">a constatação da validade da contratação de empréstimo via contato </w:t>
      </w:r>
      <w:r w:rsidR="00D47C98">
        <w:rPr>
          <w:rFonts w:eastAsia="Times New Roman" w:cs="Times New Roman"/>
          <w:szCs w:val="24"/>
        </w:rPr>
        <w:lastRenderedPageBreak/>
        <w:t>telefônico</w:t>
      </w:r>
      <w:r w:rsidR="00280E0F">
        <w:rPr>
          <w:rFonts w:eastAsia="Times New Roman" w:cs="Times New Roman"/>
          <w:szCs w:val="24"/>
        </w:rPr>
        <w:t xml:space="preserve"> e em que fase da formação do contrato é feita a vinculação do </w:t>
      </w:r>
      <w:r w:rsidR="00280E0F" w:rsidRPr="00280E0F">
        <w:t>proponen</w:t>
      </w:r>
      <w:r w:rsidR="00B21FFB">
        <w:t xml:space="preserve">te aos termos por ele ofertados, aplicação ao caso dos princípios contratuais, </w:t>
      </w:r>
      <w:r w:rsidR="006A1DDD">
        <w:t xml:space="preserve">a possibilidade de revisão contratual e </w:t>
      </w:r>
      <w:r w:rsidR="003C1BC2">
        <w:t xml:space="preserve">da </w:t>
      </w:r>
      <w:bookmarkStart w:id="0" w:name="_GoBack"/>
      <w:bookmarkEnd w:id="0"/>
      <w:r w:rsidR="00B21FFB">
        <w:t xml:space="preserve">cláusula </w:t>
      </w:r>
      <w:r w:rsidR="00B21FFB" w:rsidRPr="00D47C98">
        <w:rPr>
          <w:rFonts w:eastAsia="Times New Roman" w:cs="Times New Roman"/>
          <w:i/>
          <w:szCs w:val="24"/>
        </w:rPr>
        <w:t>exceptio non adimpleti contractus</w:t>
      </w:r>
      <w:r w:rsidR="00B85324">
        <w:rPr>
          <w:rFonts w:eastAsia="Times New Roman" w:cs="Times New Roman"/>
          <w:szCs w:val="24"/>
        </w:rPr>
        <w:t>.</w:t>
      </w:r>
    </w:p>
    <w:p w:rsidR="00CA6835" w:rsidRDefault="00F638F5" w:rsidP="003C1463">
      <w:pPr>
        <w:pStyle w:val="Ttulo2"/>
        <w:rPr>
          <w:rFonts w:eastAsia="Arial"/>
        </w:rPr>
      </w:pPr>
      <w:r>
        <w:rPr>
          <w:rFonts w:eastAsia="Arial"/>
        </w:rPr>
        <w:t>Discussão do caso</w:t>
      </w:r>
    </w:p>
    <w:p w:rsidR="00142D04" w:rsidRDefault="00F638F5" w:rsidP="003C1463">
      <w:r>
        <w:t xml:space="preserve">Verifica-se que </w:t>
      </w:r>
      <w:r w:rsidRPr="00F638F5">
        <w:t xml:space="preserve">a formação dos contratos possui quatro fases, as quais podem </w:t>
      </w:r>
      <w:r w:rsidR="00B90C1B">
        <w:t xml:space="preserve">não </w:t>
      </w:r>
      <w:r w:rsidRPr="00F638F5">
        <w:t xml:space="preserve">estar </w:t>
      </w:r>
      <w:r w:rsidR="00B90C1B">
        <w:t>tão visíveis</w:t>
      </w:r>
      <w:r w:rsidRPr="00F638F5">
        <w:t xml:space="preserve"> em uma contratação. São elas a fase de negociação (tratativas ou puntuação), de proposta (policitação ou oblação), aceitação e conclusão (formação do consentimento). </w:t>
      </w:r>
    </w:p>
    <w:p w:rsidR="00F638F5" w:rsidRDefault="00F638F5" w:rsidP="003C1463">
      <w:r w:rsidRPr="00F638F5">
        <w:t>Somente na segunda fase, correspondente à proposta, em que há uma oferta formalizada, há vinculação do proponente aos termos por ele ofertados</w:t>
      </w:r>
      <w:r>
        <w:t xml:space="preserve">, à luz do preconizado pelo art. 427, do Código Civil, </w:t>
      </w:r>
      <w:r w:rsidRPr="00F638F5">
        <w:rPr>
          <w:i/>
        </w:rPr>
        <w:t>in verbis</w:t>
      </w:r>
      <w:r>
        <w:t xml:space="preserve">: </w:t>
      </w:r>
      <w:r w:rsidR="00937938">
        <w:t>“</w:t>
      </w:r>
      <w:r w:rsidRPr="00F638F5">
        <w:t>A proposta de contrato obriga o proponente, se o contrário não resultar dos termos dela, da natureza do negócio, ou das circunstâncias do caso</w:t>
      </w:r>
      <w:r w:rsidR="00937938">
        <w:t>”</w:t>
      </w:r>
      <w:r w:rsidRPr="00F638F5">
        <w:t>.</w:t>
      </w:r>
    </w:p>
    <w:p w:rsidR="00F638F5" w:rsidRDefault="00F638F5" w:rsidP="00F638F5">
      <w:pPr>
        <w:pStyle w:val="Normal1"/>
        <w:spacing w:line="360" w:lineRule="auto"/>
        <w:ind w:firstLine="708"/>
        <w:jc w:val="both"/>
        <w:rPr>
          <w:rFonts w:ascii="Times New Roman" w:eastAsiaTheme="minorEastAsia" w:hAnsi="Times New Roman" w:cstheme="minorBidi"/>
          <w:sz w:val="24"/>
        </w:rPr>
      </w:pPr>
      <w:r w:rsidRPr="00F638F5">
        <w:rPr>
          <w:rFonts w:ascii="Times New Roman" w:eastAsiaTheme="minorEastAsia" w:hAnsi="Times New Roman" w:cstheme="minorBidi"/>
          <w:sz w:val="24"/>
        </w:rPr>
        <w:t>Com efeito, no caso em análise, apesar d</w:t>
      </w:r>
      <w:r w:rsidR="00A71A13">
        <w:rPr>
          <w:rFonts w:ascii="Times New Roman" w:eastAsiaTheme="minorEastAsia" w:hAnsi="Times New Roman" w:cstheme="minorBidi"/>
          <w:sz w:val="24"/>
        </w:rPr>
        <w:t xml:space="preserve">e </w:t>
      </w:r>
      <w:r>
        <w:rPr>
          <w:rFonts w:ascii="Times New Roman" w:eastAsiaTheme="minorEastAsia" w:hAnsi="Times New Roman" w:cstheme="minorBidi"/>
          <w:sz w:val="24"/>
        </w:rPr>
        <w:t>o</w:t>
      </w:r>
      <w:r w:rsidRPr="00F638F5">
        <w:rPr>
          <w:rFonts w:ascii="Times New Roman" w:eastAsiaTheme="minorEastAsia" w:hAnsi="Times New Roman" w:cstheme="minorBidi"/>
          <w:sz w:val="24"/>
        </w:rPr>
        <w:t xml:space="preserve"> contato entre os contratantes ter ocorrido via ligação, </w:t>
      </w:r>
      <w:r w:rsidR="00845204">
        <w:rPr>
          <w:rFonts w:ascii="Times New Roman" w:eastAsiaTheme="minorEastAsia" w:hAnsi="Times New Roman" w:cstheme="minorBidi"/>
          <w:sz w:val="24"/>
        </w:rPr>
        <w:t>pode-se sustentar q</w:t>
      </w:r>
      <w:r>
        <w:rPr>
          <w:rFonts w:ascii="Times New Roman" w:eastAsiaTheme="minorEastAsia" w:hAnsi="Times New Roman" w:cstheme="minorBidi"/>
          <w:sz w:val="24"/>
        </w:rPr>
        <w:t>ue esse</w:t>
      </w:r>
      <w:r w:rsidRPr="00F638F5">
        <w:rPr>
          <w:rFonts w:ascii="Times New Roman" w:eastAsiaTheme="minorEastAsia" w:hAnsi="Times New Roman" w:cstheme="minorBidi"/>
          <w:sz w:val="24"/>
        </w:rPr>
        <w:t xml:space="preserve"> é perfeitamente válido, sendo conhecido como contrato </w:t>
      </w:r>
      <w:r w:rsidRPr="00F638F5">
        <w:rPr>
          <w:rFonts w:ascii="Times New Roman" w:eastAsiaTheme="minorEastAsia" w:hAnsi="Times New Roman" w:cstheme="minorBidi"/>
          <w:i/>
          <w:sz w:val="24"/>
        </w:rPr>
        <w:t>inter praesentes</w:t>
      </w:r>
      <w:r w:rsidRPr="00F638F5">
        <w:rPr>
          <w:rFonts w:ascii="Times New Roman" w:eastAsiaTheme="minorEastAsia" w:hAnsi="Times New Roman" w:cstheme="minorBidi"/>
          <w:sz w:val="24"/>
        </w:rPr>
        <w:t>,</w:t>
      </w:r>
      <w:r>
        <w:rPr>
          <w:rFonts w:ascii="Times New Roman" w:eastAsiaTheme="minorEastAsia" w:hAnsi="Times New Roman" w:cstheme="minorBidi"/>
          <w:sz w:val="24"/>
        </w:rPr>
        <w:t>o qual</w:t>
      </w:r>
      <w:r w:rsidRPr="00F638F5">
        <w:rPr>
          <w:rFonts w:ascii="Times New Roman" w:eastAsiaTheme="minorEastAsia" w:hAnsi="Times New Roman" w:cstheme="minorBidi"/>
          <w:sz w:val="24"/>
        </w:rPr>
        <w:t xml:space="preserve"> se caracteriza pelo fato de que, embora as partes não estejam fisicamente presentes, há uma facilidade de comunicação entre elas, sendo possível que a aceitação da proposta se dê imediatamente. O envio do extrato de operação posteriormente ao contratante não representa a formalização do contrato, </w:t>
      </w:r>
      <w:r w:rsidR="00D47C98">
        <w:rPr>
          <w:rFonts w:ascii="Times New Roman" w:eastAsiaTheme="minorEastAsia" w:hAnsi="Times New Roman" w:cstheme="minorBidi"/>
          <w:sz w:val="24"/>
        </w:rPr>
        <w:t>que</w:t>
      </w:r>
      <w:r w:rsidRPr="00F638F5">
        <w:rPr>
          <w:rFonts w:ascii="Times New Roman" w:eastAsiaTheme="minorEastAsia" w:hAnsi="Times New Roman" w:cstheme="minorBidi"/>
          <w:sz w:val="24"/>
        </w:rPr>
        <w:t xml:space="preserve"> ocorreu na própria ligação telefônica por meio da aceitação dos termos, sendo apenas a documentação daquilo que foi contratado.</w:t>
      </w:r>
    </w:p>
    <w:p w:rsidR="00845204" w:rsidRDefault="00845204" w:rsidP="00F638F5">
      <w:pPr>
        <w:pStyle w:val="Normal1"/>
        <w:spacing w:line="360" w:lineRule="auto"/>
        <w:ind w:firstLine="708"/>
        <w:jc w:val="both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/>
          <w:sz w:val="24"/>
        </w:rPr>
        <w:t>Há também espaço para que os alunos sustentem que o consentimento não ocorreu efetivamente. Isto vai depender de como for simulado pelos grupos a ligação telefônica.</w:t>
      </w:r>
      <w:r w:rsidR="00A97D3D">
        <w:rPr>
          <w:rFonts w:ascii="Times New Roman" w:eastAsiaTheme="minorEastAsia" w:hAnsi="Times New Roman" w:cstheme="minorBidi"/>
          <w:sz w:val="24"/>
        </w:rPr>
        <w:t xml:space="preserve"> São dadas orientações de padrão de conduta a ser seguida durante a simulação, podendo ocorrer muitas situações diferentes.</w:t>
      </w:r>
    </w:p>
    <w:p w:rsidR="00F638F5" w:rsidRDefault="00D47C98" w:rsidP="00D47C98">
      <w:pPr>
        <w:pStyle w:val="Normal1"/>
        <w:spacing w:line="360" w:lineRule="auto"/>
        <w:ind w:firstLine="708"/>
        <w:jc w:val="both"/>
      </w:pPr>
      <w:r>
        <w:rPr>
          <w:rFonts w:ascii="Times New Roman" w:eastAsiaTheme="minorEastAsia" w:hAnsi="Times New Roman" w:cstheme="minorBidi"/>
          <w:sz w:val="24"/>
        </w:rPr>
        <w:t>Por outro lado, importante destacar que o</w:t>
      </w:r>
      <w:r w:rsidRPr="00D47C98">
        <w:rPr>
          <w:rFonts w:ascii="Times New Roman" w:eastAsiaTheme="minorEastAsia" w:hAnsi="Times New Roman" w:cstheme="minorBidi"/>
          <w:sz w:val="24"/>
        </w:rPr>
        <w:t xml:space="preserve"> descumprimento contratual não pode ser entendido como fundamento apto a ensejar ao credor o direito de modificação unilateral dos termos do contrato, sendo possível aplicar ao caso o princípio da </w:t>
      </w:r>
      <w:r w:rsidRPr="00D47C98">
        <w:rPr>
          <w:rFonts w:ascii="Times New Roman" w:eastAsiaTheme="minorEastAsia" w:hAnsi="Times New Roman" w:cstheme="minorBidi"/>
          <w:i/>
          <w:sz w:val="24"/>
        </w:rPr>
        <w:t>exceptio non adimpleti contractus</w:t>
      </w:r>
      <w:r w:rsidRPr="00D47C98">
        <w:rPr>
          <w:rFonts w:ascii="Times New Roman" w:eastAsiaTheme="minorEastAsia" w:hAnsi="Times New Roman" w:cstheme="minorBidi"/>
          <w:sz w:val="24"/>
        </w:rPr>
        <w:t>, haja vista que, se o credor descumpriu sua obrigação de efetuar a cobrança pelo valor correto da parcela, não é dado a ele exigir que o devedor cumpra a obrigação de promover o seu pagamento.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lastRenderedPageBreak/>
        <w:t>Sugestões d</w:t>
      </w:r>
      <w:r w:rsidR="005E4665">
        <w:rPr>
          <w:rFonts w:eastAsia="Arial"/>
        </w:rPr>
        <w:t>e assuntos a serem trabalhados</w:t>
      </w:r>
    </w:p>
    <w:p w:rsidR="003C1463" w:rsidRDefault="003422CA" w:rsidP="003C1463">
      <w:r>
        <w:t xml:space="preserve">Dentro da discussão em grupo, o docente poderá tratar de aspectos </w:t>
      </w:r>
      <w:r w:rsidR="008B3B44">
        <w:t xml:space="preserve">teóricos </w:t>
      </w:r>
      <w:r>
        <w:t xml:space="preserve">do direito </w:t>
      </w:r>
      <w:r w:rsidR="00644DE8">
        <w:t>contratual</w:t>
      </w:r>
      <w:r>
        <w:t xml:space="preserve">, como as </w:t>
      </w:r>
      <w:r w:rsidR="008B0512">
        <w:t>fases da formação do contrato</w:t>
      </w:r>
      <w:r w:rsidR="008B3B44">
        <w:t>, assim como aspectos mais práticos relacionados com a responsabilização das partes, seja de maneira objetiva, seja de maneira subjetiva.</w:t>
      </w:r>
    </w:p>
    <w:p w:rsidR="00864A9D" w:rsidRDefault="00864A9D" w:rsidP="003C1463">
      <w:r>
        <w:t>Nesse ponto, o docente pode abordar as correntes acerca do elemento subjetivo na responsabilidade contratual, especialmente a relativa à presunção da culpa por parte do devedor, ou a concernente à inversão do ônus da prova.</w:t>
      </w:r>
    </w:p>
    <w:p w:rsidR="008B3B44" w:rsidRDefault="008B3B44" w:rsidP="003C1463">
      <w:r>
        <w:t xml:space="preserve">Os princípios do direito </w:t>
      </w:r>
      <w:r w:rsidR="008B0512">
        <w:t>contratual</w:t>
      </w:r>
      <w:r>
        <w:t xml:space="preserve"> merecem também muita atenção neste caso, especialmente </w:t>
      </w:r>
      <w:r w:rsidR="0081792F">
        <w:t>o princípio do equilíbrio contratual, além do instituto d</w:t>
      </w:r>
      <w:r w:rsidR="006219E9">
        <w:t>o</w:t>
      </w:r>
      <w:r w:rsidR="008B0512" w:rsidRPr="008B0512">
        <w:rPr>
          <w:i/>
        </w:rPr>
        <w:t>exceptio non adimpleti contractus</w:t>
      </w:r>
      <w:r>
        <w:t xml:space="preserve">, e </w:t>
      </w:r>
      <w:r w:rsidR="008B0512">
        <w:t>as consequência que dele advém.</w:t>
      </w:r>
    </w:p>
    <w:p w:rsidR="002D1E75" w:rsidRPr="003C1463" w:rsidRDefault="002D1E75" w:rsidP="003C1463">
      <w:r>
        <w:t>O docente pode</w:t>
      </w:r>
      <w:r w:rsidR="008B0512">
        <w:t>, ademais,abordar as interfaces do caso prático em questão com os princípi</w:t>
      </w:r>
      <w:r w:rsidR="009A08E0">
        <w:t xml:space="preserve">os da função social do contrato e </w:t>
      </w:r>
      <w:r w:rsidR="008B0512">
        <w:t xml:space="preserve">da boa-fé objetiva em matéria contratual, ambos de grande relevância </w:t>
      </w:r>
      <w:r w:rsidR="00353427">
        <w:t>na disciplina.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Q</w:t>
      </w:r>
      <w:r w:rsidR="005E4665">
        <w:rPr>
          <w:rFonts w:eastAsia="Arial"/>
        </w:rPr>
        <w:t>uestões para discussão do caso</w:t>
      </w:r>
    </w:p>
    <w:p w:rsidR="00FA6B0A" w:rsidRDefault="00FA6B0A" w:rsidP="00FA6B0A">
      <w:r>
        <w:t>Para encaminhamento das discussões pelos discentes e para estruturar a resposta de cada um, formulam-se algumas questões que deverão ser abordadas na solução do problema:</w:t>
      </w:r>
    </w:p>
    <w:p w:rsidR="008F7DF6" w:rsidRDefault="008F7DF6" w:rsidP="008F7DF6">
      <w:pPr>
        <w:pStyle w:val="Normal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Quais são as fases da formação dos contratos? </w:t>
      </w:r>
    </w:p>
    <w:p w:rsidR="008F7DF6" w:rsidRDefault="008F7DF6" w:rsidP="008F7DF6">
      <w:pPr>
        <w:pStyle w:val="Normal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obrigatoriedade se observa a partir de qual delas?</w:t>
      </w:r>
    </w:p>
    <w:p w:rsidR="008F7DF6" w:rsidRDefault="008F7DF6" w:rsidP="008F7DF6">
      <w:pPr>
        <w:pStyle w:val="Normal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válido o contrato celebrado via ligação? </w:t>
      </w:r>
    </w:p>
    <w:p w:rsidR="008F7DF6" w:rsidRDefault="008F7DF6" w:rsidP="008F7DF6">
      <w:pPr>
        <w:pStyle w:val="Normal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contrato foi formalizado no diálogo ou somente com o envio do extrato de operação?</w:t>
      </w:r>
    </w:p>
    <w:p w:rsidR="004268CE" w:rsidRDefault="008F7DF6" w:rsidP="004268CE">
      <w:pPr>
        <w:pStyle w:val="Normal1"/>
        <w:numPr>
          <w:ilvl w:val="0"/>
          <w:numId w:val="7"/>
        </w:numPr>
        <w:spacing w:line="360" w:lineRule="auto"/>
        <w:jc w:val="both"/>
      </w:pPr>
      <w:r w:rsidRPr="008F7DF6">
        <w:rPr>
          <w:rFonts w:ascii="Times New Roman" w:eastAsia="Times New Roman" w:hAnsi="Times New Roman" w:cs="Times New Roman"/>
          <w:sz w:val="24"/>
          <w:szCs w:val="24"/>
        </w:rPr>
        <w:t>Caso Ana venha a ficar inadimplente com as prestações, justificaria a cobrança nos termos indicados no extrato de operação?</w:t>
      </w:r>
    </w:p>
    <w:p w:rsidR="00BB5A6A" w:rsidRDefault="00BB5A6A" w:rsidP="004268CE"/>
    <w:p w:rsidR="004268CE" w:rsidRDefault="004268CE" w:rsidP="004268CE">
      <w:r>
        <w:t xml:space="preserve">Optando-se por dividir a sala em cinco grupos, os grupos respondem aos questionamentos seguindo a ordem das perguntas. O professor e os tutores irão fazendo os arremates. </w:t>
      </w:r>
    </w:p>
    <w:p w:rsidR="004268CE" w:rsidRDefault="008F7DF6" w:rsidP="004903CF">
      <w:pPr>
        <w:pStyle w:val="PargrafodaLista"/>
        <w:numPr>
          <w:ilvl w:val="0"/>
          <w:numId w:val="8"/>
        </w:numPr>
      </w:pPr>
      <w:r>
        <w:t>G1</w:t>
      </w:r>
      <w:r w:rsidR="004268CE">
        <w:t>: Pergunt</w:t>
      </w:r>
      <w:r>
        <w:t>a 1;</w:t>
      </w:r>
    </w:p>
    <w:p w:rsidR="004268CE" w:rsidRDefault="008F7DF6" w:rsidP="004903CF">
      <w:pPr>
        <w:pStyle w:val="PargrafodaLista"/>
        <w:numPr>
          <w:ilvl w:val="0"/>
          <w:numId w:val="8"/>
        </w:numPr>
      </w:pPr>
      <w:r>
        <w:t>G2</w:t>
      </w:r>
      <w:r w:rsidR="004268CE">
        <w:t>: Pergunta 2</w:t>
      </w:r>
      <w:r>
        <w:t>;</w:t>
      </w:r>
    </w:p>
    <w:p w:rsidR="004268CE" w:rsidRDefault="004268CE" w:rsidP="004903CF">
      <w:pPr>
        <w:pStyle w:val="PargrafodaLista"/>
        <w:numPr>
          <w:ilvl w:val="0"/>
          <w:numId w:val="8"/>
        </w:numPr>
      </w:pPr>
      <w:r>
        <w:t>G</w:t>
      </w:r>
      <w:r w:rsidR="008F7DF6">
        <w:t>3</w:t>
      </w:r>
      <w:r>
        <w:t>: Pergunta 3</w:t>
      </w:r>
      <w:r w:rsidR="008F7DF6">
        <w:t>;</w:t>
      </w:r>
    </w:p>
    <w:p w:rsidR="004268CE" w:rsidRDefault="008F7DF6" w:rsidP="004903CF">
      <w:pPr>
        <w:pStyle w:val="PargrafodaLista"/>
        <w:numPr>
          <w:ilvl w:val="0"/>
          <w:numId w:val="8"/>
        </w:numPr>
      </w:pPr>
      <w:r>
        <w:lastRenderedPageBreak/>
        <w:t xml:space="preserve">G4: Pergunta 4; </w:t>
      </w:r>
    </w:p>
    <w:p w:rsidR="004268CE" w:rsidRPr="00F26B93" w:rsidRDefault="004268CE" w:rsidP="004903CF">
      <w:pPr>
        <w:pStyle w:val="PargrafodaLista"/>
        <w:numPr>
          <w:ilvl w:val="0"/>
          <w:numId w:val="8"/>
        </w:numPr>
      </w:pPr>
      <w:r>
        <w:t>G</w:t>
      </w:r>
      <w:r w:rsidR="008F7DF6">
        <w:t>5</w:t>
      </w:r>
      <w:r>
        <w:t>: Pergunta 5</w:t>
      </w:r>
      <w:r w:rsidR="008F7DF6">
        <w:t>.</w:t>
      </w:r>
    </w:p>
    <w:p w:rsidR="00D02A50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 xml:space="preserve">Indicações </w:t>
      </w:r>
      <w:r w:rsidR="005E4665">
        <w:rPr>
          <w:rFonts w:eastAsia="Arial"/>
        </w:rPr>
        <w:t>bibliográficas</w:t>
      </w:r>
    </w:p>
    <w:p w:rsidR="003C1463" w:rsidRDefault="003B5E2C" w:rsidP="003C1463">
      <w:r>
        <w:t xml:space="preserve">Para aplicação do presente caso de </w:t>
      </w:r>
      <w:r w:rsidR="00F70A5D">
        <w:t xml:space="preserve">ensino, seja como fonte de leitura prévia, seja como fonte de consulta no momento da elaboração da solução do problema, </w:t>
      </w:r>
      <w:r w:rsidR="00494F06">
        <w:t>indicam-se as seguintes obras:</w:t>
      </w:r>
    </w:p>
    <w:p w:rsidR="00E20E23" w:rsidRDefault="00E20E23" w:rsidP="00A05FFC">
      <w:pPr>
        <w:pStyle w:val="PargrafodaLista"/>
        <w:numPr>
          <w:ilvl w:val="0"/>
          <w:numId w:val="11"/>
        </w:numPr>
      </w:pPr>
      <w:r w:rsidRPr="000B41FE">
        <w:t xml:space="preserve">AMARAL, </w:t>
      </w:r>
      <w:r w:rsidRPr="00501515">
        <w:t>Francisco</w:t>
      </w:r>
      <w:r w:rsidRPr="000B41FE">
        <w:t xml:space="preserve">. </w:t>
      </w:r>
      <w:r w:rsidRPr="00A05FFC">
        <w:rPr>
          <w:b/>
        </w:rPr>
        <w:t>Direito civil</w:t>
      </w:r>
      <w:r w:rsidRPr="000B41FE">
        <w:t>: introdução. 5. ed. Rio de Janeiro: Renovar, 2004</w:t>
      </w:r>
      <w:r>
        <w:t>.</w:t>
      </w:r>
    </w:p>
    <w:p w:rsidR="00501515" w:rsidRDefault="00501515" w:rsidP="00A05FFC">
      <w:pPr>
        <w:pStyle w:val="PargrafodaLista"/>
        <w:numPr>
          <w:ilvl w:val="0"/>
          <w:numId w:val="11"/>
        </w:numPr>
      </w:pPr>
      <w:r w:rsidRPr="001A43BA">
        <w:t xml:space="preserve">DINIZ, Maria Helena. </w:t>
      </w:r>
      <w:r w:rsidRPr="00A05FFC">
        <w:rPr>
          <w:b/>
        </w:rPr>
        <w:t>Curso de direito civil brasileiro</w:t>
      </w:r>
      <w:r w:rsidRPr="001A43BA">
        <w:t>: teoria geral das obrigações</w:t>
      </w:r>
      <w:r w:rsidR="00340E62">
        <w:t xml:space="preserve"> contratuais e extracontratuais</w:t>
      </w:r>
      <w:r w:rsidRPr="001A43BA">
        <w:t xml:space="preserve">. </w:t>
      </w:r>
      <w:r w:rsidR="00340E62">
        <w:t>38</w:t>
      </w:r>
      <w:r w:rsidRPr="001A43BA">
        <w:t>. ed. São Paulo: Saraiva, 202</w:t>
      </w:r>
      <w:r w:rsidR="00340E62">
        <w:t>2. v.3.</w:t>
      </w:r>
    </w:p>
    <w:p w:rsidR="00FC0737" w:rsidRDefault="00FC0737" w:rsidP="00A05FFC">
      <w:pPr>
        <w:pStyle w:val="PargrafodaLista"/>
        <w:numPr>
          <w:ilvl w:val="0"/>
          <w:numId w:val="11"/>
        </w:numPr>
      </w:pPr>
      <w:r w:rsidRPr="00BF7BAB">
        <w:t xml:space="preserve">EHRHARDT JR., Marcos. </w:t>
      </w:r>
      <w:r w:rsidRPr="00A05FFC">
        <w:rPr>
          <w:b/>
        </w:rPr>
        <w:t>Responsabilidade civil pelo inadimplemento da boa-fé</w:t>
      </w:r>
      <w:r w:rsidRPr="00A05FFC">
        <w:rPr>
          <w:i/>
        </w:rPr>
        <w:t>.</w:t>
      </w:r>
      <w:r w:rsidRPr="00BF7BAB">
        <w:t xml:space="preserve"> Belo Horizonte: Fórum, 2014</w:t>
      </w:r>
      <w:r>
        <w:t>.</w:t>
      </w:r>
    </w:p>
    <w:p w:rsidR="00A84BE8" w:rsidRPr="00CF5BBB" w:rsidRDefault="00A84BE8" w:rsidP="00A05FFC">
      <w:pPr>
        <w:pStyle w:val="PargrafodaLista"/>
        <w:numPr>
          <w:ilvl w:val="0"/>
          <w:numId w:val="11"/>
        </w:numPr>
      </w:pPr>
      <w:r>
        <w:t xml:space="preserve">FARIAS, Cristiano; ROSENVALD, Nelson. </w:t>
      </w:r>
      <w:r w:rsidRPr="00A05FFC">
        <w:rPr>
          <w:b/>
        </w:rPr>
        <w:t>Curso de direito civil:</w:t>
      </w:r>
      <w:r w:rsidR="00340E62">
        <w:t>Contratos – teoria geral e contratos em espécie</w:t>
      </w:r>
      <w:r w:rsidRPr="00A05FFC">
        <w:rPr>
          <w:i/>
        </w:rPr>
        <w:t xml:space="preserve">. </w:t>
      </w:r>
      <w:r w:rsidR="00340E62">
        <w:t>13</w:t>
      </w:r>
      <w:r>
        <w:t>. ed. Salvador: JusPodivm, 202</w:t>
      </w:r>
      <w:r w:rsidR="00340E62">
        <w:t>3</w:t>
      </w:r>
      <w:r>
        <w:t xml:space="preserve">, v. </w:t>
      </w:r>
      <w:r w:rsidR="00340E62">
        <w:t>4</w:t>
      </w:r>
      <w:r>
        <w:t>.</w:t>
      </w:r>
    </w:p>
    <w:p w:rsidR="004C62B4" w:rsidRPr="00B76B4F" w:rsidRDefault="004C62B4" w:rsidP="00A05FFC">
      <w:pPr>
        <w:pStyle w:val="PargrafodaLista"/>
        <w:numPr>
          <w:ilvl w:val="0"/>
          <w:numId w:val="11"/>
        </w:numPr>
      </w:pPr>
      <w:r>
        <w:t xml:space="preserve">GAGLIANO, Pablo Stolze; PAMPLONA FILHO, Rodolfo. </w:t>
      </w:r>
      <w:r w:rsidRPr="00A05FFC">
        <w:rPr>
          <w:b/>
        </w:rPr>
        <w:t xml:space="preserve">Novo curso de direito civil: </w:t>
      </w:r>
      <w:r w:rsidR="00644DE8">
        <w:t>contratos</w:t>
      </w:r>
      <w:r w:rsidRPr="00A05FFC">
        <w:rPr>
          <w:i/>
        </w:rPr>
        <w:t xml:space="preserve">. </w:t>
      </w:r>
      <w:r w:rsidR="00644DE8">
        <w:t>5</w:t>
      </w:r>
      <w:r>
        <w:t xml:space="preserve">. ed. São Paulo: SaraivaJur, 2022, v. </w:t>
      </w:r>
      <w:r w:rsidR="00644DE8">
        <w:t>4</w:t>
      </w:r>
      <w:r>
        <w:t>.</w:t>
      </w:r>
    </w:p>
    <w:p w:rsidR="004C62B4" w:rsidRDefault="004C62B4" w:rsidP="00A05FFC">
      <w:pPr>
        <w:pStyle w:val="PargrafodaLista"/>
        <w:numPr>
          <w:ilvl w:val="0"/>
          <w:numId w:val="11"/>
        </w:numPr>
      </w:pPr>
      <w:r w:rsidRPr="00262DF9">
        <w:t xml:space="preserve">GOMES, Orlando. </w:t>
      </w:r>
      <w:r w:rsidR="00644DE8" w:rsidRPr="00A05FFC">
        <w:rPr>
          <w:b/>
        </w:rPr>
        <w:t>Contratos</w:t>
      </w:r>
      <w:r w:rsidRPr="00262DF9">
        <w:t xml:space="preserve">. </w:t>
      </w:r>
      <w:r w:rsidR="00644DE8">
        <w:t>28</w:t>
      </w:r>
      <w:r w:rsidRPr="00262DF9">
        <w:t>. ed. Rio de Janeiro: Forense, 20</w:t>
      </w:r>
      <w:r w:rsidR="00644DE8">
        <w:t>22</w:t>
      </w:r>
      <w:r w:rsidRPr="00262DF9">
        <w:t>.</w:t>
      </w:r>
    </w:p>
    <w:p w:rsidR="000728D3" w:rsidRDefault="000728D3" w:rsidP="00A05FFC">
      <w:pPr>
        <w:pStyle w:val="PargrafodaLista"/>
        <w:numPr>
          <w:ilvl w:val="0"/>
          <w:numId w:val="11"/>
        </w:numPr>
      </w:pPr>
      <w:r w:rsidRPr="00837D7A">
        <w:t xml:space="preserve">GONÇALVES, Carlos Roberto. </w:t>
      </w:r>
      <w:r w:rsidRPr="00A05FFC">
        <w:rPr>
          <w:b/>
        </w:rPr>
        <w:t>Direito civil brasileiro</w:t>
      </w:r>
      <w:r w:rsidRPr="00837D7A">
        <w:t xml:space="preserve">: </w:t>
      </w:r>
      <w:r w:rsidR="00644DE8">
        <w:t>contratos e atos unilaterais. 20. ed</w:t>
      </w:r>
      <w:r w:rsidRPr="00837D7A">
        <w:t>. São Paulo: SaraivaJur, 2023</w:t>
      </w:r>
      <w:r>
        <w:t>,</w:t>
      </w:r>
      <w:r w:rsidRPr="00837D7A">
        <w:t xml:space="preserve"> v. </w:t>
      </w:r>
      <w:r w:rsidR="00644DE8">
        <w:t>3</w:t>
      </w:r>
      <w:r>
        <w:t>.</w:t>
      </w:r>
    </w:p>
    <w:p w:rsidR="00626FBF" w:rsidRDefault="00626FBF" w:rsidP="00A05FFC">
      <w:pPr>
        <w:pStyle w:val="PargrafodaLista"/>
        <w:numPr>
          <w:ilvl w:val="0"/>
          <w:numId w:val="11"/>
        </w:numPr>
      </w:pPr>
      <w:r w:rsidRPr="0050542A">
        <w:t>LÔBO, Paulo</w:t>
      </w:r>
      <w:r>
        <w:t xml:space="preserve"> Luiz Netto</w:t>
      </w:r>
      <w:r w:rsidRPr="0050542A">
        <w:t xml:space="preserve">. </w:t>
      </w:r>
      <w:r w:rsidRPr="00A05FFC">
        <w:rPr>
          <w:b/>
        </w:rPr>
        <w:t>Direito Civil:</w:t>
      </w:r>
      <w:r w:rsidR="00644DE8">
        <w:t>contratos</w:t>
      </w:r>
      <w:r w:rsidRPr="00406914">
        <w:t>.</w:t>
      </w:r>
      <w:r w:rsidR="00644DE8">
        <w:t>9</w:t>
      </w:r>
      <w:r w:rsidRPr="0050542A">
        <w:t xml:space="preserve">. ed. São </w:t>
      </w:r>
      <w:r>
        <w:t>Paulo: Saraiva Jur, 202</w:t>
      </w:r>
      <w:r w:rsidR="00644DE8">
        <w:t>3</w:t>
      </w:r>
      <w:r>
        <w:t xml:space="preserve">, v. </w:t>
      </w:r>
      <w:r w:rsidR="00644DE8">
        <w:t>3</w:t>
      </w:r>
      <w:r>
        <w:t>.</w:t>
      </w:r>
    </w:p>
    <w:p w:rsidR="0048147E" w:rsidRDefault="0048147E" w:rsidP="00A05FFC">
      <w:pPr>
        <w:pStyle w:val="PargrafodaLista"/>
        <w:numPr>
          <w:ilvl w:val="0"/>
          <w:numId w:val="11"/>
        </w:numPr>
      </w:pPr>
      <w:r>
        <w:t xml:space="preserve">SCHREIBER, Anderson. </w:t>
      </w:r>
      <w:r w:rsidRPr="00A05FFC">
        <w:rPr>
          <w:b/>
        </w:rPr>
        <w:t>Manual de direito civil contemporâneo</w:t>
      </w:r>
      <w:r>
        <w:t>. 5. ed. São Paulo: SaraivaJur, 2022.</w:t>
      </w:r>
    </w:p>
    <w:p w:rsidR="00091EB5" w:rsidRDefault="00091EB5" w:rsidP="00A05FFC">
      <w:pPr>
        <w:pStyle w:val="PargrafodaLista"/>
        <w:numPr>
          <w:ilvl w:val="0"/>
          <w:numId w:val="11"/>
        </w:numPr>
      </w:pPr>
      <w:r w:rsidRPr="008B4FF7">
        <w:t xml:space="preserve">TARTUCE, Flávio. </w:t>
      </w:r>
      <w:r w:rsidRPr="00A05FFC">
        <w:rPr>
          <w:b/>
        </w:rPr>
        <w:t xml:space="preserve">Direito civil: </w:t>
      </w:r>
      <w:r w:rsidR="00340E62" w:rsidRPr="00A05FFC">
        <w:rPr>
          <w:b/>
        </w:rPr>
        <w:t>teoria geral dos contratos e contratos em espécie</w:t>
      </w:r>
      <w:r w:rsidRPr="008B4FF7">
        <w:t>. 16. ed. Rio de Janeiro: Forense, 2021</w:t>
      </w:r>
      <w:r>
        <w:t xml:space="preserve">, v. </w:t>
      </w:r>
      <w:r w:rsidR="00340E62">
        <w:t>3</w:t>
      </w:r>
      <w:r>
        <w:t>.</w:t>
      </w:r>
    </w:p>
    <w:p w:rsidR="00C82D64" w:rsidRDefault="00C82D64" w:rsidP="00091EB5">
      <w:pPr>
        <w:pStyle w:val="REFSFINAIS"/>
      </w:pPr>
    </w:p>
    <w:p w:rsidR="00C82D64" w:rsidRDefault="00C82D64" w:rsidP="00C82D64">
      <w:r w:rsidRPr="00C82D64">
        <w:t>As obras em referência constituem um alicerce sólido para a atividade em pauta, permitindo uma compreensão aprofundada e abrangente das áreas esp</w:t>
      </w:r>
      <w:r>
        <w:t>ecíficas do direito em questão.</w:t>
      </w:r>
    </w:p>
    <w:p w:rsidR="00C82D64" w:rsidRDefault="00C82D64" w:rsidP="00C82D64">
      <w:r>
        <w:lastRenderedPageBreak/>
        <w:t>Torna</w:t>
      </w:r>
      <w:r w:rsidRPr="00C82D64">
        <w:t>-se imprescindíve</w:t>
      </w:r>
      <w:r>
        <w:t xml:space="preserve">l </w:t>
      </w:r>
      <w:r w:rsidRPr="00C82D64">
        <w:t>a leitura prévia ou complementar desses textos para o desenvolvimento do caso presente, proporcionando informações essenciais e orientações fundamentais para lidar com questõe</w:t>
      </w:r>
      <w:r w:rsidR="00EE0BD5">
        <w:t>s relativas às obrigações e aos contratos civis</w:t>
      </w:r>
      <w:r w:rsidRPr="00C82D64">
        <w:t>.</w:t>
      </w:r>
    </w:p>
    <w:p w:rsidR="00BB5A6A" w:rsidRDefault="00BB5A6A" w:rsidP="00091EB5">
      <w:pPr>
        <w:pStyle w:val="REFSFINAIS"/>
      </w:pPr>
    </w:p>
    <w:p w:rsidR="00384D65" w:rsidRPr="00DD4BF6" w:rsidRDefault="00164E7F" w:rsidP="002E632B">
      <w:pPr>
        <w:pStyle w:val="Ttulo1"/>
        <w:numPr>
          <w:ilvl w:val="0"/>
          <w:numId w:val="0"/>
        </w:numPr>
        <w:ind w:left="227" w:hanging="227"/>
        <w:rPr>
          <w:rFonts w:eastAsia="Arial"/>
        </w:rPr>
      </w:pPr>
      <w:r>
        <w:rPr>
          <w:rFonts w:eastAsia="Arial"/>
        </w:rPr>
        <w:t>REFERÊNCIAS</w:t>
      </w:r>
    </w:p>
    <w:p w:rsidR="00AA70BD" w:rsidRDefault="00AA70BD" w:rsidP="00832AF9">
      <w:pPr>
        <w:pStyle w:val="REFSFINAIS"/>
      </w:pPr>
      <w:r w:rsidRPr="008D7014">
        <w:t xml:space="preserve">ASSMANN, Hugo; SUNG, Jung Mo. </w:t>
      </w:r>
      <w:r w:rsidRPr="00AA70BD">
        <w:rPr>
          <w:b/>
        </w:rPr>
        <w:t>Competência e sensibilidade solidár</w:t>
      </w:r>
      <w:r>
        <w:rPr>
          <w:b/>
        </w:rPr>
        <w:t>ia</w:t>
      </w:r>
      <w:r w:rsidRPr="00AA70BD">
        <w:t xml:space="preserve">: educar </w:t>
      </w:r>
      <w:r>
        <w:t>para a esperança. Petrópolis: Vozes, 2000.</w:t>
      </w:r>
    </w:p>
    <w:p w:rsidR="002E632B" w:rsidRDefault="002E632B" w:rsidP="00832AF9">
      <w:pPr>
        <w:pStyle w:val="REFSFINAIS"/>
      </w:pPr>
    </w:p>
    <w:p w:rsidR="00C92ADE" w:rsidRPr="00AA70BD" w:rsidRDefault="00C92ADE" w:rsidP="00832AF9">
      <w:pPr>
        <w:pStyle w:val="REFSFINAIS"/>
      </w:pPr>
      <w:r>
        <w:t xml:space="preserve">ANPAD </w:t>
      </w:r>
      <w:r w:rsidR="0012439F">
        <w:t xml:space="preserve">–ASSOCIAÇÃO NACIONAL DE PÓS-GRADUAÇÃO </w:t>
      </w:r>
      <w:r w:rsidR="0012439F" w:rsidRPr="0012439F">
        <w:t>EPESQUISA</w:t>
      </w:r>
      <w:r w:rsidR="0012439F">
        <w:t xml:space="preserve"> EM </w:t>
      </w:r>
      <w:r w:rsidR="0012439F" w:rsidRPr="0012439F">
        <w:t>ADMINISTRAÇÃO</w:t>
      </w:r>
      <w:r w:rsidR="0012439F">
        <w:t xml:space="preserve">. </w:t>
      </w:r>
      <w:r w:rsidR="0047270A" w:rsidRPr="0047270A">
        <w:rPr>
          <w:b/>
        </w:rPr>
        <w:t>Orientações para elaboração de casos para ensino</w:t>
      </w:r>
      <w:r w:rsidR="0047270A">
        <w:t xml:space="preserve">. 2011. Disponível em: </w:t>
      </w:r>
      <w:r w:rsidR="0047270A" w:rsidRPr="0047270A">
        <w:t>https://arquivo.anpad.org.br/diversos/regras_casos_ensino2011.pdf</w:t>
      </w:r>
      <w:r w:rsidR="0047270A">
        <w:t>. Acesso em 09 jul. 2023.</w:t>
      </w:r>
    </w:p>
    <w:p w:rsidR="002E632B" w:rsidRDefault="002E632B" w:rsidP="008D7014">
      <w:pPr>
        <w:pStyle w:val="REFSFINAIS"/>
      </w:pPr>
    </w:p>
    <w:p w:rsidR="00965627" w:rsidRDefault="00965627" w:rsidP="008D7014">
      <w:pPr>
        <w:pStyle w:val="REFSFINAIS"/>
      </w:pPr>
      <w:r w:rsidRPr="00965627">
        <w:t xml:space="preserve">FERNANDES, Gonçalves André. </w:t>
      </w:r>
      <w:r w:rsidRPr="00F503B9">
        <w:rPr>
          <w:b/>
        </w:rPr>
        <w:t xml:space="preserve">Ensinando e aprendendo o direito com o </w:t>
      </w:r>
      <w:r w:rsidR="00827D26" w:rsidRPr="00F503B9">
        <w:rPr>
          <w:b/>
        </w:rPr>
        <w:t xml:space="preserve">método </w:t>
      </w:r>
      <w:r w:rsidRPr="00F503B9">
        <w:rPr>
          <w:b/>
        </w:rPr>
        <w:t>do caso</w:t>
      </w:r>
      <w:r w:rsidRPr="00965627">
        <w:t>: bases epistemol</w:t>
      </w:r>
      <w:r w:rsidR="00242A19">
        <w:t>ó</w:t>
      </w:r>
      <w:r w:rsidRPr="00965627">
        <w:t>gicas e metodol</w:t>
      </w:r>
      <w:r w:rsidR="00242A19">
        <w:t>ó</w:t>
      </w:r>
      <w:r w:rsidRPr="00965627">
        <w:t>gicas. 2. ed. rev., atual. e</w:t>
      </w:r>
      <w:r w:rsidR="00427C53">
        <w:t xml:space="preserve"> ampl. São Paulo: Edipro Edições </w:t>
      </w:r>
      <w:r w:rsidRPr="00965627">
        <w:t>Profissionais Ltda., 2018.</w:t>
      </w:r>
    </w:p>
    <w:p w:rsidR="00965627" w:rsidRDefault="00965627" w:rsidP="008D7014">
      <w:pPr>
        <w:pStyle w:val="REFSFINAIS"/>
      </w:pPr>
    </w:p>
    <w:p w:rsidR="008D7014" w:rsidRDefault="008D7014" w:rsidP="008D7014">
      <w:pPr>
        <w:pStyle w:val="REFSFINAIS"/>
      </w:pPr>
      <w:r>
        <w:t>RAMOS, Luciana de Oliveira; SCHORSCHER, Vivian Cristina. Método do Caso. In: GHIRA</w:t>
      </w:r>
      <w:r w:rsidR="00100772">
        <w:t>R</w:t>
      </w:r>
      <w:r>
        <w:t xml:space="preserve">DI, JoséGarcez (org.). </w:t>
      </w:r>
      <w:r w:rsidRPr="009F06E7">
        <w:rPr>
          <w:b/>
        </w:rPr>
        <w:t>Métodos de Ensino em Direito</w:t>
      </w:r>
      <w:r>
        <w:t xml:space="preserve">: conceitos para um debate. </w:t>
      </w:r>
      <w:r w:rsidR="001305B9">
        <w:t xml:space="preserve">2. ed. </w:t>
      </w:r>
      <w:r>
        <w:t>São Paulo: Saraiva, 20</w:t>
      </w:r>
      <w:r w:rsidR="001305B9">
        <w:t>2</w:t>
      </w:r>
      <w:r>
        <w:t>0. p.49-60.</w:t>
      </w:r>
    </w:p>
    <w:p w:rsidR="002E632B" w:rsidRDefault="002E632B" w:rsidP="004F5C74">
      <w:pPr>
        <w:pStyle w:val="REFSFINAIS"/>
      </w:pPr>
    </w:p>
    <w:p w:rsidR="004F5C74" w:rsidRDefault="004F5C74" w:rsidP="004F5C74">
      <w:pPr>
        <w:pStyle w:val="REFSFINAIS"/>
      </w:pPr>
      <w:r w:rsidRPr="00AA38DF">
        <w:t xml:space="preserve">ROESCH, Sylvia </w:t>
      </w:r>
      <w:r w:rsidRPr="00832AF9">
        <w:t>Maria</w:t>
      </w:r>
      <w:r w:rsidRPr="00AA38DF">
        <w:t xml:space="preserve"> Azevedo. </w:t>
      </w:r>
      <w:r>
        <w:t xml:space="preserve">A construção de casos em gestão social: diferenças entre estudos de caso e casos para ensino. In: </w:t>
      </w:r>
      <w:r w:rsidRPr="00B70B50">
        <w:t xml:space="preserve">FISCHER, </w:t>
      </w:r>
      <w:r>
        <w:t xml:space="preserve">Tânia; </w:t>
      </w:r>
      <w:r w:rsidRPr="00B70B50">
        <w:t>ROESCH,</w:t>
      </w:r>
      <w:r>
        <w:t xml:space="preserve"> Sylvia; </w:t>
      </w:r>
      <w:r w:rsidRPr="00B70B50">
        <w:t>MELO</w:t>
      </w:r>
      <w:r>
        <w:t>, Vanessa</w:t>
      </w:r>
      <w:r w:rsidRPr="00B70B50">
        <w:t xml:space="preserve"> (Orgs.). </w:t>
      </w:r>
      <w:r w:rsidRPr="00585962">
        <w:rPr>
          <w:b/>
        </w:rPr>
        <w:t>Gestão do desenvolvimento territorial e residência social</w:t>
      </w:r>
      <w:r w:rsidRPr="00C468D0">
        <w:t>: casos para ensino. Salvador: EDUFBA</w:t>
      </w:r>
      <w:r>
        <w:t>, 2004</w:t>
      </w:r>
      <w:r w:rsidRPr="00C468D0">
        <w:t>.</w:t>
      </w:r>
      <w:r>
        <w:t xml:space="preserve"> p. 83-110.</w:t>
      </w:r>
    </w:p>
    <w:p w:rsidR="002E632B" w:rsidRDefault="002E632B" w:rsidP="008D7014">
      <w:pPr>
        <w:pStyle w:val="REFSFINAIS"/>
      </w:pPr>
    </w:p>
    <w:p w:rsidR="00AA38DF" w:rsidRDefault="00AA38DF" w:rsidP="008D7014">
      <w:pPr>
        <w:pStyle w:val="REFSFINAIS"/>
      </w:pPr>
      <w:r w:rsidRPr="00AA38DF">
        <w:t xml:space="preserve">ROESCH, Sylvia </w:t>
      </w:r>
      <w:r w:rsidRPr="00832AF9">
        <w:t>Maria</w:t>
      </w:r>
      <w:r w:rsidRPr="00AA38DF">
        <w:t xml:space="preserve"> Azevedo. Notas sobre a construção de casos para </w:t>
      </w:r>
      <w:r w:rsidRPr="00C57F3C">
        <w:t xml:space="preserve">ensino. </w:t>
      </w:r>
      <w:r w:rsidRPr="00C57F3C">
        <w:rPr>
          <w:b/>
        </w:rPr>
        <w:t>Rev. adm. contemp</w:t>
      </w:r>
      <w:r w:rsidRPr="00C57F3C">
        <w:t xml:space="preserve">. [online], v.11, n.2, pp. 213-234, 2007. Disponível em: </w:t>
      </w:r>
      <w:r w:rsidR="00C57F3C">
        <w:t>&lt;</w:t>
      </w:r>
      <w:hyperlink r:id="rId8" w:history="1">
        <w:r w:rsidRPr="00C57F3C">
          <w:rPr>
            <w:rStyle w:val="Hyperlink"/>
            <w:color w:val="auto"/>
            <w:u w:val="none"/>
          </w:rPr>
          <w:t>http://www.scielo.br/pdf/rac/v11n2/a12v11n2.pdf</w:t>
        </w:r>
      </w:hyperlink>
      <w:r w:rsidR="00C57F3C">
        <w:rPr>
          <w:rStyle w:val="Hyperlink"/>
          <w:color w:val="auto"/>
          <w:u w:val="none"/>
        </w:rPr>
        <w:t>&gt;</w:t>
      </w:r>
      <w:r w:rsidR="00C24499" w:rsidRPr="00C57F3C">
        <w:rPr>
          <w:rStyle w:val="Hyperlink"/>
          <w:color w:val="auto"/>
          <w:u w:val="none"/>
        </w:rPr>
        <w:t>.</w:t>
      </w:r>
      <w:r w:rsidR="00C24499" w:rsidRPr="00C57F3C">
        <w:t>Acesso em 09 jul. 2023.</w:t>
      </w:r>
    </w:p>
    <w:p w:rsidR="002E632B" w:rsidRDefault="002E632B" w:rsidP="00B06D60">
      <w:pPr>
        <w:pStyle w:val="REFSFINAIS"/>
      </w:pPr>
    </w:p>
    <w:p w:rsidR="00B06D60" w:rsidRDefault="00B06D60" w:rsidP="00B06D60">
      <w:pPr>
        <w:pStyle w:val="REFSFINAIS"/>
      </w:pPr>
      <w:r w:rsidRPr="00AA38DF">
        <w:t xml:space="preserve">ROESCH, Sylvia </w:t>
      </w:r>
      <w:r w:rsidRPr="00832AF9">
        <w:t>Maria</w:t>
      </w:r>
      <w:r w:rsidRPr="00AA38DF">
        <w:t xml:space="preserve"> Azevedo. </w:t>
      </w:r>
      <w:r>
        <w:t>Como narrar um caso para ensino. GV Casos - Rev. Bras. de Casos de Ensino emAdministração, 2011. Disponível em:&lt;http://bibliotecadigital.fgv.br/ojs/index.php/gvcasos/article/download/3710/2328&gt;. Acesso em 4 mai. 2015.</w:t>
      </w:r>
    </w:p>
    <w:p w:rsidR="002E632B" w:rsidRDefault="002E632B" w:rsidP="009E370B">
      <w:pPr>
        <w:pStyle w:val="REFSFINAIS"/>
      </w:pPr>
    </w:p>
    <w:p w:rsidR="009E370B" w:rsidRDefault="009E370B" w:rsidP="009E370B">
      <w:pPr>
        <w:pStyle w:val="REFSFINAIS"/>
      </w:pPr>
      <w:r>
        <w:t xml:space="preserve">TAGLIAVINI, João Virgílio. </w:t>
      </w:r>
      <w:r w:rsidRPr="009E370B">
        <w:rPr>
          <w:b/>
        </w:rPr>
        <w:t>Aprender e ensinar direito</w:t>
      </w:r>
      <w:r>
        <w:t>: para além do direito que se ensina errado. SãoCarlos: Edição do Autor, 2013</w:t>
      </w:r>
      <w:r w:rsidR="007B41DC">
        <w:t>.</w:t>
      </w:r>
    </w:p>
    <w:p w:rsidR="002E632B" w:rsidRDefault="002E632B" w:rsidP="009E370B">
      <w:pPr>
        <w:pStyle w:val="REFSFINAIS"/>
      </w:pPr>
    </w:p>
    <w:p w:rsidR="00C7051B" w:rsidRDefault="00C7051B" w:rsidP="009E370B">
      <w:pPr>
        <w:pStyle w:val="REFSFINAIS"/>
      </w:pPr>
      <w:r w:rsidRPr="00C7051B">
        <w:t xml:space="preserve">WAGNER, F. C.; KELLER-FRANCO, E.; SOUZA, D. C. D. B. N. de. Elaboração de casos de ensino para o curso de direito. </w:t>
      </w:r>
      <w:r w:rsidRPr="00C7051B">
        <w:rPr>
          <w:b/>
        </w:rPr>
        <w:t>Revista Inter Ação</w:t>
      </w:r>
      <w:r w:rsidRPr="00C7051B">
        <w:t>, Goiânia, v. 47, n. 3, p. 1118–1138, 2023. DOI: 10.5216/ia.v47i3.72993. Disponível em: https://revistas.ufg.br/interacao/article/view/72993. Acesso em: 9 jul. 2023.</w:t>
      </w:r>
    </w:p>
    <w:sectPr w:rsidR="00C7051B" w:rsidSect="002D207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963" w:rsidRDefault="00F57963" w:rsidP="00037EF0">
      <w:pPr>
        <w:spacing w:line="240" w:lineRule="auto"/>
      </w:pPr>
      <w:r>
        <w:separator/>
      </w:r>
    </w:p>
  </w:endnote>
  <w:endnote w:type="continuationSeparator" w:id="1">
    <w:p w:rsidR="00F57963" w:rsidRDefault="00F57963" w:rsidP="00037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7900814"/>
      <w:docPartObj>
        <w:docPartGallery w:val="Page Numbers (Bottom of Page)"/>
        <w:docPartUnique/>
      </w:docPartObj>
    </w:sdtPr>
    <w:sdtContent>
      <w:p w:rsidR="004F4A23" w:rsidRDefault="00796C58">
        <w:pPr>
          <w:pStyle w:val="Rodap"/>
          <w:jc w:val="right"/>
        </w:pPr>
        <w:r>
          <w:fldChar w:fldCharType="begin"/>
        </w:r>
        <w:r w:rsidR="009471F3">
          <w:instrText>PAGE   \* MERGEFORMAT</w:instrText>
        </w:r>
        <w:r>
          <w:fldChar w:fldCharType="separate"/>
        </w:r>
        <w:r w:rsidR="00B911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4A23" w:rsidRDefault="004F4A2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963" w:rsidRDefault="00F57963" w:rsidP="00FB7D28">
      <w:pPr>
        <w:spacing w:line="240" w:lineRule="auto"/>
        <w:ind w:firstLine="0"/>
      </w:pPr>
      <w:r>
        <w:separator/>
      </w:r>
    </w:p>
  </w:footnote>
  <w:footnote w:type="continuationSeparator" w:id="1">
    <w:p w:rsidR="00F57963" w:rsidRDefault="00F57963" w:rsidP="00037EF0">
      <w:pPr>
        <w:spacing w:line="240" w:lineRule="auto"/>
      </w:pPr>
      <w:r>
        <w:continuationSeparator/>
      </w:r>
    </w:p>
  </w:footnote>
  <w:footnote w:id="2">
    <w:p w:rsidR="007B5106" w:rsidRDefault="007B5106">
      <w:pPr>
        <w:pStyle w:val="Textodenotaderodap"/>
      </w:pPr>
      <w:r>
        <w:rPr>
          <w:rStyle w:val="Refdenotaderodap"/>
        </w:rPr>
        <w:t>*</w:t>
      </w:r>
      <w:r>
        <w:t xml:space="preserve"> Bacharel em Direito pela Universidade Federal do Rio Grande do Norte. Servidor da Justiça Federa/RN. Foi monitor das Disciplinas Direito Civil II (Obrigações) e Direito Civil III (Contratos) no ano de 2022.</w:t>
      </w:r>
    </w:p>
  </w:footnote>
  <w:footnote w:id="3">
    <w:p w:rsidR="007B5106" w:rsidRDefault="007B5106">
      <w:pPr>
        <w:pStyle w:val="Textodenotaderodap"/>
      </w:pPr>
      <w:r>
        <w:rPr>
          <w:rStyle w:val="Refdenotaderodap"/>
        </w:rPr>
        <w:t>**</w:t>
      </w:r>
      <w:r>
        <w:t xml:space="preserve"> Graduando em Direito pela Universidade Federal do Rio Grande do Norte. Monitor das Disciplinas Direito Civil II (Obrigações) e Direito Civil III (Contratos) no ano de 2023.</w:t>
      </w:r>
    </w:p>
  </w:footnote>
  <w:footnote w:id="4">
    <w:p w:rsidR="007B5106" w:rsidRDefault="007B5106">
      <w:pPr>
        <w:pStyle w:val="Textodenotaderodap"/>
      </w:pPr>
      <w:r>
        <w:rPr>
          <w:rStyle w:val="Refdenotaderodap"/>
        </w:rPr>
        <w:t>***</w:t>
      </w:r>
      <w:r w:rsidRPr="00A667B1">
        <w:t xml:space="preserve">Professor Adjunto da Universidade Federal do Rio Grande do Norte, Departamento de Direito Privado. Doutor em Direito pela Universidade de Coimbra. Ministra as disciplinas de Obrigações (Direito Civil II) e Contratos (Direito Civil III). </w:t>
      </w:r>
      <w:r>
        <w:t>Ju</w:t>
      </w:r>
      <w:r w:rsidRPr="00A667B1">
        <w:t>iz Federal</w:t>
      </w:r>
      <w:r>
        <w:t xml:space="preserve">. </w:t>
      </w:r>
      <w:r w:rsidRPr="00A667B1">
        <w:t>Lattes: http://lattes.cnpq.br/4850326871996552. E-mail: fabio.bezerra@ufrn.br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A23" w:rsidRDefault="004F4A23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 edited="0"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F4A23" w:rsidRDefault="004F4A23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  <w:p w:rsidR="004F4A23" w:rsidRPr="00027FA6" w:rsidRDefault="004F4A23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4D41"/>
    <w:multiLevelType w:val="hybridMultilevel"/>
    <w:tmpl w:val="13CA9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08FB"/>
    <w:multiLevelType w:val="hybridMultilevel"/>
    <w:tmpl w:val="619E6AD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3F70F2C"/>
    <w:multiLevelType w:val="multilevel"/>
    <w:tmpl w:val="25A81D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D222258"/>
    <w:multiLevelType w:val="hybridMultilevel"/>
    <w:tmpl w:val="60B44DC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A7D6976"/>
    <w:multiLevelType w:val="hybridMultilevel"/>
    <w:tmpl w:val="5A106F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F871B4F"/>
    <w:multiLevelType w:val="hybridMultilevel"/>
    <w:tmpl w:val="259E9460"/>
    <w:lvl w:ilvl="0" w:tplc="4E58F5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5FC48B9"/>
    <w:multiLevelType w:val="hybridMultilevel"/>
    <w:tmpl w:val="4016EC1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D775DA"/>
    <w:multiLevelType w:val="multilevel"/>
    <w:tmpl w:val="D968EA4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74B75C18"/>
    <w:multiLevelType w:val="multilevel"/>
    <w:tmpl w:val="BF34A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5C96BAA"/>
    <w:multiLevelType w:val="hybridMultilevel"/>
    <w:tmpl w:val="493848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4AE5"/>
    <w:rsid w:val="00003C55"/>
    <w:rsid w:val="00006D45"/>
    <w:rsid w:val="000079F0"/>
    <w:rsid w:val="00014CE0"/>
    <w:rsid w:val="00020A30"/>
    <w:rsid w:val="00026591"/>
    <w:rsid w:val="00027FA6"/>
    <w:rsid w:val="000358D6"/>
    <w:rsid w:val="00035A20"/>
    <w:rsid w:val="00037EF0"/>
    <w:rsid w:val="00071433"/>
    <w:rsid w:val="000728D3"/>
    <w:rsid w:val="00072EC4"/>
    <w:rsid w:val="00072FAC"/>
    <w:rsid w:val="00080496"/>
    <w:rsid w:val="00082807"/>
    <w:rsid w:val="00083550"/>
    <w:rsid w:val="00083960"/>
    <w:rsid w:val="00091EB5"/>
    <w:rsid w:val="00096A10"/>
    <w:rsid w:val="000A42DF"/>
    <w:rsid w:val="000A5AD8"/>
    <w:rsid w:val="000B1DF8"/>
    <w:rsid w:val="000B2A37"/>
    <w:rsid w:val="000B574B"/>
    <w:rsid w:val="000B6513"/>
    <w:rsid w:val="000B74CA"/>
    <w:rsid w:val="000C2E77"/>
    <w:rsid w:val="000D449D"/>
    <w:rsid w:val="000D69E9"/>
    <w:rsid w:val="000E60AA"/>
    <w:rsid w:val="000F2279"/>
    <w:rsid w:val="000F2DE4"/>
    <w:rsid w:val="000F6110"/>
    <w:rsid w:val="00100772"/>
    <w:rsid w:val="00120D2D"/>
    <w:rsid w:val="0012439F"/>
    <w:rsid w:val="001252C6"/>
    <w:rsid w:val="00125382"/>
    <w:rsid w:val="001305B9"/>
    <w:rsid w:val="001315CB"/>
    <w:rsid w:val="00142D04"/>
    <w:rsid w:val="00153AEB"/>
    <w:rsid w:val="00162EE3"/>
    <w:rsid w:val="00164E7F"/>
    <w:rsid w:val="00180EC4"/>
    <w:rsid w:val="001926B8"/>
    <w:rsid w:val="0019375C"/>
    <w:rsid w:val="001978C2"/>
    <w:rsid w:val="00197A6A"/>
    <w:rsid w:val="001A2F87"/>
    <w:rsid w:val="001B00E2"/>
    <w:rsid w:val="001B4F4C"/>
    <w:rsid w:val="001B6C0F"/>
    <w:rsid w:val="001C6DEA"/>
    <w:rsid w:val="001D32C9"/>
    <w:rsid w:val="001D3C83"/>
    <w:rsid w:val="001D736D"/>
    <w:rsid w:val="001E0088"/>
    <w:rsid w:val="001E1354"/>
    <w:rsid w:val="001E3076"/>
    <w:rsid w:val="001F132E"/>
    <w:rsid w:val="002120F0"/>
    <w:rsid w:val="00217C5D"/>
    <w:rsid w:val="00223BAB"/>
    <w:rsid w:val="00225C97"/>
    <w:rsid w:val="00225D20"/>
    <w:rsid w:val="00231595"/>
    <w:rsid w:val="00241D76"/>
    <w:rsid w:val="00242A19"/>
    <w:rsid w:val="0024349A"/>
    <w:rsid w:val="00257CF5"/>
    <w:rsid w:val="002645FA"/>
    <w:rsid w:val="002770E2"/>
    <w:rsid w:val="00280E0F"/>
    <w:rsid w:val="00286112"/>
    <w:rsid w:val="00295B51"/>
    <w:rsid w:val="002961A1"/>
    <w:rsid w:val="0029755E"/>
    <w:rsid w:val="002A045C"/>
    <w:rsid w:val="002A2F29"/>
    <w:rsid w:val="002C2DD4"/>
    <w:rsid w:val="002C5770"/>
    <w:rsid w:val="002C70D1"/>
    <w:rsid w:val="002D1E75"/>
    <w:rsid w:val="002D2070"/>
    <w:rsid w:val="002D540A"/>
    <w:rsid w:val="002E4610"/>
    <w:rsid w:val="002E632B"/>
    <w:rsid w:val="002F42BC"/>
    <w:rsid w:val="002F42C1"/>
    <w:rsid w:val="00300A22"/>
    <w:rsid w:val="003111D6"/>
    <w:rsid w:val="00312F8B"/>
    <w:rsid w:val="00325243"/>
    <w:rsid w:val="00335DEC"/>
    <w:rsid w:val="00340E62"/>
    <w:rsid w:val="00341FA6"/>
    <w:rsid w:val="003422CA"/>
    <w:rsid w:val="00345F70"/>
    <w:rsid w:val="00347AC9"/>
    <w:rsid w:val="003526CE"/>
    <w:rsid w:val="00353427"/>
    <w:rsid w:val="00354E07"/>
    <w:rsid w:val="00355B37"/>
    <w:rsid w:val="00384D65"/>
    <w:rsid w:val="00386C08"/>
    <w:rsid w:val="0038789D"/>
    <w:rsid w:val="00391CB4"/>
    <w:rsid w:val="003A130E"/>
    <w:rsid w:val="003A1397"/>
    <w:rsid w:val="003A2441"/>
    <w:rsid w:val="003A6155"/>
    <w:rsid w:val="003A7156"/>
    <w:rsid w:val="003B397B"/>
    <w:rsid w:val="003B5E2C"/>
    <w:rsid w:val="003C10CC"/>
    <w:rsid w:val="003C1463"/>
    <w:rsid w:val="003C1BC2"/>
    <w:rsid w:val="003C49BB"/>
    <w:rsid w:val="003D0321"/>
    <w:rsid w:val="003D0B86"/>
    <w:rsid w:val="003E27AB"/>
    <w:rsid w:val="003E339A"/>
    <w:rsid w:val="003F24E8"/>
    <w:rsid w:val="003F303C"/>
    <w:rsid w:val="003F6DD4"/>
    <w:rsid w:val="003F7FD5"/>
    <w:rsid w:val="004025B3"/>
    <w:rsid w:val="00411E27"/>
    <w:rsid w:val="00420BFA"/>
    <w:rsid w:val="00424CB2"/>
    <w:rsid w:val="004268CE"/>
    <w:rsid w:val="00427C53"/>
    <w:rsid w:val="004417EC"/>
    <w:rsid w:val="00442B5D"/>
    <w:rsid w:val="004437C5"/>
    <w:rsid w:val="00443931"/>
    <w:rsid w:val="00446FD2"/>
    <w:rsid w:val="004548D9"/>
    <w:rsid w:val="0047270A"/>
    <w:rsid w:val="00477B63"/>
    <w:rsid w:val="0048147E"/>
    <w:rsid w:val="004903CF"/>
    <w:rsid w:val="00494F06"/>
    <w:rsid w:val="004967D0"/>
    <w:rsid w:val="004A2242"/>
    <w:rsid w:val="004A2910"/>
    <w:rsid w:val="004B06A5"/>
    <w:rsid w:val="004B074E"/>
    <w:rsid w:val="004B4A09"/>
    <w:rsid w:val="004C06D6"/>
    <w:rsid w:val="004C4C88"/>
    <w:rsid w:val="004C62B4"/>
    <w:rsid w:val="004C7227"/>
    <w:rsid w:val="004D2B66"/>
    <w:rsid w:val="004E0019"/>
    <w:rsid w:val="004E2B68"/>
    <w:rsid w:val="004F0D89"/>
    <w:rsid w:val="004F4361"/>
    <w:rsid w:val="004F4A23"/>
    <w:rsid w:val="004F5C74"/>
    <w:rsid w:val="00501515"/>
    <w:rsid w:val="00501972"/>
    <w:rsid w:val="005037A7"/>
    <w:rsid w:val="005045C1"/>
    <w:rsid w:val="00507A61"/>
    <w:rsid w:val="00513AF5"/>
    <w:rsid w:val="00516005"/>
    <w:rsid w:val="00521A96"/>
    <w:rsid w:val="00544475"/>
    <w:rsid w:val="00551C32"/>
    <w:rsid w:val="0055337E"/>
    <w:rsid w:val="00561B21"/>
    <w:rsid w:val="00585962"/>
    <w:rsid w:val="00595B07"/>
    <w:rsid w:val="005A0BB1"/>
    <w:rsid w:val="005A79E4"/>
    <w:rsid w:val="005B2E79"/>
    <w:rsid w:val="005B4F90"/>
    <w:rsid w:val="005B5C78"/>
    <w:rsid w:val="005B6DB5"/>
    <w:rsid w:val="005C7C0F"/>
    <w:rsid w:val="005E1E6D"/>
    <w:rsid w:val="005E43D3"/>
    <w:rsid w:val="005E4665"/>
    <w:rsid w:val="005E518D"/>
    <w:rsid w:val="005F3B31"/>
    <w:rsid w:val="005F6646"/>
    <w:rsid w:val="00600398"/>
    <w:rsid w:val="00606DE0"/>
    <w:rsid w:val="00617CB2"/>
    <w:rsid w:val="006219E9"/>
    <w:rsid w:val="00623548"/>
    <w:rsid w:val="00626FBF"/>
    <w:rsid w:val="006351C2"/>
    <w:rsid w:val="00644DE8"/>
    <w:rsid w:val="00647DA5"/>
    <w:rsid w:val="0066767F"/>
    <w:rsid w:val="00682693"/>
    <w:rsid w:val="00695DBD"/>
    <w:rsid w:val="006A1DDD"/>
    <w:rsid w:val="006A2CA1"/>
    <w:rsid w:val="006B166D"/>
    <w:rsid w:val="006B2585"/>
    <w:rsid w:val="006B3D97"/>
    <w:rsid w:val="006E1858"/>
    <w:rsid w:val="006E2491"/>
    <w:rsid w:val="006E451C"/>
    <w:rsid w:val="006E7EEF"/>
    <w:rsid w:val="007104F1"/>
    <w:rsid w:val="007135FF"/>
    <w:rsid w:val="00714612"/>
    <w:rsid w:val="00715829"/>
    <w:rsid w:val="00721177"/>
    <w:rsid w:val="00721E1F"/>
    <w:rsid w:val="0072540F"/>
    <w:rsid w:val="00732237"/>
    <w:rsid w:val="0073602F"/>
    <w:rsid w:val="0073731C"/>
    <w:rsid w:val="00752509"/>
    <w:rsid w:val="0075530B"/>
    <w:rsid w:val="00777098"/>
    <w:rsid w:val="00781B56"/>
    <w:rsid w:val="00786B0A"/>
    <w:rsid w:val="007917AA"/>
    <w:rsid w:val="00796C58"/>
    <w:rsid w:val="007B41DC"/>
    <w:rsid w:val="007B5106"/>
    <w:rsid w:val="007C4C3C"/>
    <w:rsid w:val="00807A30"/>
    <w:rsid w:val="008118E7"/>
    <w:rsid w:val="0081792F"/>
    <w:rsid w:val="00827241"/>
    <w:rsid w:val="0082751B"/>
    <w:rsid w:val="00827D26"/>
    <w:rsid w:val="00832AF9"/>
    <w:rsid w:val="008346FE"/>
    <w:rsid w:val="00845204"/>
    <w:rsid w:val="00850B14"/>
    <w:rsid w:val="00851412"/>
    <w:rsid w:val="008535B8"/>
    <w:rsid w:val="00856DE4"/>
    <w:rsid w:val="0086114D"/>
    <w:rsid w:val="008623DF"/>
    <w:rsid w:val="00863345"/>
    <w:rsid w:val="008640F4"/>
    <w:rsid w:val="00864A9D"/>
    <w:rsid w:val="008669BC"/>
    <w:rsid w:val="00880EEE"/>
    <w:rsid w:val="00895F7F"/>
    <w:rsid w:val="00896885"/>
    <w:rsid w:val="008A4635"/>
    <w:rsid w:val="008B0512"/>
    <w:rsid w:val="008B3B44"/>
    <w:rsid w:val="008C050F"/>
    <w:rsid w:val="008D091E"/>
    <w:rsid w:val="008D1A79"/>
    <w:rsid w:val="008D2A33"/>
    <w:rsid w:val="008D7014"/>
    <w:rsid w:val="008E586D"/>
    <w:rsid w:val="008E68D3"/>
    <w:rsid w:val="008F03DF"/>
    <w:rsid w:val="008F097F"/>
    <w:rsid w:val="008F14DA"/>
    <w:rsid w:val="008F30B3"/>
    <w:rsid w:val="008F4CBC"/>
    <w:rsid w:val="008F5E84"/>
    <w:rsid w:val="008F66E4"/>
    <w:rsid w:val="008F7DF6"/>
    <w:rsid w:val="00902A2C"/>
    <w:rsid w:val="00906BB6"/>
    <w:rsid w:val="00911EC4"/>
    <w:rsid w:val="00915891"/>
    <w:rsid w:val="00932BC5"/>
    <w:rsid w:val="00933137"/>
    <w:rsid w:val="00934292"/>
    <w:rsid w:val="00934D34"/>
    <w:rsid w:val="00937938"/>
    <w:rsid w:val="0094588C"/>
    <w:rsid w:val="009471F3"/>
    <w:rsid w:val="009543F9"/>
    <w:rsid w:val="00954FB3"/>
    <w:rsid w:val="00956483"/>
    <w:rsid w:val="009617F1"/>
    <w:rsid w:val="00965627"/>
    <w:rsid w:val="00966B2D"/>
    <w:rsid w:val="0097281F"/>
    <w:rsid w:val="00983A36"/>
    <w:rsid w:val="00984149"/>
    <w:rsid w:val="009908E7"/>
    <w:rsid w:val="0099270C"/>
    <w:rsid w:val="009A08E0"/>
    <w:rsid w:val="009A1F0E"/>
    <w:rsid w:val="009A655A"/>
    <w:rsid w:val="009B657A"/>
    <w:rsid w:val="009B6A37"/>
    <w:rsid w:val="009C2AAB"/>
    <w:rsid w:val="009D3072"/>
    <w:rsid w:val="009D5711"/>
    <w:rsid w:val="009E370B"/>
    <w:rsid w:val="009E3D7D"/>
    <w:rsid w:val="009F06E7"/>
    <w:rsid w:val="009F1BB1"/>
    <w:rsid w:val="00A007FF"/>
    <w:rsid w:val="00A05FFC"/>
    <w:rsid w:val="00A1103C"/>
    <w:rsid w:val="00A151ED"/>
    <w:rsid w:val="00A15576"/>
    <w:rsid w:val="00A23E30"/>
    <w:rsid w:val="00A32F21"/>
    <w:rsid w:val="00A349AA"/>
    <w:rsid w:val="00A41867"/>
    <w:rsid w:val="00A45FC6"/>
    <w:rsid w:val="00A46D13"/>
    <w:rsid w:val="00A53CC5"/>
    <w:rsid w:val="00A57B56"/>
    <w:rsid w:val="00A608A6"/>
    <w:rsid w:val="00A71A13"/>
    <w:rsid w:val="00A74850"/>
    <w:rsid w:val="00A84BE8"/>
    <w:rsid w:val="00A94B7F"/>
    <w:rsid w:val="00A97D3D"/>
    <w:rsid w:val="00AA0C5A"/>
    <w:rsid w:val="00AA38DF"/>
    <w:rsid w:val="00AA4AE5"/>
    <w:rsid w:val="00AA6796"/>
    <w:rsid w:val="00AA70BD"/>
    <w:rsid w:val="00AB2615"/>
    <w:rsid w:val="00AB3914"/>
    <w:rsid w:val="00AB3FD1"/>
    <w:rsid w:val="00AB4FCC"/>
    <w:rsid w:val="00AB74A0"/>
    <w:rsid w:val="00AC1F34"/>
    <w:rsid w:val="00AC21F5"/>
    <w:rsid w:val="00AD18D1"/>
    <w:rsid w:val="00AE6829"/>
    <w:rsid w:val="00B06D60"/>
    <w:rsid w:val="00B14418"/>
    <w:rsid w:val="00B21FFB"/>
    <w:rsid w:val="00B27820"/>
    <w:rsid w:val="00B31C17"/>
    <w:rsid w:val="00B36521"/>
    <w:rsid w:val="00B3718D"/>
    <w:rsid w:val="00B577DE"/>
    <w:rsid w:val="00B70B50"/>
    <w:rsid w:val="00B71731"/>
    <w:rsid w:val="00B77D5C"/>
    <w:rsid w:val="00B82878"/>
    <w:rsid w:val="00B85324"/>
    <w:rsid w:val="00B878EF"/>
    <w:rsid w:val="00B90C1B"/>
    <w:rsid w:val="00B911CB"/>
    <w:rsid w:val="00B9325A"/>
    <w:rsid w:val="00BA56B3"/>
    <w:rsid w:val="00BA7ADD"/>
    <w:rsid w:val="00BB5A6A"/>
    <w:rsid w:val="00BB5E7B"/>
    <w:rsid w:val="00BC079E"/>
    <w:rsid w:val="00BC0F39"/>
    <w:rsid w:val="00BC7473"/>
    <w:rsid w:val="00BD3552"/>
    <w:rsid w:val="00BE3252"/>
    <w:rsid w:val="00BE67B1"/>
    <w:rsid w:val="00BF390B"/>
    <w:rsid w:val="00C01E28"/>
    <w:rsid w:val="00C04D21"/>
    <w:rsid w:val="00C24499"/>
    <w:rsid w:val="00C2756B"/>
    <w:rsid w:val="00C419B6"/>
    <w:rsid w:val="00C468D0"/>
    <w:rsid w:val="00C57F3C"/>
    <w:rsid w:val="00C6082E"/>
    <w:rsid w:val="00C7051B"/>
    <w:rsid w:val="00C82D64"/>
    <w:rsid w:val="00C8309A"/>
    <w:rsid w:val="00C86866"/>
    <w:rsid w:val="00C8701A"/>
    <w:rsid w:val="00C92ADE"/>
    <w:rsid w:val="00C93F74"/>
    <w:rsid w:val="00C95A3C"/>
    <w:rsid w:val="00C96EDC"/>
    <w:rsid w:val="00CA104C"/>
    <w:rsid w:val="00CA6835"/>
    <w:rsid w:val="00CA731C"/>
    <w:rsid w:val="00CA7ED2"/>
    <w:rsid w:val="00CB1987"/>
    <w:rsid w:val="00CC2836"/>
    <w:rsid w:val="00CD2923"/>
    <w:rsid w:val="00CE222C"/>
    <w:rsid w:val="00CE4DD8"/>
    <w:rsid w:val="00CE7E10"/>
    <w:rsid w:val="00CF1B19"/>
    <w:rsid w:val="00CF51BB"/>
    <w:rsid w:val="00D02A50"/>
    <w:rsid w:val="00D10548"/>
    <w:rsid w:val="00D11FFA"/>
    <w:rsid w:val="00D12080"/>
    <w:rsid w:val="00D264E6"/>
    <w:rsid w:val="00D34275"/>
    <w:rsid w:val="00D47439"/>
    <w:rsid w:val="00D47C98"/>
    <w:rsid w:val="00D52666"/>
    <w:rsid w:val="00D552E9"/>
    <w:rsid w:val="00D55879"/>
    <w:rsid w:val="00D73D15"/>
    <w:rsid w:val="00D810AB"/>
    <w:rsid w:val="00D8799B"/>
    <w:rsid w:val="00D915C6"/>
    <w:rsid w:val="00D95317"/>
    <w:rsid w:val="00DA0F8C"/>
    <w:rsid w:val="00DA1875"/>
    <w:rsid w:val="00DC2ADD"/>
    <w:rsid w:val="00DC55AC"/>
    <w:rsid w:val="00DC71C5"/>
    <w:rsid w:val="00DD0A55"/>
    <w:rsid w:val="00DD4BF6"/>
    <w:rsid w:val="00DF242F"/>
    <w:rsid w:val="00E039CD"/>
    <w:rsid w:val="00E13FF4"/>
    <w:rsid w:val="00E151D7"/>
    <w:rsid w:val="00E20E23"/>
    <w:rsid w:val="00E22433"/>
    <w:rsid w:val="00E274E6"/>
    <w:rsid w:val="00E32F72"/>
    <w:rsid w:val="00E341A5"/>
    <w:rsid w:val="00E3592C"/>
    <w:rsid w:val="00E40184"/>
    <w:rsid w:val="00E44D37"/>
    <w:rsid w:val="00E47823"/>
    <w:rsid w:val="00E53E1A"/>
    <w:rsid w:val="00E54FA8"/>
    <w:rsid w:val="00E55159"/>
    <w:rsid w:val="00E61AEC"/>
    <w:rsid w:val="00E847FE"/>
    <w:rsid w:val="00E86614"/>
    <w:rsid w:val="00EA11C3"/>
    <w:rsid w:val="00EA2A31"/>
    <w:rsid w:val="00EA3129"/>
    <w:rsid w:val="00EA3AB7"/>
    <w:rsid w:val="00EB143A"/>
    <w:rsid w:val="00EB1D7D"/>
    <w:rsid w:val="00EC3B48"/>
    <w:rsid w:val="00EC7D7C"/>
    <w:rsid w:val="00ED5439"/>
    <w:rsid w:val="00ED733A"/>
    <w:rsid w:val="00ED7757"/>
    <w:rsid w:val="00EE0BD5"/>
    <w:rsid w:val="00EE54FF"/>
    <w:rsid w:val="00EF3CEA"/>
    <w:rsid w:val="00EF5C54"/>
    <w:rsid w:val="00EF6812"/>
    <w:rsid w:val="00F04F4C"/>
    <w:rsid w:val="00F10D21"/>
    <w:rsid w:val="00F1288F"/>
    <w:rsid w:val="00F22B5C"/>
    <w:rsid w:val="00F27E69"/>
    <w:rsid w:val="00F30B0B"/>
    <w:rsid w:val="00F4543A"/>
    <w:rsid w:val="00F503B9"/>
    <w:rsid w:val="00F53D45"/>
    <w:rsid w:val="00F57963"/>
    <w:rsid w:val="00F638F5"/>
    <w:rsid w:val="00F63BD2"/>
    <w:rsid w:val="00F70A5D"/>
    <w:rsid w:val="00F80DF5"/>
    <w:rsid w:val="00F80F75"/>
    <w:rsid w:val="00F953BF"/>
    <w:rsid w:val="00FA1873"/>
    <w:rsid w:val="00FA6B0A"/>
    <w:rsid w:val="00FA71FD"/>
    <w:rsid w:val="00FB1B15"/>
    <w:rsid w:val="00FB7D28"/>
    <w:rsid w:val="00FC0577"/>
    <w:rsid w:val="00FC0737"/>
    <w:rsid w:val="00FC3144"/>
    <w:rsid w:val="00FC4D9D"/>
    <w:rsid w:val="00FD257E"/>
    <w:rsid w:val="00FE225C"/>
    <w:rsid w:val="00FE71F1"/>
    <w:rsid w:val="00FF4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70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77098"/>
    <w:pPr>
      <w:keepNext/>
      <w:keepLines/>
      <w:numPr>
        <w:numId w:val="3"/>
      </w:numPr>
      <w:spacing w:before="240" w:after="240" w:line="360" w:lineRule="auto"/>
      <w:ind w:left="227" w:hanging="227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1972"/>
    <w:pPr>
      <w:keepNext/>
      <w:keepLines/>
      <w:numPr>
        <w:ilvl w:val="1"/>
        <w:numId w:val="3"/>
      </w:numPr>
      <w:spacing w:before="240" w:after="240"/>
      <w:ind w:left="578" w:hanging="578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46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46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46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46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46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46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77098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0197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5037A7"/>
    <w:pPr>
      <w:tabs>
        <w:tab w:val="left" w:pos="851"/>
      </w:tabs>
      <w:spacing w:line="240" w:lineRule="auto"/>
      <w:ind w:left="2268"/>
    </w:pPr>
    <w:rPr>
      <w:rFonts w:eastAsia="Arial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37A7"/>
    <w:rPr>
      <w:rFonts w:ascii="Times New Roman" w:eastAsia="Arial" w:hAnsi="Times New Roman" w:cs="Times New Roman"/>
      <w:iCs/>
      <w:color w:val="000000" w:themeColor="text1"/>
    </w:rPr>
  </w:style>
  <w:style w:type="paragraph" w:customStyle="1" w:styleId="Texto">
    <w:name w:val="Texto"/>
    <w:basedOn w:val="Normal"/>
    <w:rsid w:val="001F132E"/>
    <w:pPr>
      <w:suppressAutoHyphens/>
    </w:pPr>
    <w:rPr>
      <w:rFonts w:ascii="Arial" w:eastAsia="Calibri" w:hAnsi="Arial" w:cs="Arial"/>
      <w:lang w:eastAsia="zh-CN"/>
    </w:rPr>
  </w:style>
  <w:style w:type="paragraph" w:styleId="PargrafodaLista">
    <w:name w:val="List Paragraph"/>
    <w:basedOn w:val="Normal"/>
    <w:uiPriority w:val="34"/>
    <w:qFormat/>
    <w:rsid w:val="002A045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3C146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46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ernciaIntensa">
    <w:name w:val="Intense Reference"/>
    <w:basedOn w:val="Fontepargpadro"/>
    <w:uiPriority w:val="32"/>
    <w:qFormat/>
    <w:rsid w:val="00AA38DF"/>
    <w:rPr>
      <w:b/>
      <w:bCs/>
      <w:smallCaps/>
      <w:color w:val="5B9BD5" w:themeColor="accent1"/>
      <w:spacing w:val="5"/>
    </w:rPr>
  </w:style>
  <w:style w:type="paragraph" w:customStyle="1" w:styleId="REFSFINAIS">
    <w:name w:val="REFS FINAIS"/>
    <w:basedOn w:val="Normal"/>
    <w:link w:val="REFSFINAISChar"/>
    <w:qFormat/>
    <w:rsid w:val="002E632B"/>
    <w:pPr>
      <w:spacing w:line="240" w:lineRule="auto"/>
      <w:ind w:firstLine="0"/>
      <w:jc w:val="left"/>
    </w:pPr>
    <w:rPr>
      <w:rFonts w:eastAsia="Arial" w:cs="Times New Roman"/>
      <w:spacing w:val="-2"/>
      <w:szCs w:val="24"/>
    </w:rPr>
  </w:style>
  <w:style w:type="paragraph" w:styleId="Textodenotaderodap">
    <w:name w:val="footnote text"/>
    <w:link w:val="TextodenotaderodapChar"/>
    <w:uiPriority w:val="99"/>
    <w:unhideWhenUsed/>
    <w:qFormat/>
    <w:rsid w:val="005B6DB5"/>
    <w:pPr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REFSFINAISChar">
    <w:name w:val="REFS FINAIS Char"/>
    <w:basedOn w:val="Fontepargpadro"/>
    <w:link w:val="REFSFINAIS"/>
    <w:rsid w:val="002E632B"/>
    <w:rPr>
      <w:rFonts w:ascii="Times New Roman" w:eastAsia="Arial" w:hAnsi="Times New Roman" w:cs="Times New Roman"/>
      <w:spacing w:val="-2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B6DB5"/>
    <w:rPr>
      <w:rFonts w:ascii="Times New Roman" w:hAnsi="Times New Roman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04F4C"/>
    <w:rPr>
      <w:vertAlign w:val="superscript"/>
    </w:rPr>
  </w:style>
  <w:style w:type="paragraph" w:customStyle="1" w:styleId="notaderodap">
    <w:name w:val="nota de rodapé"/>
    <w:basedOn w:val="Rodap"/>
    <w:link w:val="notaderodapChar"/>
    <w:qFormat/>
    <w:rsid w:val="00F04F4C"/>
  </w:style>
  <w:style w:type="character" w:customStyle="1" w:styleId="notaderodapChar">
    <w:name w:val="nota de rodapé Char"/>
    <w:basedOn w:val="RodapChar"/>
    <w:link w:val="notaderodap"/>
    <w:rsid w:val="00F04F4C"/>
    <w:rPr>
      <w:rFonts w:ascii="Times New Roman" w:hAnsi="Times New Roman"/>
      <w:sz w:val="24"/>
    </w:rPr>
  </w:style>
  <w:style w:type="paragraph" w:customStyle="1" w:styleId="Normal1">
    <w:name w:val="Normal1"/>
    <w:rsid w:val="0097281F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pdf/rac/v11n2/a12v11n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B993D-72DC-4567-91BE-9A44A3F8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3228</Words>
  <Characters>17435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20622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Usuario</cp:lastModifiedBy>
  <cp:revision>2</cp:revision>
  <dcterms:created xsi:type="dcterms:W3CDTF">2023-07-31T13:17:00Z</dcterms:created>
  <dcterms:modified xsi:type="dcterms:W3CDTF">2023-07-31T13:17:00Z</dcterms:modified>
</cp:coreProperties>
</file>