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E33B7" w14:textId="77777777" w:rsidR="00AA4AE5" w:rsidRPr="00DD4BF6" w:rsidRDefault="002770E2" w:rsidP="00B3717E">
      <w:pPr>
        <w:ind w:firstLine="0"/>
        <w:jc w:val="center"/>
        <w:rPr>
          <w:rFonts w:eastAsia="Arial" w:cs="Times New Roman"/>
          <w:b/>
          <w:szCs w:val="24"/>
        </w:rPr>
      </w:pPr>
      <w:r w:rsidRPr="00DD4BF6">
        <w:rPr>
          <w:rFonts w:eastAsia="Arial" w:cs="Times New Roman"/>
          <w:b/>
          <w:szCs w:val="24"/>
        </w:rPr>
        <w:t xml:space="preserve">GT </w:t>
      </w:r>
      <w:r w:rsidR="001D32C9" w:rsidRPr="00DD4BF6">
        <w:rPr>
          <w:rFonts w:eastAsia="Arial" w:cs="Times New Roman"/>
          <w:b/>
          <w:szCs w:val="24"/>
        </w:rPr>
        <w:t>CASOS PARA ENSINO</w:t>
      </w:r>
    </w:p>
    <w:p w14:paraId="38B29B58" w14:textId="77777777" w:rsidR="00AA4AE5" w:rsidRPr="00DD4BF6" w:rsidRDefault="00AA4AE5" w:rsidP="00B3717E">
      <w:pPr>
        <w:ind w:firstLine="0"/>
        <w:jc w:val="center"/>
        <w:rPr>
          <w:rFonts w:eastAsia="Arial" w:cs="Times New Roman"/>
          <w:b/>
          <w:szCs w:val="24"/>
        </w:rPr>
      </w:pPr>
    </w:p>
    <w:p w14:paraId="36FE4AB9" w14:textId="1229F3FA" w:rsidR="00AA4AE5" w:rsidRPr="00DD6734" w:rsidRDefault="00AD18D1" w:rsidP="00B3717E">
      <w:pPr>
        <w:ind w:firstLine="0"/>
        <w:jc w:val="center"/>
        <w:rPr>
          <w:rFonts w:eastAsia="Arial" w:cs="Times New Roman"/>
          <w:b/>
          <w:szCs w:val="24"/>
        </w:rPr>
      </w:pPr>
      <w:r w:rsidRPr="00DD6734">
        <w:rPr>
          <w:rFonts w:eastAsia="Arial" w:cs="Times New Roman"/>
          <w:b/>
          <w:szCs w:val="24"/>
        </w:rPr>
        <w:t>CONTRAT</w:t>
      </w:r>
      <w:r w:rsidR="00DD6734" w:rsidRPr="00DD6734">
        <w:rPr>
          <w:rFonts w:eastAsia="Arial" w:cs="Times New Roman"/>
          <w:b/>
          <w:szCs w:val="24"/>
        </w:rPr>
        <w:t>O DE PROMESSA DE COMPRA E VENDA DE IMÓVEL</w:t>
      </w:r>
      <w:r w:rsidR="00CE10D3">
        <w:rPr>
          <w:rFonts w:eastAsia="Arial" w:cs="Times New Roman"/>
          <w:b/>
          <w:szCs w:val="24"/>
        </w:rPr>
        <w:t>: CASO PARA ENSINO COM POSSIBILIDADE DE SIMULAÇÃO DA CONTRATAÇÃO</w:t>
      </w:r>
    </w:p>
    <w:p w14:paraId="49C3077C" w14:textId="47221C89" w:rsidR="00FA3A6B" w:rsidRDefault="00FA3A6B" w:rsidP="00FA3A6B">
      <w:pPr>
        <w:ind w:firstLine="0"/>
        <w:rPr>
          <w:rFonts w:eastAsia="Arial" w:cs="Times New Roman"/>
          <w:szCs w:val="24"/>
        </w:rPr>
      </w:pPr>
    </w:p>
    <w:p w14:paraId="52837BA6" w14:textId="77777777" w:rsidR="00F30A22" w:rsidRDefault="00F30A22" w:rsidP="00F30A22">
      <w:pPr>
        <w:jc w:val="right"/>
        <w:rPr>
          <w:rFonts w:eastAsia="Times New Roman" w:cs="Times New Roman"/>
          <w:szCs w:val="24"/>
        </w:rPr>
      </w:pPr>
      <w:r>
        <w:rPr>
          <w:rFonts w:eastAsia="Arial" w:cs="Times New Roman"/>
          <w:szCs w:val="24"/>
        </w:rPr>
        <w:t xml:space="preserve">Lívia </w:t>
      </w:r>
      <w:proofErr w:type="spellStart"/>
      <w:r>
        <w:rPr>
          <w:rFonts w:eastAsia="Arial" w:cs="Times New Roman"/>
          <w:szCs w:val="24"/>
        </w:rPr>
        <w:t>Carmélia</w:t>
      </w:r>
      <w:proofErr w:type="spellEnd"/>
      <w:r>
        <w:rPr>
          <w:rFonts w:eastAsia="Arial" w:cs="Times New Roman"/>
          <w:szCs w:val="24"/>
        </w:rPr>
        <w:t xml:space="preserve"> Nascimento Costa</w:t>
      </w:r>
      <w:r>
        <w:rPr>
          <w:rStyle w:val="Refdenotaderodap"/>
          <w:rFonts w:eastAsia="Arial" w:cs="Times New Roman"/>
          <w:szCs w:val="24"/>
        </w:rPr>
        <w:footnoteReference w:customMarkFollows="1" w:id="1"/>
        <w:t>*</w:t>
      </w:r>
    </w:p>
    <w:p w14:paraId="2305C9F4" w14:textId="77777777" w:rsidR="00A9549C" w:rsidRDefault="00A9549C" w:rsidP="00A9549C">
      <w:pPr>
        <w:jc w:val="right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Ana Julia Lopes Palmeira</w:t>
      </w:r>
      <w:r>
        <w:rPr>
          <w:rStyle w:val="Refdenotaderodap"/>
          <w:rFonts w:eastAsia="Arial" w:cs="Times New Roman"/>
          <w:szCs w:val="24"/>
        </w:rPr>
        <w:footnoteReference w:customMarkFollows="1" w:id="2"/>
        <w:t>**</w:t>
      </w:r>
    </w:p>
    <w:p w14:paraId="228634B3" w14:textId="77777777" w:rsidR="00A9549C" w:rsidRDefault="00A9549C" w:rsidP="00A9549C">
      <w:pPr>
        <w:jc w:val="right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Fábio Luiz de Oliveira Bezerra</w:t>
      </w:r>
      <w:r>
        <w:rPr>
          <w:rStyle w:val="Refdenotaderodap"/>
          <w:rFonts w:eastAsia="Arial" w:cs="Times New Roman"/>
          <w:szCs w:val="24"/>
        </w:rPr>
        <w:footnoteReference w:customMarkFollows="1" w:id="3"/>
        <w:t>***</w:t>
      </w:r>
    </w:p>
    <w:p w14:paraId="0D022D00" w14:textId="77777777" w:rsidR="00B457D2" w:rsidRDefault="00B457D2" w:rsidP="00B3717E">
      <w:pPr>
        <w:jc w:val="right"/>
        <w:rPr>
          <w:rFonts w:eastAsia="Arial" w:cs="Times New Roman"/>
          <w:szCs w:val="24"/>
        </w:rPr>
      </w:pPr>
      <w:bookmarkStart w:id="0" w:name="_GoBack"/>
      <w:bookmarkEnd w:id="0"/>
    </w:p>
    <w:p w14:paraId="5B7C1D92" w14:textId="77777777" w:rsidR="0055337E" w:rsidRPr="00DD4BF6" w:rsidRDefault="009617F1" w:rsidP="00932BC5">
      <w:pPr>
        <w:spacing w:line="240" w:lineRule="auto"/>
        <w:ind w:firstLine="0"/>
        <w:rPr>
          <w:rFonts w:eastAsia="Arial" w:cs="Times New Roman"/>
          <w:b/>
          <w:caps/>
          <w:szCs w:val="24"/>
        </w:rPr>
      </w:pPr>
      <w:r w:rsidRPr="00DD4BF6">
        <w:rPr>
          <w:rFonts w:eastAsia="Arial" w:cs="Times New Roman"/>
          <w:b/>
          <w:caps/>
          <w:szCs w:val="24"/>
        </w:rPr>
        <w:t>Resumo</w:t>
      </w:r>
    </w:p>
    <w:p w14:paraId="6F13BC44" w14:textId="6A27A979" w:rsidR="005045C1" w:rsidRDefault="003F303C" w:rsidP="00DB2DF6">
      <w:pPr>
        <w:spacing w:line="240" w:lineRule="auto"/>
        <w:ind w:firstLine="0"/>
        <w:rPr>
          <w:rFonts w:eastAsia="Arial"/>
          <w:color w:val="000000" w:themeColor="text1"/>
        </w:rPr>
      </w:pPr>
      <w:r w:rsidRPr="00A82C5D">
        <w:rPr>
          <w:rFonts w:eastAsia="Arial"/>
          <w:color w:val="000000" w:themeColor="text1"/>
        </w:rPr>
        <w:t>O presente caso de ensino</w:t>
      </w:r>
      <w:r w:rsidR="00F715D6" w:rsidRPr="00A82C5D">
        <w:rPr>
          <w:rFonts w:eastAsia="Arial"/>
          <w:color w:val="000000" w:themeColor="text1"/>
        </w:rPr>
        <w:t>, desenhado para aplicação no âmbito do Direito Civil,</w:t>
      </w:r>
      <w:r w:rsidRPr="00A82C5D">
        <w:rPr>
          <w:rFonts w:eastAsia="Arial"/>
          <w:color w:val="000000" w:themeColor="text1"/>
        </w:rPr>
        <w:t xml:space="preserve"> descreve a situação</w:t>
      </w:r>
      <w:r w:rsidR="00F715D6" w:rsidRPr="00A82C5D">
        <w:rPr>
          <w:rFonts w:eastAsia="Arial"/>
          <w:color w:val="000000" w:themeColor="text1"/>
        </w:rPr>
        <w:t xml:space="preserve"> fática e jurídica</w:t>
      </w:r>
      <w:r w:rsidRPr="00A82C5D">
        <w:rPr>
          <w:rFonts w:eastAsia="Arial"/>
          <w:color w:val="000000" w:themeColor="text1"/>
        </w:rPr>
        <w:t xml:space="preserve"> em que se encontra um </w:t>
      </w:r>
      <w:r w:rsidR="009473B1" w:rsidRPr="00A82C5D">
        <w:rPr>
          <w:rFonts w:eastAsia="Arial"/>
          <w:color w:val="000000" w:themeColor="text1"/>
        </w:rPr>
        <w:t xml:space="preserve">casal </w:t>
      </w:r>
      <w:r w:rsidR="00120B6B" w:rsidRPr="00A82C5D">
        <w:rPr>
          <w:rFonts w:eastAsia="Arial"/>
          <w:color w:val="000000" w:themeColor="text1"/>
        </w:rPr>
        <w:t xml:space="preserve">de </w:t>
      </w:r>
      <w:r w:rsidR="009473B1" w:rsidRPr="00A82C5D">
        <w:rPr>
          <w:rFonts w:eastAsia="Arial"/>
          <w:color w:val="000000" w:themeColor="text1"/>
        </w:rPr>
        <w:t>promitente</w:t>
      </w:r>
      <w:r w:rsidR="00120B6B" w:rsidRPr="00A82C5D">
        <w:rPr>
          <w:rFonts w:eastAsia="Arial"/>
          <w:color w:val="000000" w:themeColor="text1"/>
        </w:rPr>
        <w:t>s</w:t>
      </w:r>
      <w:r w:rsidR="009473B1" w:rsidRPr="00A82C5D">
        <w:rPr>
          <w:rFonts w:eastAsia="Arial"/>
          <w:color w:val="000000" w:themeColor="text1"/>
        </w:rPr>
        <w:t xml:space="preserve"> comprador</w:t>
      </w:r>
      <w:r w:rsidR="00120B6B" w:rsidRPr="00A82C5D">
        <w:rPr>
          <w:rFonts w:eastAsia="Arial"/>
          <w:color w:val="000000" w:themeColor="text1"/>
        </w:rPr>
        <w:t>es</w:t>
      </w:r>
      <w:r w:rsidR="009473B1" w:rsidRPr="00A82C5D">
        <w:rPr>
          <w:rFonts w:eastAsia="Arial"/>
          <w:color w:val="000000" w:themeColor="text1"/>
        </w:rPr>
        <w:t xml:space="preserve"> de um </w:t>
      </w:r>
      <w:r w:rsidR="00F715D6" w:rsidRPr="00A82C5D">
        <w:rPr>
          <w:rFonts w:eastAsia="Arial"/>
          <w:color w:val="000000" w:themeColor="text1"/>
        </w:rPr>
        <w:t xml:space="preserve">bem </w:t>
      </w:r>
      <w:r w:rsidR="009473B1" w:rsidRPr="00A82C5D">
        <w:rPr>
          <w:rFonts w:eastAsia="Arial"/>
          <w:color w:val="000000" w:themeColor="text1"/>
        </w:rPr>
        <w:t xml:space="preserve">imóvel, </w:t>
      </w:r>
      <w:r w:rsidR="00F715D6" w:rsidRPr="00A82C5D">
        <w:rPr>
          <w:rFonts w:eastAsia="Arial"/>
          <w:color w:val="000000" w:themeColor="text1"/>
        </w:rPr>
        <w:t xml:space="preserve">cuja negociação, em sede de </w:t>
      </w:r>
      <w:r w:rsidR="00120B6B" w:rsidRPr="00A82C5D">
        <w:rPr>
          <w:rFonts w:eastAsia="Arial"/>
          <w:color w:val="000000" w:themeColor="text1"/>
        </w:rPr>
        <w:t>contrato preliminar</w:t>
      </w:r>
      <w:r w:rsidR="00F715D6" w:rsidRPr="00A82C5D">
        <w:rPr>
          <w:rFonts w:eastAsia="Arial"/>
          <w:color w:val="000000" w:themeColor="text1"/>
        </w:rPr>
        <w:t>,</w:t>
      </w:r>
      <w:r w:rsidR="00120B6B" w:rsidRPr="00A82C5D">
        <w:rPr>
          <w:rFonts w:eastAsia="Arial"/>
          <w:color w:val="000000" w:themeColor="text1"/>
        </w:rPr>
        <w:t xml:space="preserve"> </w:t>
      </w:r>
      <w:r w:rsidR="00F715D6" w:rsidRPr="00A82C5D">
        <w:rPr>
          <w:rFonts w:eastAsia="Arial"/>
          <w:color w:val="000000" w:themeColor="text1"/>
        </w:rPr>
        <w:t xml:space="preserve">contou </w:t>
      </w:r>
      <w:r w:rsidR="00CC6375">
        <w:rPr>
          <w:rFonts w:eastAsia="Arial"/>
          <w:color w:val="000000" w:themeColor="text1"/>
        </w:rPr>
        <w:t xml:space="preserve">com </w:t>
      </w:r>
      <w:r w:rsidR="00760074" w:rsidRPr="00A82C5D">
        <w:rPr>
          <w:rFonts w:eastAsia="Arial"/>
          <w:color w:val="000000" w:themeColor="text1"/>
        </w:rPr>
        <w:t xml:space="preserve">a participação </w:t>
      </w:r>
      <w:r w:rsidR="000B3ACB">
        <w:rPr>
          <w:rFonts w:eastAsia="Arial"/>
          <w:color w:val="000000" w:themeColor="text1"/>
        </w:rPr>
        <w:t xml:space="preserve">apenas </w:t>
      </w:r>
      <w:r w:rsidR="00760074" w:rsidRPr="00A82C5D">
        <w:rPr>
          <w:rFonts w:eastAsia="Arial"/>
          <w:color w:val="000000" w:themeColor="text1"/>
        </w:rPr>
        <w:t>de</w:t>
      </w:r>
      <w:r w:rsidR="00F715D6" w:rsidRPr="00A82C5D">
        <w:rPr>
          <w:rFonts w:eastAsia="Arial"/>
          <w:color w:val="000000" w:themeColor="text1"/>
        </w:rPr>
        <w:t xml:space="preserve"> um dos cônjuges na posição de promitente vendedor, o que deu ensejo à problemática que se almeja discutir em sala de aula</w:t>
      </w:r>
      <w:r w:rsidR="009473B1" w:rsidRPr="00A82C5D">
        <w:rPr>
          <w:rFonts w:eastAsia="Arial"/>
          <w:color w:val="000000" w:themeColor="text1"/>
        </w:rPr>
        <w:t>. Nesse contexto,</w:t>
      </w:r>
      <w:r w:rsidR="00C04764" w:rsidRPr="00A82C5D">
        <w:rPr>
          <w:rFonts w:eastAsia="Arial"/>
          <w:color w:val="000000" w:themeColor="text1"/>
        </w:rPr>
        <w:t xml:space="preserve"> após a celebração do preliminar, os promitentes compradores</w:t>
      </w:r>
      <w:r w:rsidR="00A82C5D">
        <w:rPr>
          <w:rFonts w:eastAsia="Arial"/>
          <w:color w:val="000000" w:themeColor="text1"/>
        </w:rPr>
        <w:t>,</w:t>
      </w:r>
      <w:r w:rsidR="00C04764" w:rsidRPr="00A82C5D">
        <w:rPr>
          <w:rFonts w:eastAsia="Arial"/>
          <w:color w:val="000000" w:themeColor="text1"/>
        </w:rPr>
        <w:t xml:space="preserve"> além de descobrir</w:t>
      </w:r>
      <w:r w:rsidR="00A82C5D">
        <w:rPr>
          <w:rFonts w:eastAsia="Arial"/>
          <w:color w:val="000000" w:themeColor="text1"/>
        </w:rPr>
        <w:t>em</w:t>
      </w:r>
      <w:r w:rsidR="00C04764" w:rsidRPr="00A82C5D">
        <w:rPr>
          <w:rFonts w:eastAsia="Arial"/>
          <w:color w:val="000000" w:themeColor="text1"/>
        </w:rPr>
        <w:t xml:space="preserve"> que o imóvel não estava </w:t>
      </w:r>
      <w:r w:rsidR="00A82C5D">
        <w:rPr>
          <w:rFonts w:eastAsia="Arial"/>
          <w:color w:val="000000" w:themeColor="text1"/>
        </w:rPr>
        <w:t xml:space="preserve">registrado </w:t>
      </w:r>
      <w:r w:rsidR="00C04764" w:rsidRPr="00A82C5D">
        <w:rPr>
          <w:rFonts w:eastAsia="Arial"/>
          <w:color w:val="000000" w:themeColor="text1"/>
        </w:rPr>
        <w:t xml:space="preserve">no nome do promitente vendedor, </w:t>
      </w:r>
      <w:r w:rsidR="00A82C5D">
        <w:rPr>
          <w:rFonts w:eastAsia="Arial"/>
          <w:color w:val="000000" w:themeColor="text1"/>
        </w:rPr>
        <w:t>tiveram qu</w:t>
      </w:r>
      <w:r w:rsidR="00C04764" w:rsidRPr="00A82C5D">
        <w:rPr>
          <w:rFonts w:eastAsia="Arial"/>
          <w:color w:val="000000" w:themeColor="text1"/>
        </w:rPr>
        <w:t xml:space="preserve">e arcar com os débitos do imóvel e realizar </w:t>
      </w:r>
      <w:r w:rsidR="00304E5D">
        <w:rPr>
          <w:rFonts w:eastAsia="Arial"/>
          <w:color w:val="000000" w:themeColor="text1"/>
        </w:rPr>
        <w:t>os devidos adimplementos</w:t>
      </w:r>
      <w:r w:rsidR="00A82C5D">
        <w:rPr>
          <w:rFonts w:eastAsia="Arial"/>
          <w:color w:val="000000" w:themeColor="text1"/>
        </w:rPr>
        <w:t xml:space="preserve">, ocasião em que </w:t>
      </w:r>
      <w:r w:rsidRPr="00A82C5D">
        <w:rPr>
          <w:rFonts w:eastAsia="Arial"/>
          <w:color w:val="000000" w:themeColor="text1"/>
        </w:rPr>
        <w:t>busca</w:t>
      </w:r>
      <w:r w:rsidR="00A82C5D">
        <w:rPr>
          <w:rFonts w:eastAsia="Arial"/>
          <w:color w:val="000000" w:themeColor="text1"/>
        </w:rPr>
        <w:t>ram</w:t>
      </w:r>
      <w:r w:rsidRPr="00A82C5D">
        <w:rPr>
          <w:rFonts w:eastAsia="Arial"/>
          <w:color w:val="000000" w:themeColor="text1"/>
        </w:rPr>
        <w:t xml:space="preserve"> </w:t>
      </w:r>
      <w:r w:rsidR="00C04764" w:rsidRPr="00A82C5D">
        <w:rPr>
          <w:rFonts w:eastAsia="Arial"/>
          <w:color w:val="000000" w:themeColor="text1"/>
        </w:rPr>
        <w:t>auxílio advocatício</w:t>
      </w:r>
      <w:r w:rsidR="00A82C5D">
        <w:rPr>
          <w:rFonts w:eastAsia="Arial"/>
          <w:color w:val="000000" w:themeColor="text1"/>
        </w:rPr>
        <w:t xml:space="preserve">, na tentativa de </w:t>
      </w:r>
      <w:r w:rsidR="009473B1" w:rsidRPr="00A82C5D">
        <w:rPr>
          <w:rFonts w:eastAsia="Arial"/>
          <w:color w:val="000000" w:themeColor="text1"/>
        </w:rPr>
        <w:t xml:space="preserve">escriturar o </w:t>
      </w:r>
      <w:r w:rsidR="00A82C5D">
        <w:rPr>
          <w:rFonts w:eastAsia="Arial"/>
          <w:color w:val="000000" w:themeColor="text1"/>
        </w:rPr>
        <w:t>bem</w:t>
      </w:r>
      <w:r w:rsidR="00C04764" w:rsidRPr="00A82C5D">
        <w:rPr>
          <w:rFonts w:eastAsia="Arial"/>
          <w:color w:val="000000" w:themeColor="text1"/>
        </w:rPr>
        <w:t xml:space="preserve">. Diante disso, pretende-se colocar os discentes numa posição de tomadores de decisões, no </w:t>
      </w:r>
      <w:r w:rsidR="001D736D" w:rsidRPr="00A82C5D">
        <w:rPr>
          <w:rFonts w:eastAsia="Arial"/>
          <w:color w:val="000000" w:themeColor="text1"/>
        </w:rPr>
        <w:t xml:space="preserve">objetivo </w:t>
      </w:r>
      <w:r w:rsidR="00C04764" w:rsidRPr="00A82C5D">
        <w:rPr>
          <w:rFonts w:eastAsia="Arial"/>
          <w:color w:val="000000" w:themeColor="text1"/>
        </w:rPr>
        <w:t>de</w:t>
      </w:r>
      <w:r w:rsidR="001D736D" w:rsidRPr="00A82C5D">
        <w:rPr>
          <w:rFonts w:eastAsia="Arial"/>
          <w:color w:val="000000" w:themeColor="text1"/>
        </w:rPr>
        <w:t xml:space="preserve"> </w:t>
      </w:r>
      <w:r w:rsidR="00C04764" w:rsidRPr="00A82C5D">
        <w:rPr>
          <w:rFonts w:eastAsia="Arial"/>
          <w:color w:val="000000" w:themeColor="text1"/>
        </w:rPr>
        <w:t xml:space="preserve">levá-los </w:t>
      </w:r>
      <w:r w:rsidR="001D736D" w:rsidRPr="00A82C5D">
        <w:rPr>
          <w:rFonts w:eastAsia="Arial"/>
          <w:color w:val="000000" w:themeColor="text1"/>
        </w:rPr>
        <w:t>à reflexão</w:t>
      </w:r>
      <w:r w:rsidR="00C04764" w:rsidRPr="00A82C5D">
        <w:rPr>
          <w:rFonts w:eastAsia="Arial"/>
          <w:color w:val="000000" w:themeColor="text1"/>
        </w:rPr>
        <w:t xml:space="preserve"> acerca</w:t>
      </w:r>
      <w:r w:rsidR="001D736D" w:rsidRPr="00A82C5D">
        <w:rPr>
          <w:rFonts w:eastAsia="Arial"/>
          <w:color w:val="000000" w:themeColor="text1"/>
        </w:rPr>
        <w:t xml:space="preserve"> dos aspectos sociais e jurídicos que permeiam o problema, </w:t>
      </w:r>
      <w:r w:rsidR="00C04764" w:rsidRPr="00A82C5D">
        <w:rPr>
          <w:rFonts w:eastAsia="Arial"/>
          <w:color w:val="000000" w:themeColor="text1"/>
        </w:rPr>
        <w:t xml:space="preserve">analisando os principais </w:t>
      </w:r>
      <w:r w:rsidR="001D736D" w:rsidRPr="00A82C5D">
        <w:rPr>
          <w:rFonts w:eastAsia="Arial"/>
          <w:color w:val="000000" w:themeColor="text1"/>
        </w:rPr>
        <w:t xml:space="preserve">institutos jurídicos </w:t>
      </w:r>
      <w:r w:rsidR="00C04764" w:rsidRPr="00A82C5D">
        <w:rPr>
          <w:rFonts w:eastAsia="Arial"/>
          <w:color w:val="000000" w:themeColor="text1"/>
        </w:rPr>
        <w:t xml:space="preserve">envolvidos </w:t>
      </w:r>
      <w:r w:rsidR="001D736D" w:rsidRPr="00A82C5D">
        <w:rPr>
          <w:rFonts w:eastAsia="Arial"/>
          <w:color w:val="000000" w:themeColor="text1"/>
        </w:rPr>
        <w:t xml:space="preserve">na situação, tais como </w:t>
      </w:r>
      <w:r w:rsidR="00C04764" w:rsidRPr="00A82C5D">
        <w:rPr>
          <w:rFonts w:eastAsia="Arial"/>
          <w:color w:val="000000" w:themeColor="text1"/>
        </w:rPr>
        <w:t xml:space="preserve">a validade do pactuado entre as partes, o </w:t>
      </w:r>
      <w:r w:rsidR="007104F1" w:rsidRPr="00A82C5D">
        <w:rPr>
          <w:rFonts w:eastAsia="Arial"/>
          <w:color w:val="000000" w:themeColor="text1"/>
        </w:rPr>
        <w:t>princípio da boa-fé objetiva</w:t>
      </w:r>
      <w:r w:rsidR="00C04764" w:rsidRPr="00A82C5D">
        <w:rPr>
          <w:rFonts w:eastAsia="Arial"/>
          <w:color w:val="000000" w:themeColor="text1"/>
        </w:rPr>
        <w:t xml:space="preserve"> e a vedação ao comportamento contraditório, </w:t>
      </w:r>
      <w:r w:rsidR="00911DFF" w:rsidRPr="00A82C5D">
        <w:rPr>
          <w:rFonts w:eastAsia="Arial"/>
          <w:color w:val="000000" w:themeColor="text1"/>
        </w:rPr>
        <w:t xml:space="preserve">no fito de </w:t>
      </w:r>
      <w:r w:rsidR="00A82C5D">
        <w:rPr>
          <w:rFonts w:eastAsia="Arial"/>
          <w:color w:val="000000" w:themeColor="text1"/>
        </w:rPr>
        <w:t xml:space="preserve">que os alunos </w:t>
      </w:r>
      <w:r w:rsidR="00911DFF" w:rsidRPr="00A82C5D">
        <w:rPr>
          <w:rFonts w:eastAsia="Arial"/>
          <w:color w:val="000000" w:themeColor="text1"/>
        </w:rPr>
        <w:t>se posicion</w:t>
      </w:r>
      <w:r w:rsidR="00A82C5D">
        <w:rPr>
          <w:rFonts w:eastAsia="Arial"/>
          <w:color w:val="000000" w:themeColor="text1"/>
        </w:rPr>
        <w:t>em</w:t>
      </w:r>
      <w:r w:rsidR="001D736D" w:rsidRPr="00A82C5D">
        <w:rPr>
          <w:rFonts w:eastAsia="Arial"/>
          <w:color w:val="000000" w:themeColor="text1"/>
        </w:rPr>
        <w:t xml:space="preserve"> como se fosse</w:t>
      </w:r>
      <w:r w:rsidR="00911DFF" w:rsidRPr="00A82C5D">
        <w:rPr>
          <w:rFonts w:eastAsia="Arial"/>
          <w:color w:val="000000" w:themeColor="text1"/>
        </w:rPr>
        <w:t>m</w:t>
      </w:r>
      <w:r w:rsidR="001D736D" w:rsidRPr="00A82C5D">
        <w:rPr>
          <w:rFonts w:eastAsia="Arial"/>
          <w:color w:val="000000" w:themeColor="text1"/>
        </w:rPr>
        <w:t xml:space="preserve"> o</w:t>
      </w:r>
      <w:r w:rsidR="00911DFF" w:rsidRPr="00A82C5D">
        <w:rPr>
          <w:rFonts w:eastAsia="Arial"/>
          <w:color w:val="000000" w:themeColor="text1"/>
        </w:rPr>
        <w:t>s</w:t>
      </w:r>
      <w:r w:rsidR="001D736D" w:rsidRPr="00A82C5D">
        <w:rPr>
          <w:rFonts w:eastAsia="Arial"/>
          <w:color w:val="000000" w:themeColor="text1"/>
        </w:rPr>
        <w:t xml:space="preserve"> julgador</w:t>
      </w:r>
      <w:r w:rsidR="00911DFF" w:rsidRPr="00A82C5D">
        <w:rPr>
          <w:rFonts w:eastAsia="Arial"/>
          <w:color w:val="000000" w:themeColor="text1"/>
        </w:rPr>
        <w:t>es</w:t>
      </w:r>
      <w:r w:rsidR="001D736D" w:rsidRPr="00A82C5D">
        <w:rPr>
          <w:rFonts w:eastAsia="Arial"/>
          <w:color w:val="000000" w:themeColor="text1"/>
        </w:rPr>
        <w:t xml:space="preserve"> da demanda.</w:t>
      </w:r>
    </w:p>
    <w:p w14:paraId="2F79E403" w14:textId="3918BB5A" w:rsidR="00384D65" w:rsidRDefault="009617F1" w:rsidP="00A82C5D">
      <w:pPr>
        <w:spacing w:line="240" w:lineRule="auto"/>
        <w:ind w:firstLine="0"/>
        <w:rPr>
          <w:rFonts w:eastAsia="Arial" w:cs="Times New Roman"/>
          <w:szCs w:val="24"/>
        </w:rPr>
      </w:pPr>
      <w:r w:rsidRPr="00E15FAD">
        <w:rPr>
          <w:rFonts w:eastAsia="Arial" w:cs="Times New Roman"/>
          <w:b/>
          <w:szCs w:val="24"/>
        </w:rPr>
        <w:t xml:space="preserve">Palavras-chave: </w:t>
      </w:r>
      <w:r w:rsidR="00C419B6" w:rsidRPr="00E15FAD">
        <w:rPr>
          <w:rFonts w:eastAsia="Arial" w:cs="Times New Roman"/>
          <w:szCs w:val="24"/>
        </w:rPr>
        <w:t>Contrato</w:t>
      </w:r>
      <w:r w:rsidR="00E15FAD" w:rsidRPr="00E15FAD">
        <w:rPr>
          <w:rFonts w:eastAsia="Arial" w:cs="Times New Roman"/>
          <w:szCs w:val="24"/>
        </w:rPr>
        <w:t xml:space="preserve"> </w:t>
      </w:r>
      <w:r w:rsidR="003379FD">
        <w:rPr>
          <w:rFonts w:eastAsia="Arial" w:cs="Times New Roman"/>
          <w:szCs w:val="24"/>
        </w:rPr>
        <w:t>p</w:t>
      </w:r>
      <w:r w:rsidR="00E15FAD" w:rsidRPr="00E15FAD">
        <w:rPr>
          <w:rFonts w:eastAsia="Arial" w:cs="Times New Roman"/>
          <w:szCs w:val="24"/>
        </w:rPr>
        <w:t>reliminar</w:t>
      </w:r>
      <w:r w:rsidR="00C419B6" w:rsidRPr="00E15FAD">
        <w:rPr>
          <w:rFonts w:eastAsia="Arial" w:cs="Times New Roman"/>
          <w:szCs w:val="24"/>
        </w:rPr>
        <w:t>. Princípio da boa-fé objetiva</w:t>
      </w:r>
      <w:r w:rsidR="002E4610" w:rsidRPr="00E15FAD">
        <w:rPr>
          <w:rFonts w:eastAsia="Arial" w:cs="Times New Roman"/>
          <w:szCs w:val="24"/>
        </w:rPr>
        <w:t>.</w:t>
      </w:r>
      <w:r w:rsidR="00E22433" w:rsidRPr="00E15FAD">
        <w:rPr>
          <w:rFonts w:eastAsia="Arial" w:cs="Times New Roman"/>
          <w:szCs w:val="24"/>
        </w:rPr>
        <w:t xml:space="preserve"> </w:t>
      </w:r>
      <w:r w:rsidR="003379FD">
        <w:rPr>
          <w:rFonts w:eastAsia="Arial" w:cs="Times New Roman"/>
          <w:szCs w:val="24"/>
        </w:rPr>
        <w:t xml:space="preserve">Vedação ao comportamento contraditório. </w:t>
      </w:r>
      <w:r w:rsidR="00E22433" w:rsidRPr="00E15FAD">
        <w:rPr>
          <w:rFonts w:eastAsia="Arial" w:cs="Times New Roman"/>
          <w:szCs w:val="24"/>
        </w:rPr>
        <w:t>Caso para ensino.</w:t>
      </w:r>
    </w:p>
    <w:p w14:paraId="04D83DAC" w14:textId="77777777" w:rsidR="007C6B94" w:rsidRPr="00DB2DF6" w:rsidRDefault="007C6B94" w:rsidP="00A82C5D">
      <w:pPr>
        <w:spacing w:line="240" w:lineRule="auto"/>
        <w:ind w:firstLine="0"/>
        <w:rPr>
          <w:rFonts w:eastAsia="Arial" w:cs="Times New Roman"/>
          <w:szCs w:val="24"/>
        </w:rPr>
      </w:pPr>
    </w:p>
    <w:p w14:paraId="722D044E" w14:textId="12D8B7F4" w:rsidR="00C93F74" w:rsidRDefault="00384D65" w:rsidP="00310E99">
      <w:pPr>
        <w:pStyle w:val="Ttulo1"/>
        <w:rPr>
          <w:rFonts w:eastAsia="Arial"/>
        </w:rPr>
      </w:pPr>
      <w:r w:rsidRPr="00DD4BF6">
        <w:rPr>
          <w:rFonts w:eastAsia="Arial"/>
        </w:rPr>
        <w:t>APRESENTAÇÃO DO CASO</w:t>
      </w:r>
    </w:p>
    <w:p w14:paraId="3969FC7E" w14:textId="473C23B9" w:rsidR="002116FB" w:rsidRDefault="00B92EA4" w:rsidP="006A2EE8">
      <w:r>
        <w:t xml:space="preserve">Em primeira análise, no âmbito do Direito dos Contratos, </w:t>
      </w:r>
      <w:r w:rsidR="0090210B">
        <w:t>é crucial perceber a diferença conceitual entre contrato definitivo e contrato preliminar</w:t>
      </w:r>
      <w:r>
        <w:t>: este último tem como</w:t>
      </w:r>
      <w:r w:rsidR="002116FB">
        <w:t xml:space="preserve"> objetivo</w:t>
      </w:r>
      <w:r>
        <w:t xml:space="preserve"> primordial</w:t>
      </w:r>
      <w:r w:rsidR="002116FB">
        <w:t xml:space="preserve"> a celebração do ajuste definitivo.</w:t>
      </w:r>
      <w:r w:rsidR="00086077">
        <w:t xml:space="preserve"> Assim, q</w:t>
      </w:r>
      <w:r w:rsidR="002116FB">
        <w:t>uand</w:t>
      </w:r>
      <w:r w:rsidR="00B74E55">
        <w:t>o se está</w:t>
      </w:r>
      <w:r w:rsidR="00086077">
        <w:t>, por exemplo,</w:t>
      </w:r>
      <w:r w:rsidR="00B74E55">
        <w:t xml:space="preserve"> negociando </w:t>
      </w:r>
      <w:r w:rsidR="00B74E55">
        <w:lastRenderedPageBreak/>
        <w:t>bens imóveis, em que a transmissão da propriedade se faz mediante ato posterior à celebração do contrato, qual seja, o registro no Cartório de</w:t>
      </w:r>
      <w:r w:rsidR="00086077">
        <w:t xml:space="preserve"> Registro de</w:t>
      </w:r>
      <w:r w:rsidR="00B74E55">
        <w:t xml:space="preserve"> Imóveis, a contratação, a rigor, não transfere o imóvel, apenas promete a transferência.</w:t>
      </w:r>
    </w:p>
    <w:p w14:paraId="673053EE" w14:textId="77777777" w:rsidR="004924CB" w:rsidRDefault="0027796F" w:rsidP="006B3FE2">
      <w:r>
        <w:t>Ainda sob a ótica do exemplo mencionado, também é válido mencionar a hipótese de o contrato estabelecer que a prestação devida pelo comprador</w:t>
      </w:r>
      <w:r w:rsidR="00B74E55">
        <w:t xml:space="preserve"> do imóvel </w:t>
      </w:r>
      <w:r>
        <w:t>poderá ser</w:t>
      </w:r>
      <w:r w:rsidR="00B74E55">
        <w:t xml:space="preserve"> </w:t>
      </w:r>
      <w:r>
        <w:t>paga</w:t>
      </w:r>
      <w:r w:rsidR="00B74E55">
        <w:t xml:space="preserve"> em parcelas</w:t>
      </w:r>
      <w:r>
        <w:t xml:space="preserve">. Isso porque é </w:t>
      </w:r>
      <w:r w:rsidR="00B74E55">
        <w:t>somente após o adimplemento de todas as obrigações que o comprador leva</w:t>
      </w:r>
      <w:r>
        <w:t>rá, efetivamente,</w:t>
      </w:r>
      <w:r w:rsidR="00B74E55">
        <w:t xml:space="preserve"> o contrato para registro. </w:t>
      </w:r>
    </w:p>
    <w:p w14:paraId="3F62B9E9" w14:textId="343056F6" w:rsidR="00B74E55" w:rsidRPr="006B3FE2" w:rsidRDefault="00B74E55" w:rsidP="004924CB">
      <w:r>
        <w:t>E nesse intervalo, que</w:t>
      </w:r>
      <w:r w:rsidR="00CD3DA5">
        <w:t>,</w:t>
      </w:r>
      <w:r>
        <w:t xml:space="preserve"> por vezes</w:t>
      </w:r>
      <w:r w:rsidR="00CD3DA5">
        <w:t>,</w:t>
      </w:r>
      <w:r>
        <w:t xml:space="preserve"> é de anos, muitas situações desagradáveis podem acontecer e contribuir para o inadimplemento do </w:t>
      </w:r>
      <w:r w:rsidR="0061462F">
        <w:t>pactuado</w:t>
      </w:r>
      <w:r>
        <w:t>.</w:t>
      </w:r>
      <w:r w:rsidR="00750B04">
        <w:t xml:space="preserve"> </w:t>
      </w:r>
      <w:r>
        <w:t>É o caso que ora se apresenta,</w:t>
      </w:r>
      <w:r w:rsidR="004924CB">
        <w:t xml:space="preserve"> o qual foi projetado e dividido em dois momentos</w:t>
      </w:r>
      <w:r>
        <w:t xml:space="preserve">: primeiro, </w:t>
      </w:r>
      <w:r w:rsidR="004924CB">
        <w:t xml:space="preserve">será feito </w:t>
      </w:r>
      <w:r>
        <w:t>um relato sobre a situação inicial</w:t>
      </w:r>
      <w:r w:rsidR="006A2EE8">
        <w:t xml:space="preserve"> (seção 1.1)</w:t>
      </w:r>
      <w:r w:rsidR="00794F42">
        <w:t xml:space="preserve">, </w:t>
      </w:r>
      <w:r w:rsidR="004924CB">
        <w:t xml:space="preserve">e </w:t>
      </w:r>
      <w:r w:rsidR="00794F42">
        <w:t>posteriormente</w:t>
      </w:r>
      <w:r>
        <w:t>, o problema</w:t>
      </w:r>
      <w:r w:rsidR="00794F42">
        <w:t xml:space="preserve"> idealizado </w:t>
      </w:r>
      <w:r>
        <w:t>se instaura</w:t>
      </w:r>
      <w:r w:rsidR="00794F42">
        <w:t>rá</w:t>
      </w:r>
      <w:r>
        <w:t xml:space="preserve"> na realidade posta</w:t>
      </w:r>
      <w:r w:rsidR="00794F42">
        <w:t>, demandando um</w:t>
      </w:r>
      <w:r>
        <w:t>a pronta solução</w:t>
      </w:r>
      <w:r w:rsidR="00794F42">
        <w:t xml:space="preserve"> pelo alunado</w:t>
      </w:r>
      <w:r w:rsidR="006A2EE8">
        <w:t xml:space="preserve"> (seção 1.2)</w:t>
      </w:r>
      <w:r>
        <w:t>.</w:t>
      </w:r>
    </w:p>
    <w:p w14:paraId="2DF67033" w14:textId="67358401" w:rsidR="00902A2C" w:rsidRDefault="00902A2C" w:rsidP="00902A2C">
      <w:pPr>
        <w:pStyle w:val="Ttulo2"/>
        <w:rPr>
          <w:rFonts w:eastAsia="Arial"/>
        </w:rPr>
      </w:pPr>
      <w:r>
        <w:rPr>
          <w:rFonts w:eastAsia="Arial"/>
        </w:rPr>
        <w:t>Relato inicial</w:t>
      </w:r>
    </w:p>
    <w:p w14:paraId="2B0040C6" w14:textId="77777777" w:rsidR="008C0EF2" w:rsidRDefault="00EA32E6" w:rsidP="00CA46A6">
      <w:r w:rsidRPr="00FF449C">
        <w:t xml:space="preserve">Em 2004, José, sem aquiescência de sua esposa, Joana, prometeu vender </w:t>
      </w:r>
      <w:r>
        <w:t xml:space="preserve">um </w:t>
      </w:r>
      <w:r w:rsidRPr="00FF449C">
        <w:t>imóvel a Pedro e Júlia.</w:t>
      </w:r>
      <w:r w:rsidR="00996E74">
        <w:t xml:space="preserve"> </w:t>
      </w:r>
      <w:r w:rsidRPr="00996E74">
        <w:t>Além da entrada</w:t>
      </w:r>
      <w:r w:rsidR="00996E74">
        <w:t>, pactuada no valor de</w:t>
      </w:r>
      <w:r w:rsidRPr="00996E74">
        <w:t xml:space="preserve"> R$ 50.000,00</w:t>
      </w:r>
      <w:r w:rsidR="00996E74">
        <w:t xml:space="preserve"> (cinquenta mil reais)</w:t>
      </w:r>
      <w:r w:rsidRPr="00996E74">
        <w:t>, o</w:t>
      </w:r>
      <w:r w:rsidR="005F6CF6">
        <w:t xml:space="preserve">s promitentes compradores também deveriam efetuar o </w:t>
      </w:r>
      <w:r w:rsidRPr="00996E74">
        <w:t xml:space="preserve">pagamento </w:t>
      </w:r>
      <w:r w:rsidR="005F6CF6">
        <w:t>de</w:t>
      </w:r>
      <w:r w:rsidR="006563D7">
        <w:t xml:space="preserve"> </w:t>
      </w:r>
      <w:r w:rsidRPr="00996E74">
        <w:t xml:space="preserve">parcelas mensais </w:t>
      </w:r>
      <w:r w:rsidR="005F6CF6">
        <w:t>no valor de</w:t>
      </w:r>
      <w:r w:rsidRPr="00996E74">
        <w:t xml:space="preserve"> R$ 1.000,00</w:t>
      </w:r>
      <w:r w:rsidR="00996E74">
        <w:t xml:space="preserve"> (</w:t>
      </w:r>
      <w:proofErr w:type="gramStart"/>
      <w:r w:rsidR="00996E74">
        <w:t>um mil reais</w:t>
      </w:r>
      <w:proofErr w:type="gramEnd"/>
      <w:r w:rsidR="00996E74">
        <w:t>)</w:t>
      </w:r>
      <w:r w:rsidRPr="00996E74">
        <w:t xml:space="preserve"> durante </w:t>
      </w:r>
      <w:r w:rsidR="003F3807">
        <w:t>dezessete</w:t>
      </w:r>
      <w:r w:rsidRPr="00996E74">
        <w:t xml:space="preserve"> anos, </w:t>
      </w:r>
      <w:r w:rsidR="0060056B">
        <w:t xml:space="preserve">sendo </w:t>
      </w:r>
      <w:r w:rsidR="005D099C">
        <w:t xml:space="preserve">todos esses montantes </w:t>
      </w:r>
      <w:r w:rsidRPr="00996E74">
        <w:t>depositad</w:t>
      </w:r>
      <w:r w:rsidR="005D099C">
        <w:t>o</w:t>
      </w:r>
      <w:r w:rsidRPr="00996E74">
        <w:t>s diretamente na conta de José.</w:t>
      </w:r>
    </w:p>
    <w:p w14:paraId="2CEEDC74" w14:textId="072C35AB" w:rsidR="00EA32E6" w:rsidRPr="00CA46A6" w:rsidRDefault="008C0EF2" w:rsidP="00CA46A6">
      <w:r>
        <w:t>Outrossim, importa</w:t>
      </w:r>
      <w:r w:rsidR="00844235" w:rsidRPr="00CA46A6">
        <w:t xml:space="preserve"> mencionar que</w:t>
      </w:r>
      <w:r w:rsidR="002373C9">
        <w:t>,</w:t>
      </w:r>
      <w:r w:rsidR="00844235" w:rsidRPr="00CA46A6">
        <w:t xml:space="preserve"> d</w:t>
      </w:r>
      <w:r w:rsidR="00EA32E6" w:rsidRPr="00CA46A6">
        <w:t>esde a data da assinatura d</w:t>
      </w:r>
      <w:r w:rsidR="009B24FA" w:rsidRPr="00CA46A6">
        <w:t>o contrato de</w:t>
      </w:r>
      <w:r w:rsidR="00EA32E6" w:rsidRPr="00CA46A6">
        <w:t xml:space="preserve"> promessa de compra e venda, os promitentes compradores passaram a exercer</w:t>
      </w:r>
      <w:r w:rsidR="009B24FA" w:rsidRPr="00CA46A6">
        <w:t xml:space="preserve">, de maneira tranquila e pacata, </w:t>
      </w:r>
      <w:r w:rsidR="00EA32E6" w:rsidRPr="00CA46A6">
        <w:t xml:space="preserve">a posse </w:t>
      </w:r>
      <w:r w:rsidR="009B24FA" w:rsidRPr="00CA46A6">
        <w:t>sobre o</w:t>
      </w:r>
      <w:r w:rsidR="00EA32E6" w:rsidRPr="00CA46A6">
        <w:t xml:space="preserve"> bem.</w:t>
      </w:r>
      <w:r w:rsidR="00C15F75" w:rsidRPr="00C15F75">
        <w:rPr>
          <w:rStyle w:val="Refdenotaderodap"/>
          <w:rFonts w:eastAsia="Arial"/>
        </w:rPr>
        <w:t xml:space="preserve"> </w:t>
      </w:r>
      <w:r w:rsidR="00C15F75">
        <w:rPr>
          <w:rStyle w:val="Refdenotaderodap"/>
          <w:rFonts w:eastAsia="Arial"/>
        </w:rPr>
        <w:footnoteReference w:id="4"/>
      </w:r>
    </w:p>
    <w:p w14:paraId="271EB8E3" w14:textId="657E036D" w:rsidR="0003220A" w:rsidRDefault="00EA32E6" w:rsidP="00CA46A6">
      <w:r>
        <w:t xml:space="preserve">O imóvel em questão </w:t>
      </w:r>
      <w:r w:rsidR="00EA4F27">
        <w:t xml:space="preserve">detém um imenso valor imaterial e sentimental para Joana, </w:t>
      </w:r>
      <w:r w:rsidR="002C0C68">
        <w:t xml:space="preserve">visto </w:t>
      </w:r>
      <w:r w:rsidR="00EA4F27">
        <w:t xml:space="preserve">que </w:t>
      </w:r>
      <w:r>
        <w:t xml:space="preserve">fora adquirido por </w:t>
      </w:r>
      <w:r w:rsidR="00EA4F27">
        <w:t xml:space="preserve">ela e </w:t>
      </w:r>
      <w:r>
        <w:t>José três anos após o matrimônio</w:t>
      </w:r>
      <w:r w:rsidR="00EA4F27">
        <w:t xml:space="preserve"> de ambos</w:t>
      </w:r>
      <w:r>
        <w:t xml:space="preserve">, </w:t>
      </w:r>
      <w:r w:rsidR="00EA4F27">
        <w:t xml:space="preserve">fazendo-a lembrar do início de seu casamento. Além disso, o bem se </w:t>
      </w:r>
      <w:r>
        <w:t xml:space="preserve">localiza no bairro onde </w:t>
      </w:r>
      <w:r w:rsidR="00EA4F27">
        <w:t xml:space="preserve">Joana </w:t>
      </w:r>
      <w:r>
        <w:t xml:space="preserve">passou </w:t>
      </w:r>
      <w:r w:rsidR="00EA4F27">
        <w:t xml:space="preserve">toda a </w:t>
      </w:r>
      <w:r>
        <w:t>sua infância</w:t>
      </w:r>
      <w:r w:rsidR="00EA4F27">
        <w:t xml:space="preserve">, </w:t>
      </w:r>
      <w:r w:rsidR="00BD7A6B">
        <w:t>o que despertou nela um grande afeto pela vizinhança</w:t>
      </w:r>
      <w:r>
        <w:t>.</w:t>
      </w:r>
    </w:p>
    <w:p w14:paraId="42BEE221" w14:textId="739B432A" w:rsidR="0003220A" w:rsidRDefault="000F28D5" w:rsidP="00CA46A6">
      <w:r>
        <w:t xml:space="preserve">Sucedeu que, </w:t>
      </w:r>
      <w:r w:rsidR="00EA32E6">
        <w:t xml:space="preserve">por circunstâncias profissionais, o casal passou a residir em outro estado, momento </w:t>
      </w:r>
      <w:r w:rsidR="00B34DB3">
        <w:t>que</w:t>
      </w:r>
      <w:r w:rsidR="00EA32E6">
        <w:t xml:space="preserve"> coincidiu com </w:t>
      </w:r>
      <w:r w:rsidR="00B34DB3">
        <w:t>o contrato de</w:t>
      </w:r>
      <w:r w:rsidR="00EA32E6">
        <w:t xml:space="preserve"> promessa de compra e venda realizad</w:t>
      </w:r>
      <w:r w:rsidR="00B34DB3">
        <w:t>o</w:t>
      </w:r>
      <w:r w:rsidR="00EA32E6">
        <w:t xml:space="preserve"> com Pedro e Júlia.</w:t>
      </w:r>
      <w:r w:rsidR="00B34DB3">
        <w:t xml:space="preserve"> Nesse ínterim, </w:t>
      </w:r>
      <w:r w:rsidR="00EA32E6">
        <w:t xml:space="preserve">Zico e Tica, os primeiros proprietários do imóvel, </w:t>
      </w:r>
      <w:r w:rsidR="00B34DB3">
        <w:t>cinco</w:t>
      </w:r>
      <w:r w:rsidR="00EA32E6">
        <w:t xml:space="preserve"> anos após vendê-</w:t>
      </w:r>
      <w:r w:rsidR="00EA32E6">
        <w:lastRenderedPageBreak/>
        <w:t>lo diretamente a José e Joana, continuaram a ser notificados sobre dívidas e taxas condominiais não pagas, vez que o condomí</w:t>
      </w:r>
      <w:r w:rsidR="0003220A">
        <w:t>nio</w:t>
      </w:r>
      <w:r w:rsidR="00B34DB3">
        <w:t xml:space="preserve"> ainda</w:t>
      </w:r>
      <w:r w:rsidR="0003220A">
        <w:t xml:space="preserve"> continuava </w:t>
      </w:r>
      <w:r w:rsidR="00B34DB3">
        <w:t xml:space="preserve">no </w:t>
      </w:r>
      <w:r w:rsidR="0003220A">
        <w:t>nome de Zico.</w:t>
      </w:r>
    </w:p>
    <w:p w14:paraId="0228186A" w14:textId="31505608" w:rsidR="00EA32E6" w:rsidRPr="00EA32E6" w:rsidRDefault="00BF7EA1" w:rsidP="00CA46A6">
      <w:pPr>
        <w:rPr>
          <w:rFonts w:eastAsia="Arial"/>
        </w:rPr>
      </w:pPr>
      <w:r>
        <w:t xml:space="preserve">Percebendo que seria </w:t>
      </w:r>
      <w:r w:rsidR="00EA32E6">
        <w:t>necessári</w:t>
      </w:r>
      <w:r>
        <w:t>o</w:t>
      </w:r>
      <w:r w:rsidR="00EA32E6">
        <w:t xml:space="preserve"> resolver a questão em juíz</w:t>
      </w:r>
      <w:r>
        <w:t xml:space="preserve">o, Zico e Tica entraram com uma ação judicial em face de </w:t>
      </w:r>
      <w:r w:rsidR="00EA32E6">
        <w:t xml:space="preserve">José e Joana, </w:t>
      </w:r>
      <w:r>
        <w:t xml:space="preserve">os quais, </w:t>
      </w:r>
      <w:r w:rsidR="00EA32E6">
        <w:t>ao serem citados, denunciaram a lide aos promitentes compradores</w:t>
      </w:r>
      <w:r>
        <w:t>,</w:t>
      </w:r>
      <w:r w:rsidR="00EA32E6">
        <w:t xml:space="preserve"> Júlia e Pedro</w:t>
      </w:r>
      <w:r>
        <w:t>. Esses últimos</w:t>
      </w:r>
      <w:r w:rsidR="00EA32E6">
        <w:t>, por seu turno, seguiram</w:t>
      </w:r>
      <w:r>
        <w:t xml:space="preserve"> adiante com </w:t>
      </w:r>
      <w:r w:rsidR="00EA32E6">
        <w:t>o processo, do qual não obtiveram êxito</w:t>
      </w:r>
      <w:r>
        <w:t>: foram condenados a a</w:t>
      </w:r>
      <w:r w:rsidR="00EA32E6">
        <w:t xml:space="preserve">rcar com </w:t>
      </w:r>
      <w:r>
        <w:t>tod</w:t>
      </w:r>
      <w:r w:rsidR="00EA32E6">
        <w:t xml:space="preserve">as </w:t>
      </w:r>
      <w:r>
        <w:t xml:space="preserve">as </w:t>
      </w:r>
      <w:r w:rsidR="00EA32E6">
        <w:t xml:space="preserve">parcelas condominiais </w:t>
      </w:r>
      <w:r>
        <w:t>em aberto.</w:t>
      </w:r>
    </w:p>
    <w:p w14:paraId="5CC95154" w14:textId="1B78BE45" w:rsidR="003D0321" w:rsidRDefault="003D0321" w:rsidP="00EA32E6">
      <w:pPr>
        <w:pStyle w:val="Ttulo2"/>
        <w:rPr>
          <w:rFonts w:eastAsia="Arial"/>
        </w:rPr>
      </w:pPr>
      <w:r>
        <w:rPr>
          <w:rFonts w:eastAsia="Arial"/>
        </w:rPr>
        <w:t>Situação</w:t>
      </w:r>
      <w:r w:rsidR="004B074E">
        <w:rPr>
          <w:rFonts w:eastAsia="Arial"/>
        </w:rPr>
        <w:t>-</w:t>
      </w:r>
      <w:r>
        <w:rPr>
          <w:rFonts w:eastAsia="Arial"/>
        </w:rPr>
        <w:t>problema</w:t>
      </w:r>
    </w:p>
    <w:p w14:paraId="1CBED457" w14:textId="7B10D72F" w:rsidR="00EA32E6" w:rsidRPr="00C40DEF" w:rsidRDefault="00EA32E6" w:rsidP="00C40DEF">
      <w:r w:rsidRPr="00913D75">
        <w:t>Nesse contexto, findo o pagamento d</w:t>
      </w:r>
      <w:r w:rsidR="00C40DEF">
        <w:t>os débitos do</w:t>
      </w:r>
      <w:r w:rsidRPr="00913D75">
        <w:t xml:space="preserve"> imóvel, Pedro e Júlia tentaram obter, amigavelmente, a escritura definitiva da casa comprada</w:t>
      </w:r>
      <w:r w:rsidR="00C40DEF">
        <w:t>, mas não obtiveram sucesso</w:t>
      </w:r>
      <w:r w:rsidRPr="00913D75">
        <w:t xml:space="preserve">. </w:t>
      </w:r>
      <w:r w:rsidR="00C40DEF">
        <w:t xml:space="preserve">Diante disso, sem outra alternativa, </w:t>
      </w:r>
      <w:r w:rsidRPr="00913D75">
        <w:t xml:space="preserve">ingressaram com ação </w:t>
      </w:r>
      <w:r w:rsidR="004F481E">
        <w:t xml:space="preserve">judicial </w:t>
      </w:r>
      <w:r w:rsidRPr="00913D75">
        <w:t xml:space="preserve">para alcançar tal fim, </w:t>
      </w:r>
      <w:r w:rsidR="004F481E">
        <w:t>ocasião em que</w:t>
      </w:r>
      <w:r w:rsidR="00751941">
        <w:t xml:space="preserve"> o causídico</w:t>
      </w:r>
      <w:r w:rsidRPr="00913D75">
        <w:rPr>
          <w:rFonts w:cs="Times New Roman"/>
          <w:szCs w:val="24"/>
        </w:rPr>
        <w:t xml:space="preserve"> afirmou</w:t>
      </w:r>
      <w:r w:rsidR="00751941">
        <w:rPr>
          <w:rFonts w:cs="Times New Roman"/>
          <w:szCs w:val="24"/>
        </w:rPr>
        <w:t xml:space="preserve"> </w:t>
      </w:r>
      <w:r w:rsidRPr="00913D75">
        <w:rPr>
          <w:rFonts w:cs="Times New Roman"/>
          <w:szCs w:val="24"/>
        </w:rPr>
        <w:t xml:space="preserve">que a responsabilidade pelas despesas do condomínio seria exclusivamente dos promitentes vendedores e que, caso não houvesse a assinatura da escritura, o casal poderia ingressar, logo em seguida, com ação de usucapião.  </w:t>
      </w:r>
    </w:p>
    <w:p w14:paraId="1D017674" w14:textId="3E2BDA95" w:rsidR="004A15BE" w:rsidRDefault="004F481E" w:rsidP="004F481E">
      <w:r>
        <w:t xml:space="preserve">Ao longo do processo, </w:t>
      </w:r>
      <w:r w:rsidR="00EA32E6" w:rsidRPr="00913D75">
        <w:t xml:space="preserve">Joana </w:t>
      </w:r>
      <w:r>
        <w:t xml:space="preserve">passou a </w:t>
      </w:r>
      <w:r w:rsidR="00EA32E6" w:rsidRPr="00913D75">
        <w:t>alega</w:t>
      </w:r>
      <w:r>
        <w:t>r</w:t>
      </w:r>
      <w:r w:rsidR="00EA32E6" w:rsidRPr="00913D75">
        <w:t xml:space="preserve"> que o contrato de promessa de compra e venda </w:t>
      </w:r>
      <w:r>
        <w:t>seria</w:t>
      </w:r>
      <w:r w:rsidR="00EA32E6" w:rsidRPr="00913D75">
        <w:t xml:space="preserve"> inválido, </w:t>
      </w:r>
      <w:r>
        <w:t>fundamentando sua tese no fato de que o pacto</w:t>
      </w:r>
      <w:r w:rsidR="00EA32E6" w:rsidRPr="00913D75">
        <w:t xml:space="preserve"> ocorreu sem sua anuência. </w:t>
      </w:r>
      <w:r>
        <w:t xml:space="preserve">Além disso, a parte </w:t>
      </w:r>
      <w:r w:rsidR="00EA32E6" w:rsidRPr="00913D75">
        <w:t>pugna pelo pagamento dos alugu</w:t>
      </w:r>
      <w:r>
        <w:t>é</w:t>
      </w:r>
      <w:r w:rsidR="00EA32E6" w:rsidRPr="00913D75">
        <w:t xml:space="preserve">is </w:t>
      </w:r>
      <w:r>
        <w:t>referentes ao</w:t>
      </w:r>
      <w:r w:rsidR="00EA32E6" w:rsidRPr="00913D75">
        <w:t xml:space="preserve"> período em que Pedro e Júlia residiram em seu imóvel.</w:t>
      </w:r>
    </w:p>
    <w:p w14:paraId="5FE4D8FB" w14:textId="50659017" w:rsidR="00EA32E6" w:rsidRPr="00913D75" w:rsidRDefault="004F481E" w:rsidP="004F481E">
      <w:r>
        <w:t xml:space="preserve">Em face da situação exposta, os discentes são instigados a resolverem a problemática em questão, </w:t>
      </w:r>
      <w:r w:rsidR="00B52FE2">
        <w:t xml:space="preserve">avaliando e ponderando os argumentos postos pelas duas partes, para o fim de construir uma decisão sobre quem tem o direito de propriedade do bem, inclusive devendo </w:t>
      </w:r>
      <w:proofErr w:type="gramStart"/>
      <w:r w:rsidR="00AB5BB6">
        <w:t>res</w:t>
      </w:r>
      <w:r>
        <w:t>ponde</w:t>
      </w:r>
      <w:r w:rsidR="00B52FE2">
        <w:t xml:space="preserve">r </w:t>
      </w:r>
      <w:r>
        <w:t xml:space="preserve"> às</w:t>
      </w:r>
      <w:proofErr w:type="gramEnd"/>
      <w:r>
        <w:t xml:space="preserve"> perguntas </w:t>
      </w:r>
      <w:r w:rsidR="00AB5BB6">
        <w:t xml:space="preserve">orientadoras </w:t>
      </w:r>
      <w:r>
        <w:t>propost</w:t>
      </w:r>
      <w:r w:rsidR="00C107F1">
        <w:t>as, as quais serão explanadas na seção subsequente (especificamente no item 2.6)</w:t>
      </w:r>
      <w:r>
        <w:t>.</w:t>
      </w:r>
    </w:p>
    <w:p w14:paraId="331322CB" w14:textId="7C254373" w:rsidR="00DD4BF6" w:rsidRPr="00211A76" w:rsidRDefault="00DD4BF6" w:rsidP="00310E99">
      <w:pPr>
        <w:pStyle w:val="Ttulo1"/>
        <w:rPr>
          <w:rFonts w:eastAsia="Arial"/>
        </w:rPr>
      </w:pPr>
      <w:r w:rsidRPr="00211A76">
        <w:rPr>
          <w:rFonts w:eastAsia="Arial"/>
        </w:rPr>
        <w:t>NOTAS DE ENSINO</w:t>
      </w:r>
    </w:p>
    <w:p w14:paraId="0ACB6D5D" w14:textId="49274A47" w:rsidR="0078612E" w:rsidRDefault="00855312" w:rsidP="00CE222C">
      <w:pPr>
        <w:rPr>
          <w:rFonts w:eastAsia="Arial"/>
        </w:rPr>
      </w:pPr>
      <w:r>
        <w:rPr>
          <w:rFonts w:eastAsia="Arial"/>
        </w:rPr>
        <w:t>Preliminarmente, é de se mencionar que a</w:t>
      </w:r>
      <w:r w:rsidR="0078612E" w:rsidRPr="0078612E">
        <w:rPr>
          <w:rFonts w:eastAsia="Arial"/>
        </w:rPr>
        <w:t xml:space="preserve">s anotações nesta seção </w:t>
      </w:r>
      <w:r>
        <w:rPr>
          <w:rFonts w:eastAsia="Arial"/>
        </w:rPr>
        <w:t>foram</w:t>
      </w:r>
      <w:r w:rsidR="0078612E" w:rsidRPr="0078612E">
        <w:rPr>
          <w:rFonts w:eastAsia="Arial"/>
        </w:rPr>
        <w:t xml:space="preserve"> </w:t>
      </w:r>
      <w:r>
        <w:rPr>
          <w:rFonts w:eastAsia="Arial"/>
        </w:rPr>
        <w:t>realizadas no intuito de</w:t>
      </w:r>
      <w:r w:rsidR="0078612E" w:rsidRPr="0078612E">
        <w:rPr>
          <w:rFonts w:eastAsia="Arial"/>
        </w:rPr>
        <w:t xml:space="preserve"> ser</w:t>
      </w:r>
      <w:r>
        <w:rPr>
          <w:rFonts w:eastAsia="Arial"/>
        </w:rPr>
        <w:t>em</w:t>
      </w:r>
      <w:r w:rsidR="0078612E" w:rsidRPr="0078612E">
        <w:rPr>
          <w:rFonts w:eastAsia="Arial"/>
        </w:rPr>
        <w:t xml:space="preserve"> utilizadas como material de ensino </w:t>
      </w:r>
      <w:r w:rsidR="0053310F">
        <w:rPr>
          <w:rFonts w:eastAsia="Arial"/>
        </w:rPr>
        <w:t>para uso</w:t>
      </w:r>
      <w:r w:rsidR="0078612E" w:rsidRPr="0078612E">
        <w:rPr>
          <w:rFonts w:eastAsia="Arial"/>
        </w:rPr>
        <w:t xml:space="preserve"> do professor e </w:t>
      </w:r>
      <w:r w:rsidR="0053310F">
        <w:rPr>
          <w:rFonts w:eastAsia="Arial"/>
        </w:rPr>
        <w:t xml:space="preserve">de </w:t>
      </w:r>
      <w:r w:rsidR="0078612E" w:rsidRPr="0078612E">
        <w:rPr>
          <w:rFonts w:eastAsia="Arial"/>
        </w:rPr>
        <w:t>seus assistentes.</w:t>
      </w:r>
      <w:r>
        <w:rPr>
          <w:rFonts w:eastAsia="Arial"/>
        </w:rPr>
        <w:t xml:space="preserve"> Ultrapassado tal esclarecimento, cumpre destacar </w:t>
      </w:r>
      <w:r w:rsidR="004F5EA5">
        <w:rPr>
          <w:rFonts w:eastAsia="Arial"/>
        </w:rPr>
        <w:t xml:space="preserve">sobre o que se trata </w:t>
      </w:r>
      <w:r>
        <w:rPr>
          <w:rFonts w:eastAsia="Arial"/>
        </w:rPr>
        <w:t xml:space="preserve">um caso de ensino e </w:t>
      </w:r>
      <w:r w:rsidR="004F5EA5">
        <w:rPr>
          <w:rFonts w:eastAsia="Arial"/>
        </w:rPr>
        <w:t xml:space="preserve">quais são </w:t>
      </w:r>
      <w:r>
        <w:rPr>
          <w:rFonts w:eastAsia="Arial"/>
        </w:rPr>
        <w:t>os detalhes que o compõe.</w:t>
      </w:r>
    </w:p>
    <w:p w14:paraId="550DDA4E" w14:textId="1EB604BA" w:rsidR="005C7C0F" w:rsidRDefault="00DF7D51" w:rsidP="00DF7D51">
      <w:pPr>
        <w:rPr>
          <w:rFonts w:eastAsia="Arial"/>
        </w:rPr>
      </w:pPr>
      <w:r>
        <w:rPr>
          <w:rFonts w:eastAsia="Arial"/>
        </w:rPr>
        <w:t>Um</w:t>
      </w:r>
      <w:r w:rsidR="00A04C0B" w:rsidRPr="00A04C0B">
        <w:rPr>
          <w:rFonts w:eastAsia="Arial"/>
        </w:rPr>
        <w:t xml:space="preserve"> caso para ensino </w:t>
      </w:r>
      <w:r>
        <w:rPr>
          <w:rFonts w:eastAsia="Arial"/>
        </w:rPr>
        <w:t xml:space="preserve">pode ser definido como </w:t>
      </w:r>
      <w:r w:rsidR="00A04C0B" w:rsidRPr="00A04C0B">
        <w:rPr>
          <w:rFonts w:eastAsia="Arial"/>
        </w:rPr>
        <w:t>a narrativa que descreve situações da vida real</w:t>
      </w:r>
      <w:r>
        <w:rPr>
          <w:rFonts w:eastAsia="Arial"/>
        </w:rPr>
        <w:t xml:space="preserve">, </w:t>
      </w:r>
      <w:r w:rsidR="00A04C0B" w:rsidRPr="00A04C0B">
        <w:rPr>
          <w:rFonts w:eastAsia="Arial"/>
        </w:rPr>
        <w:t xml:space="preserve">criada com o objetivo de promover o aperfeiçoamento do conhecimento, o </w:t>
      </w:r>
      <w:r w:rsidR="00A04C0B" w:rsidRPr="00A04C0B">
        <w:rPr>
          <w:rFonts w:eastAsia="Arial"/>
        </w:rPr>
        <w:lastRenderedPageBreak/>
        <w:t>desenvolvimento de habilidades e a adoção de comportamentos essenciais para reso</w:t>
      </w:r>
      <w:r>
        <w:rPr>
          <w:rFonts w:eastAsia="Arial"/>
        </w:rPr>
        <w:t>lução de</w:t>
      </w:r>
      <w:r w:rsidR="00A04C0B" w:rsidRPr="00A04C0B">
        <w:rPr>
          <w:rFonts w:eastAsia="Arial"/>
        </w:rPr>
        <w:t xml:space="preserve"> problemas. </w:t>
      </w:r>
    </w:p>
    <w:p w14:paraId="2E2AE625" w14:textId="6D7E4B6E" w:rsidR="00294CC4" w:rsidRDefault="00865963" w:rsidP="00DF7D51">
      <w:pPr>
        <w:rPr>
          <w:rFonts w:eastAsia="Arial"/>
        </w:rPr>
      </w:pPr>
      <w:r>
        <w:rPr>
          <w:rFonts w:eastAsia="Arial"/>
        </w:rPr>
        <w:t xml:space="preserve">O desenvolvimento de projetos pedagógicos e de planos de ensino a </w:t>
      </w:r>
      <w:r w:rsidRPr="00865963">
        <w:rPr>
          <w:rFonts w:eastAsia="Arial"/>
        </w:rPr>
        <w:t xml:space="preserve">partir do levantamento de problemas, com a participação ativa dos alunos, </w:t>
      </w:r>
      <w:r>
        <w:rPr>
          <w:rFonts w:eastAsia="Arial"/>
        </w:rPr>
        <w:t xml:space="preserve">como no método do caso para ensino, numa “pedagogia viva, </w:t>
      </w:r>
      <w:r w:rsidRPr="00865963">
        <w:rPr>
          <w:rFonts w:eastAsia="Arial"/>
        </w:rPr>
        <w:t>aberta para a construção do método do conhecimento, nu</w:t>
      </w:r>
      <w:r>
        <w:rPr>
          <w:rFonts w:eastAsia="Arial"/>
        </w:rPr>
        <w:t>ma perspectiva interdisciplinar”</w:t>
      </w:r>
      <w:r w:rsidR="00BB2B71">
        <w:rPr>
          <w:rFonts w:eastAsia="Arial"/>
        </w:rPr>
        <w:t xml:space="preserve">, nas palavras de </w:t>
      </w:r>
      <w:proofErr w:type="spellStart"/>
      <w:r w:rsidR="00BB2B71">
        <w:rPr>
          <w:rFonts w:eastAsia="Arial"/>
        </w:rPr>
        <w:t>T</w:t>
      </w:r>
      <w:r w:rsidR="00BB2B71" w:rsidRPr="00865963">
        <w:rPr>
          <w:rFonts w:eastAsia="Arial"/>
        </w:rPr>
        <w:t>agliavini</w:t>
      </w:r>
      <w:proofErr w:type="spellEnd"/>
      <w:r w:rsidR="00BB2B71">
        <w:rPr>
          <w:rFonts w:eastAsia="Arial"/>
        </w:rPr>
        <w:t xml:space="preserve"> (2013, p. 74), </w:t>
      </w:r>
      <w:r>
        <w:rPr>
          <w:rFonts w:eastAsia="Arial"/>
        </w:rPr>
        <w:t>é essencial</w:t>
      </w:r>
      <w:r w:rsidR="00E8701F">
        <w:rPr>
          <w:rFonts w:eastAsia="Arial"/>
        </w:rPr>
        <w:t xml:space="preserve"> para superar o paradigma clássico do ensino jurídico.</w:t>
      </w:r>
    </w:p>
    <w:p w14:paraId="6CD97640" w14:textId="66E255C6" w:rsidR="000F5CA9" w:rsidRPr="00B70947" w:rsidRDefault="004329D2" w:rsidP="00294CC4">
      <w:pPr>
        <w:rPr>
          <w:rFonts w:eastAsia="Arial"/>
        </w:rPr>
      </w:pPr>
      <w:r>
        <w:rPr>
          <w:rFonts w:eastAsia="Arial"/>
        </w:rPr>
        <w:t xml:space="preserve">Não </w:t>
      </w:r>
      <w:r w:rsidR="00294CC4">
        <w:rPr>
          <w:rFonts w:eastAsia="Arial"/>
        </w:rPr>
        <w:t xml:space="preserve">se </w:t>
      </w:r>
      <w:r>
        <w:rPr>
          <w:rFonts w:eastAsia="Arial"/>
        </w:rPr>
        <w:t xml:space="preserve">trata apenas de realizar </w:t>
      </w:r>
      <w:r w:rsidR="00B31C17">
        <w:rPr>
          <w:rFonts w:eastAsia="Arial"/>
        </w:rPr>
        <w:t xml:space="preserve">comentários </w:t>
      </w:r>
      <w:r w:rsidR="00DF7D51">
        <w:rPr>
          <w:rFonts w:eastAsia="Arial"/>
        </w:rPr>
        <w:t>acerca de</w:t>
      </w:r>
      <w:r w:rsidR="00B31C17">
        <w:rPr>
          <w:rFonts w:eastAsia="Arial"/>
        </w:rPr>
        <w:t xml:space="preserve"> </w:t>
      </w:r>
      <w:r w:rsidR="00DF7D51">
        <w:rPr>
          <w:rFonts w:eastAsia="Arial"/>
        </w:rPr>
        <w:t xml:space="preserve">casos </w:t>
      </w:r>
      <w:r w:rsidR="00B31C17">
        <w:rPr>
          <w:rFonts w:eastAsia="Arial"/>
        </w:rPr>
        <w:t xml:space="preserve">julgados </w:t>
      </w:r>
      <w:r w:rsidR="00DF7D51">
        <w:rPr>
          <w:rFonts w:eastAsia="Arial"/>
        </w:rPr>
        <w:t>pelos</w:t>
      </w:r>
      <w:r>
        <w:rPr>
          <w:rFonts w:eastAsia="Arial"/>
        </w:rPr>
        <w:t xml:space="preserve"> tribunais</w:t>
      </w:r>
      <w:r w:rsidR="00DF7D51">
        <w:rPr>
          <w:rFonts w:eastAsia="Arial"/>
        </w:rPr>
        <w:t xml:space="preserve"> </w:t>
      </w:r>
      <w:r w:rsidR="00DF7D51" w:rsidRPr="00DF7D51">
        <w:rPr>
          <w:rFonts w:eastAsia="Arial"/>
        </w:rPr>
        <w:t>–</w:t>
      </w:r>
      <w:r w:rsidR="00DF7D51">
        <w:rPr>
          <w:rFonts w:eastAsia="Arial"/>
        </w:rPr>
        <w:t xml:space="preserve"> é necessário relembrar que o Direito é uma Ciência Social e, como tal, não pode existir solitariamente: precisa </w:t>
      </w:r>
      <w:r>
        <w:rPr>
          <w:rFonts w:eastAsia="Arial"/>
        </w:rPr>
        <w:t>envolver a situação social em que está situad</w:t>
      </w:r>
      <w:r w:rsidR="00DF7D51">
        <w:rPr>
          <w:rFonts w:eastAsia="Arial"/>
        </w:rPr>
        <w:t>o o sujeito</w:t>
      </w:r>
      <w:r>
        <w:rPr>
          <w:rFonts w:eastAsia="Arial"/>
        </w:rPr>
        <w:t xml:space="preserve">, podendo abordar soluções tanto judiciais como </w:t>
      </w:r>
      <w:r w:rsidR="005B4F90">
        <w:rPr>
          <w:rFonts w:eastAsia="Arial"/>
        </w:rPr>
        <w:t>extrajudiciais.</w:t>
      </w:r>
      <w:r w:rsidR="00294CC4">
        <w:rPr>
          <w:rFonts w:eastAsia="Arial"/>
        </w:rPr>
        <w:t xml:space="preserve"> Outrossim, é de se mencionar que h</w:t>
      </w:r>
      <w:r w:rsidR="000F5CA9" w:rsidRPr="00B70947">
        <w:rPr>
          <w:rFonts w:eastAsia="Arial"/>
        </w:rPr>
        <w:t>á quem diferenci</w:t>
      </w:r>
      <w:r w:rsidR="00294CC4">
        <w:rPr>
          <w:rFonts w:eastAsia="Arial"/>
        </w:rPr>
        <w:t>e</w:t>
      </w:r>
      <w:r w:rsidR="000F5CA9" w:rsidRPr="00B70947">
        <w:rPr>
          <w:rFonts w:eastAsia="Arial"/>
        </w:rPr>
        <w:t xml:space="preserve"> método d</w:t>
      </w:r>
      <w:r w:rsidR="00294CC4">
        <w:rPr>
          <w:rFonts w:eastAsia="Arial"/>
        </w:rPr>
        <w:t>e</w:t>
      </w:r>
      <w:r w:rsidR="000F5CA9" w:rsidRPr="00B70947">
        <w:rPr>
          <w:rFonts w:eastAsia="Arial"/>
        </w:rPr>
        <w:t xml:space="preserve"> caso </w:t>
      </w:r>
      <w:r w:rsidR="00294CC4">
        <w:rPr>
          <w:rFonts w:eastAsia="Arial"/>
        </w:rPr>
        <w:t>e</w:t>
      </w:r>
      <w:r w:rsidR="000F5CA9" w:rsidRPr="00B70947">
        <w:rPr>
          <w:rFonts w:eastAsia="Arial"/>
        </w:rPr>
        <w:t xml:space="preserve"> estudo de caso, sendo o primeiro relativo à aplicação na área jurídica</w:t>
      </w:r>
      <w:r w:rsidR="00294CC4">
        <w:rPr>
          <w:rFonts w:eastAsia="Arial"/>
        </w:rPr>
        <w:t>. D</w:t>
      </w:r>
      <w:r w:rsidR="000F5CA9" w:rsidRPr="00B70947">
        <w:rPr>
          <w:rFonts w:eastAsia="Arial"/>
        </w:rPr>
        <w:t>e qualquer forma</w:t>
      </w:r>
      <w:r w:rsidR="00294CC4">
        <w:rPr>
          <w:rFonts w:eastAsia="Arial"/>
        </w:rPr>
        <w:t>, aquele</w:t>
      </w:r>
      <w:r w:rsidR="000F5CA9" w:rsidRPr="00B70947">
        <w:rPr>
          <w:rFonts w:eastAsia="Arial"/>
        </w:rPr>
        <w:t xml:space="preserve"> já representava, desde então, </w:t>
      </w:r>
      <w:r w:rsidR="00C7165B">
        <w:rPr>
          <w:rFonts w:eastAsia="Arial"/>
        </w:rPr>
        <w:t xml:space="preserve">como aponta Menezes (2009), </w:t>
      </w:r>
      <w:r w:rsidR="000F5CA9" w:rsidRPr="00B70947">
        <w:rPr>
          <w:rFonts w:eastAsia="Arial"/>
        </w:rPr>
        <w:t>um método de ensino jurídico com abordagem empí</w:t>
      </w:r>
      <w:r w:rsidR="00C7165B">
        <w:rPr>
          <w:rFonts w:eastAsia="Arial"/>
        </w:rPr>
        <w:t>rica e indutiva.</w:t>
      </w:r>
    </w:p>
    <w:p w14:paraId="44FC3988" w14:textId="1EC9CF44" w:rsidR="00EC60CD" w:rsidRDefault="001D7336" w:rsidP="00EC60CD">
      <w:r>
        <w:rPr>
          <w:rFonts w:eastAsia="Arial"/>
        </w:rPr>
        <w:t xml:space="preserve">Partindo para as especificidades do </w:t>
      </w:r>
      <w:r w:rsidR="00C8701A">
        <w:rPr>
          <w:rFonts w:eastAsia="Arial"/>
        </w:rPr>
        <w:t xml:space="preserve">presente trabalho, </w:t>
      </w:r>
      <w:r w:rsidR="00986439" w:rsidRPr="009E3D7D">
        <w:t>o caso é inspirado e construído a partir d</w:t>
      </w:r>
      <w:r w:rsidR="00EC60CD">
        <w:t xml:space="preserve">o </w:t>
      </w:r>
      <w:proofErr w:type="spellStart"/>
      <w:r w:rsidR="00EC60CD" w:rsidRPr="00EC60CD">
        <w:t>REsp</w:t>
      </w:r>
      <w:proofErr w:type="spellEnd"/>
      <w:r w:rsidR="00EC60CD" w:rsidRPr="00EC60CD">
        <w:t xml:space="preserve"> 95.539/SP</w:t>
      </w:r>
      <w:r w:rsidR="00EC60CD">
        <w:t>, que representou</w:t>
      </w:r>
      <w:r w:rsidR="00986439" w:rsidRPr="009E3D7D">
        <w:t xml:space="preserve"> um julgado paradigma</w:t>
      </w:r>
      <w:r w:rsidR="00EC60CD">
        <w:t xml:space="preserve"> no</w:t>
      </w:r>
      <w:r w:rsidR="00986439" w:rsidRPr="009E3D7D">
        <w:t xml:space="preserve"> </w:t>
      </w:r>
      <w:r w:rsidR="00EC60CD">
        <w:t xml:space="preserve">âmbito do </w:t>
      </w:r>
      <w:r w:rsidR="00986439" w:rsidRPr="009E3D7D">
        <w:t>Superior Tribunal de Justiça</w:t>
      </w:r>
      <w:r>
        <w:t xml:space="preserve"> (STJ)</w:t>
      </w:r>
      <w:r w:rsidR="00EC60CD">
        <w:t xml:space="preserve">. Foram feitos os </w:t>
      </w:r>
      <w:r w:rsidR="00986439" w:rsidRPr="009E3D7D">
        <w:t xml:space="preserve">devidos acréscimos e adaptações necessárias, </w:t>
      </w:r>
      <w:r>
        <w:t xml:space="preserve">no intuito de que </w:t>
      </w:r>
      <w:r w:rsidR="00986439" w:rsidRPr="009E3D7D">
        <w:t>tanto o relato quanto a situação</w:t>
      </w:r>
      <w:r>
        <w:t>-</w:t>
      </w:r>
      <w:r w:rsidR="00986439" w:rsidRPr="009E3D7D">
        <w:t xml:space="preserve">problema sejam mais adequados para a abordagem do conteúdo </w:t>
      </w:r>
      <w:r>
        <w:t xml:space="preserve">no ambiente acadêmico. </w:t>
      </w:r>
    </w:p>
    <w:p w14:paraId="3B12028D" w14:textId="7FE45E6A" w:rsidR="0074790F" w:rsidRPr="00EC60CD" w:rsidRDefault="001D7336" w:rsidP="00EC60CD">
      <w:r>
        <w:t xml:space="preserve">A situação trabalhada é a de </w:t>
      </w:r>
      <w:r w:rsidR="0074790F">
        <w:rPr>
          <w:rFonts w:eastAsia="Arial"/>
        </w:rPr>
        <w:t>um</w:t>
      </w:r>
      <w:r w:rsidR="00EC2A58">
        <w:rPr>
          <w:rFonts w:eastAsia="Arial"/>
        </w:rPr>
        <w:t xml:space="preserve"> contrato de</w:t>
      </w:r>
      <w:r w:rsidR="0074790F">
        <w:rPr>
          <w:rFonts w:eastAsia="Arial"/>
        </w:rPr>
        <w:t xml:space="preserve"> promessa de compra e venda </w:t>
      </w:r>
      <w:r w:rsidR="00EC2A58">
        <w:rPr>
          <w:rFonts w:eastAsia="Arial"/>
        </w:rPr>
        <w:t xml:space="preserve">firmado </w:t>
      </w:r>
      <w:r w:rsidR="0074790F">
        <w:rPr>
          <w:rFonts w:eastAsia="Arial"/>
        </w:rPr>
        <w:t>sem a devida anuência de um dos cônjuges,</w:t>
      </w:r>
      <w:r>
        <w:rPr>
          <w:rFonts w:eastAsia="Arial"/>
        </w:rPr>
        <w:t xml:space="preserve"> </w:t>
      </w:r>
      <w:r w:rsidR="00EC2A58">
        <w:rPr>
          <w:rFonts w:eastAsia="Arial"/>
        </w:rPr>
        <w:t>cujos termos pactuados são</w:t>
      </w:r>
      <w:r>
        <w:rPr>
          <w:rFonts w:eastAsia="Arial"/>
        </w:rPr>
        <w:t xml:space="preserve"> diretamente influenciad</w:t>
      </w:r>
      <w:r w:rsidR="00EC2A58">
        <w:rPr>
          <w:rFonts w:eastAsia="Arial"/>
        </w:rPr>
        <w:t>os</w:t>
      </w:r>
      <w:r>
        <w:rPr>
          <w:rFonts w:eastAsia="Arial"/>
        </w:rPr>
        <w:t xml:space="preserve"> pelo decurso do </w:t>
      </w:r>
      <w:r w:rsidR="0074790F">
        <w:rPr>
          <w:rFonts w:eastAsia="Arial"/>
        </w:rPr>
        <w:t>tempo e</w:t>
      </w:r>
      <w:r>
        <w:rPr>
          <w:rFonts w:eastAsia="Arial"/>
        </w:rPr>
        <w:t xml:space="preserve"> pelo</w:t>
      </w:r>
      <w:r w:rsidR="0074790F">
        <w:rPr>
          <w:rFonts w:eastAsia="Arial"/>
        </w:rPr>
        <w:t xml:space="preserve"> comportamento das partes após o </w:t>
      </w:r>
      <w:r>
        <w:rPr>
          <w:rFonts w:eastAsia="Arial"/>
        </w:rPr>
        <w:t>negócio jurídico</w:t>
      </w:r>
      <w:r w:rsidR="0069633F">
        <w:rPr>
          <w:rFonts w:eastAsia="Arial"/>
        </w:rPr>
        <w:t>. Esses</w:t>
      </w:r>
      <w:r>
        <w:rPr>
          <w:rFonts w:eastAsia="Arial"/>
        </w:rPr>
        <w:t xml:space="preserve"> fatores</w:t>
      </w:r>
      <w:r w:rsidR="0074790F">
        <w:rPr>
          <w:rFonts w:eastAsia="Arial"/>
        </w:rPr>
        <w:t xml:space="preserve"> </w:t>
      </w:r>
      <w:r w:rsidR="0069633F">
        <w:rPr>
          <w:rFonts w:eastAsia="Arial"/>
        </w:rPr>
        <w:t xml:space="preserve">são </w:t>
      </w:r>
      <w:r w:rsidR="0074790F">
        <w:rPr>
          <w:rFonts w:eastAsia="Arial"/>
        </w:rPr>
        <w:t xml:space="preserve">cruciais para a solução do problema </w:t>
      </w:r>
      <w:r>
        <w:rPr>
          <w:rFonts w:eastAsia="Arial"/>
        </w:rPr>
        <w:t>a ser apontado</w:t>
      </w:r>
      <w:r w:rsidR="0069633F">
        <w:rPr>
          <w:rFonts w:eastAsia="Arial"/>
        </w:rPr>
        <w:t>, conforme ver-se-á adiante</w:t>
      </w:r>
      <w:r w:rsidR="0074790F">
        <w:rPr>
          <w:rFonts w:eastAsia="Arial"/>
        </w:rPr>
        <w:t>.</w:t>
      </w:r>
    </w:p>
    <w:p w14:paraId="33C2E4C9" w14:textId="2A4AE67A" w:rsidR="00CA6835" w:rsidRPr="00532A14" w:rsidRDefault="00CA6835" w:rsidP="003C1463">
      <w:pPr>
        <w:pStyle w:val="Ttulo2"/>
        <w:rPr>
          <w:rFonts w:eastAsia="Arial"/>
        </w:rPr>
      </w:pPr>
      <w:r w:rsidRPr="00532A14">
        <w:rPr>
          <w:rFonts w:eastAsia="Arial"/>
        </w:rPr>
        <w:t>Objetivos Educaciona</w:t>
      </w:r>
      <w:r w:rsidR="005E4665" w:rsidRPr="00532A14">
        <w:rPr>
          <w:rFonts w:eastAsia="Arial"/>
        </w:rPr>
        <w:t>is</w:t>
      </w:r>
    </w:p>
    <w:p w14:paraId="766EF840" w14:textId="70E5FD47" w:rsidR="00421993" w:rsidRDefault="00421993" w:rsidP="00421993">
      <w:r>
        <w:t>O caso é centrado em problemas e narrado do ponto de vista do protagonista, sendo um desafio conectar a ação dos personagens ao contexto e à sequência de acontecimentos que desencadearam tais problemas, aproximando assim o texto de uma história real em vez de um relatório ou mera descr</w:t>
      </w:r>
      <w:r w:rsidR="007A5755">
        <w:t>ição de eventos (ROESCH, 2011).</w:t>
      </w:r>
    </w:p>
    <w:p w14:paraId="1080EB66" w14:textId="600FE111" w:rsidR="00421993" w:rsidRDefault="00421993" w:rsidP="00421993">
      <w:r>
        <w:t>Diante disso, o</w:t>
      </w:r>
      <w:r w:rsidRPr="004456FF">
        <w:t xml:space="preserve">s objetivos que permeiam a realização da presente atividade estão concentrados na seara da prática jurídica. Isso pois, por meio da aplicação do caso em questão, pretende-se que o aluno avance no desenvolvimento da capacidade de raciocínio jurídico, </w:t>
      </w:r>
      <w:r>
        <w:t xml:space="preserve">ao </w:t>
      </w:r>
      <w:r>
        <w:lastRenderedPageBreak/>
        <w:t>ser pugnado por uma situação concreta. Desta feita, o</w:t>
      </w:r>
      <w:r w:rsidR="0053310F">
        <w:t xml:space="preserve"> principal objetivo pedagógico é </w:t>
      </w:r>
      <w:r>
        <w:t>instigar os</w:t>
      </w:r>
      <w:r w:rsidR="0053310F">
        <w:t xml:space="preserve"> alunos </w:t>
      </w:r>
      <w:r>
        <w:t xml:space="preserve">a participar, </w:t>
      </w:r>
      <w:r w:rsidR="0053310F">
        <w:t>discutir e refletir sobre o caso específico</w:t>
      </w:r>
      <w:r>
        <w:t xml:space="preserve">, o que propiciará o </w:t>
      </w:r>
      <w:r w:rsidR="0053310F">
        <w:t>desenvolvimento de planos de ação e critério para tomadas de decisão</w:t>
      </w:r>
      <w:r>
        <w:t xml:space="preserve"> (ARRUDA, 2019)</w:t>
      </w:r>
    </w:p>
    <w:p w14:paraId="7CFCF6FC" w14:textId="3B08F89F" w:rsidR="009C2AAB" w:rsidRDefault="00EA32E6" w:rsidP="00EA32E6">
      <w:r>
        <w:rPr>
          <w:rFonts w:cs="Times New Roman"/>
          <w:szCs w:val="24"/>
        </w:rPr>
        <w:t>Ademais, outro objetivo alcançado é a percepção, pelos estudantes, de que um caso prático pode englobar diversas estratégias de defesa</w:t>
      </w:r>
      <w:r w:rsidR="00421993">
        <w:rPr>
          <w:rFonts w:cs="Times New Roman"/>
          <w:szCs w:val="24"/>
        </w:rPr>
        <w:t xml:space="preserve"> e julgamento</w:t>
      </w:r>
      <w:r>
        <w:rPr>
          <w:rFonts w:cs="Times New Roman"/>
          <w:szCs w:val="24"/>
        </w:rPr>
        <w:t xml:space="preserve">, sendo necessário atentar-se </w:t>
      </w:r>
      <w:r w:rsidR="00421993">
        <w:rPr>
          <w:rFonts w:cs="Times New Roman"/>
          <w:szCs w:val="24"/>
        </w:rPr>
        <w:t>quanto ao planejamento que</w:t>
      </w:r>
      <w:r>
        <w:rPr>
          <w:rFonts w:cs="Times New Roman"/>
          <w:szCs w:val="24"/>
        </w:rPr>
        <w:t xml:space="preserve"> deve ser seguid</w:t>
      </w:r>
      <w:r w:rsidR="00421993">
        <w:rPr>
          <w:rFonts w:cs="Times New Roman"/>
          <w:szCs w:val="24"/>
        </w:rPr>
        <w:t>o</w:t>
      </w:r>
      <w:r>
        <w:rPr>
          <w:rFonts w:cs="Times New Roman"/>
          <w:szCs w:val="24"/>
        </w:rPr>
        <w:t xml:space="preserve"> para melhor proteger os interesses d</w:t>
      </w:r>
      <w:r w:rsidR="00421993">
        <w:rPr>
          <w:rFonts w:cs="Times New Roman"/>
          <w:szCs w:val="24"/>
        </w:rPr>
        <w:t>e ambos os</w:t>
      </w:r>
      <w:r>
        <w:rPr>
          <w:rFonts w:cs="Times New Roman"/>
          <w:szCs w:val="24"/>
        </w:rPr>
        <w:t xml:space="preserve"> polo</w:t>
      </w:r>
      <w:r w:rsidR="00421993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na demanda.</w:t>
      </w:r>
      <w:r w:rsidR="0042199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Dessa forma, almeja-se que os estudantes desenvolvam soluções práticas para o caso</w:t>
      </w:r>
      <w:r w:rsidR="00421993">
        <w:rPr>
          <w:rFonts w:cs="Times New Roman"/>
          <w:szCs w:val="24"/>
        </w:rPr>
        <w:t xml:space="preserve"> por meio de discussões e diálogos frutíferos,</w:t>
      </w:r>
      <w:r>
        <w:rPr>
          <w:rFonts w:cs="Times New Roman"/>
          <w:szCs w:val="24"/>
        </w:rPr>
        <w:t xml:space="preserve"> </w:t>
      </w:r>
      <w:r w:rsidR="003C6E2B">
        <w:rPr>
          <w:rFonts w:cs="Times New Roman"/>
          <w:szCs w:val="24"/>
        </w:rPr>
        <w:t>posto</w:t>
      </w:r>
      <w:r w:rsidR="00421993">
        <w:rPr>
          <w:rFonts w:cs="Times New Roman"/>
          <w:szCs w:val="24"/>
        </w:rPr>
        <w:t xml:space="preserve"> que</w:t>
      </w:r>
      <w:r w:rsidR="003C6E2B">
        <w:rPr>
          <w:rFonts w:cs="Times New Roman"/>
          <w:szCs w:val="24"/>
        </w:rPr>
        <w:t>, possivelmente, haverá divergências e apresentações de soluções diversas.</w:t>
      </w:r>
    </w:p>
    <w:p w14:paraId="0748FE97" w14:textId="61821DE9"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Disciplinas e possibilidades de apli</w:t>
      </w:r>
      <w:r w:rsidR="005E4665">
        <w:rPr>
          <w:rFonts w:eastAsia="Arial"/>
        </w:rPr>
        <w:t>cação do caso</w:t>
      </w:r>
    </w:p>
    <w:p w14:paraId="7F912450" w14:textId="22450D86" w:rsidR="00C83CFB" w:rsidRDefault="00EA32E6" w:rsidP="00C83CFB">
      <w:r w:rsidRPr="00E41E86">
        <w:t xml:space="preserve">O presente caso de ensino foi </w:t>
      </w:r>
      <w:r w:rsidR="00D74AB8">
        <w:t>elaborado</w:t>
      </w:r>
      <w:r w:rsidRPr="00E41E86">
        <w:t xml:space="preserve"> para aplicação nas disciplinas d</w:t>
      </w:r>
      <w:r w:rsidR="00364F29">
        <w:t>o curso de Direito, especialmente na área do</w:t>
      </w:r>
      <w:r w:rsidRPr="00E41E86">
        <w:t xml:space="preserve"> Direito Civil</w:t>
      </w:r>
      <w:r w:rsidR="00267400">
        <w:t xml:space="preserve">, </w:t>
      </w:r>
      <w:r w:rsidR="00364F29">
        <w:t xml:space="preserve">e mais especificamente </w:t>
      </w:r>
      <w:r w:rsidR="00267400">
        <w:t>nas</w:t>
      </w:r>
      <w:r w:rsidR="00C83CFB">
        <w:t xml:space="preserve"> </w:t>
      </w:r>
      <w:r w:rsidRPr="00E41E86">
        <w:t>cadeira</w:t>
      </w:r>
      <w:r w:rsidR="00267400">
        <w:t>s</w:t>
      </w:r>
      <w:r w:rsidRPr="00E41E86">
        <w:t xml:space="preserve"> de </w:t>
      </w:r>
      <w:r w:rsidR="00267400">
        <w:t xml:space="preserve">Direito Contratual, quais sejam: </w:t>
      </w:r>
      <w:r w:rsidRPr="00E41E86">
        <w:t>Direito Civil III</w:t>
      </w:r>
      <w:r w:rsidR="00267400">
        <w:t xml:space="preserve"> (teoria geral dos contratos)</w:t>
      </w:r>
      <w:r w:rsidR="00364F29">
        <w:t xml:space="preserve"> e</w:t>
      </w:r>
      <w:r w:rsidRPr="00E41E86">
        <w:t xml:space="preserve"> Direito Civil IV</w:t>
      </w:r>
      <w:r w:rsidR="00267400">
        <w:t xml:space="preserve"> (contratos em espécie)</w:t>
      </w:r>
      <w:r w:rsidR="003D1469">
        <w:t>.</w:t>
      </w:r>
    </w:p>
    <w:p w14:paraId="5E6692A8" w14:textId="2EDBEE82" w:rsidR="00EA32E6" w:rsidRDefault="00267400" w:rsidP="00F16169">
      <w:pPr>
        <w:rPr>
          <w:rFonts w:cs="Times New Roman"/>
          <w:szCs w:val="24"/>
        </w:rPr>
      </w:pPr>
      <w:r>
        <w:t xml:space="preserve">Todavia, </w:t>
      </w:r>
      <w:r w:rsidR="00C83CFB">
        <w:t>também</w:t>
      </w:r>
      <w:r>
        <w:t xml:space="preserve"> se mostra </w:t>
      </w:r>
      <w:r w:rsidR="00C83CFB">
        <w:t xml:space="preserve">cabível o seu manejo na disciplina </w:t>
      </w:r>
      <w:r w:rsidR="00C83CFB" w:rsidRPr="00E41E86">
        <w:rPr>
          <w:rFonts w:cs="Times New Roman"/>
          <w:szCs w:val="24"/>
        </w:rPr>
        <w:t>Direito Civil II</w:t>
      </w:r>
      <w:r w:rsidR="00A30A28">
        <w:rPr>
          <w:rFonts w:cs="Times New Roman"/>
          <w:szCs w:val="24"/>
        </w:rPr>
        <w:t xml:space="preserve"> (teoria geral das obrigações</w:t>
      </w:r>
      <w:r w:rsidR="00C83CFB" w:rsidRPr="00E41E86">
        <w:rPr>
          <w:rFonts w:cs="Times New Roman"/>
          <w:szCs w:val="24"/>
        </w:rPr>
        <w:t>)</w:t>
      </w:r>
      <w:r w:rsidR="00A30A28">
        <w:rPr>
          <w:rFonts w:cs="Times New Roman"/>
          <w:szCs w:val="24"/>
        </w:rPr>
        <w:t xml:space="preserve"> </w:t>
      </w:r>
      <w:r w:rsidR="00EA32E6">
        <w:t>ou, ainda</w:t>
      </w:r>
      <w:r w:rsidR="00A30A28">
        <w:t>,</w:t>
      </w:r>
      <w:r w:rsidR="00EA32E6">
        <w:t xml:space="preserve"> na cadeira de</w:t>
      </w:r>
      <w:r w:rsidR="00A30A28">
        <w:t xml:space="preserve"> Direito Civil VI (direito de família)</w:t>
      </w:r>
      <w:r w:rsidR="00EA32E6" w:rsidRPr="00E41E86">
        <w:t>.</w:t>
      </w:r>
      <w:r w:rsidR="00A30A28">
        <w:t xml:space="preserve"> Ademais, o caso pensado </w:t>
      </w:r>
      <w:r w:rsidR="00EA32E6" w:rsidRPr="00E41E86">
        <w:rPr>
          <w:rFonts w:cs="Times New Roman"/>
          <w:szCs w:val="24"/>
        </w:rPr>
        <w:t>pode ser utilizado nas disciplinas de prática jurídica</w:t>
      </w:r>
      <w:r w:rsidR="00A30A28">
        <w:rPr>
          <w:rFonts w:cs="Times New Roman"/>
          <w:szCs w:val="24"/>
        </w:rPr>
        <w:t xml:space="preserve"> </w:t>
      </w:r>
      <w:r w:rsidR="00EA32E6" w:rsidRPr="00E41E86">
        <w:rPr>
          <w:rFonts w:cs="Times New Roman"/>
          <w:szCs w:val="24"/>
        </w:rPr>
        <w:t xml:space="preserve">que envolvam aspectos do </w:t>
      </w:r>
      <w:r w:rsidR="00A30A28">
        <w:rPr>
          <w:rFonts w:cs="Times New Roman"/>
          <w:szCs w:val="24"/>
        </w:rPr>
        <w:t>D</w:t>
      </w:r>
      <w:r w:rsidR="00EA32E6" w:rsidRPr="00E41E86">
        <w:rPr>
          <w:rFonts w:cs="Times New Roman"/>
          <w:szCs w:val="24"/>
        </w:rPr>
        <w:t xml:space="preserve">ireito </w:t>
      </w:r>
      <w:r w:rsidR="00A30A28">
        <w:rPr>
          <w:rFonts w:cs="Times New Roman"/>
          <w:szCs w:val="24"/>
        </w:rPr>
        <w:t>C</w:t>
      </w:r>
      <w:r w:rsidR="00EA32E6" w:rsidRPr="00E41E86">
        <w:rPr>
          <w:rFonts w:cs="Times New Roman"/>
          <w:szCs w:val="24"/>
        </w:rPr>
        <w:t>ivil</w:t>
      </w:r>
      <w:r w:rsidR="00EA32E6">
        <w:rPr>
          <w:rFonts w:cs="Times New Roman"/>
          <w:szCs w:val="24"/>
        </w:rPr>
        <w:t>, como Análise de Casos Concretos</w:t>
      </w:r>
      <w:r w:rsidR="00F16169">
        <w:rPr>
          <w:rFonts w:cs="Times New Roman"/>
          <w:szCs w:val="24"/>
        </w:rPr>
        <w:t xml:space="preserve"> I e Análise de Casos Concretos II.</w:t>
      </w:r>
    </w:p>
    <w:p w14:paraId="4659BBC8" w14:textId="33364984" w:rsidR="00E448C0" w:rsidRPr="00E41E86" w:rsidRDefault="00E448C0" w:rsidP="00F16169">
      <w:pPr>
        <w:rPr>
          <w:rFonts w:cs="Times New Roman"/>
          <w:szCs w:val="24"/>
        </w:rPr>
      </w:pPr>
      <w:r>
        <w:rPr>
          <w:rFonts w:cs="Times New Roman"/>
          <w:szCs w:val="24"/>
        </w:rPr>
        <w:t>E como o caso envolve direito de propriedade, seja pela alienação por meio de contrato, seja por usucapião, é recomendado também para disciplina de Direito das Coisas (Direito Civil V).</w:t>
      </w:r>
    </w:p>
    <w:p w14:paraId="02C16981" w14:textId="402DBBF9" w:rsidR="00CA6835" w:rsidRDefault="00CA6835" w:rsidP="003279D3">
      <w:pPr>
        <w:pStyle w:val="Ttulo2"/>
        <w:rPr>
          <w:rFonts w:eastAsia="Arial"/>
        </w:rPr>
      </w:pPr>
      <w:r w:rsidRPr="00CA6835">
        <w:rPr>
          <w:rFonts w:eastAsia="Arial"/>
        </w:rPr>
        <w:t>Aspecto</w:t>
      </w:r>
      <w:r w:rsidR="005E4665">
        <w:rPr>
          <w:rFonts w:eastAsia="Arial"/>
        </w:rPr>
        <w:t>s pedagógicos para a aplicação</w:t>
      </w:r>
    </w:p>
    <w:p w14:paraId="40A45B8A" w14:textId="2CD5D1C0" w:rsidR="007817C4" w:rsidRPr="00A661D4" w:rsidRDefault="007817C4" w:rsidP="0070302D">
      <w:pPr>
        <w:rPr>
          <w:color w:val="000000" w:themeColor="text1"/>
        </w:rPr>
      </w:pPr>
      <w:r w:rsidRPr="00A661D4">
        <w:rPr>
          <w:color w:val="000000" w:themeColor="text1"/>
        </w:rPr>
        <w:t xml:space="preserve">O método do caso </w:t>
      </w:r>
      <w:r w:rsidR="00A5764B" w:rsidRPr="00A661D4">
        <w:rPr>
          <w:color w:val="000000" w:themeColor="text1"/>
        </w:rPr>
        <w:t xml:space="preserve">de ensino </w:t>
      </w:r>
      <w:r w:rsidRPr="00A661D4">
        <w:rPr>
          <w:color w:val="000000" w:themeColor="text1"/>
        </w:rPr>
        <w:t>insere-se n</w:t>
      </w:r>
      <w:r w:rsidR="00A5764B" w:rsidRPr="00A661D4">
        <w:rPr>
          <w:color w:val="000000" w:themeColor="text1"/>
        </w:rPr>
        <w:t xml:space="preserve">o âmbito das </w:t>
      </w:r>
      <w:r w:rsidRPr="00A661D4">
        <w:rPr>
          <w:color w:val="000000" w:themeColor="text1"/>
        </w:rPr>
        <w:t xml:space="preserve">metodologias ativas, em contraponto ao método tradicional, direcionando o foco </w:t>
      </w:r>
      <w:r w:rsidR="00A5764B" w:rsidRPr="00A661D4">
        <w:rPr>
          <w:color w:val="000000" w:themeColor="text1"/>
        </w:rPr>
        <w:t xml:space="preserve">da atividade </w:t>
      </w:r>
      <w:r w:rsidRPr="00A661D4">
        <w:rPr>
          <w:color w:val="000000" w:themeColor="text1"/>
        </w:rPr>
        <w:t>dos docentes, antes responsáveis pela transmissão de informações, para os discentes, que passam a construir o conhecimento de forma colaborativa, tornando-se sujeitos do método em vez de meros objetos (WAGNER</w:t>
      </w:r>
      <w:r w:rsidR="00A661D4" w:rsidRPr="00A661D4">
        <w:rPr>
          <w:color w:val="000000" w:themeColor="text1"/>
        </w:rPr>
        <w:t xml:space="preserve">, KELLER-FRANCO e SOUZA, </w:t>
      </w:r>
      <w:r w:rsidRPr="00A661D4">
        <w:rPr>
          <w:color w:val="000000" w:themeColor="text1"/>
        </w:rPr>
        <w:t>2023).</w:t>
      </w:r>
    </w:p>
    <w:p w14:paraId="41970E34" w14:textId="4BE55E52" w:rsidR="00EA32E6" w:rsidRPr="00E15FAD" w:rsidRDefault="00A5764B" w:rsidP="0070302D">
      <w:r>
        <w:t xml:space="preserve">No que tange aos aspectos pedagógicos, o primeiro ponto a ser ressaltado trata-se do tempo de </w:t>
      </w:r>
      <w:r w:rsidR="00EA32E6" w:rsidRPr="005D2378">
        <w:t xml:space="preserve">aplicação do caso </w:t>
      </w:r>
      <w:r>
        <w:t xml:space="preserve">de ensino proposto. </w:t>
      </w:r>
      <w:r w:rsidR="001C5306">
        <w:t xml:space="preserve">Pensou-se </w:t>
      </w:r>
      <w:r>
        <w:t xml:space="preserve">numa aplicação </w:t>
      </w:r>
      <w:r w:rsidR="001C5306">
        <w:t xml:space="preserve">de duração média de </w:t>
      </w:r>
      <w:r w:rsidR="00EA32E6" w:rsidRPr="005D2378">
        <w:t xml:space="preserve">uma hora e </w:t>
      </w:r>
      <w:r w:rsidR="007776BB">
        <w:t xml:space="preserve">quarenta </w:t>
      </w:r>
      <w:r w:rsidR="00EA32E6" w:rsidRPr="005D2378">
        <w:t>minutos,</w:t>
      </w:r>
      <w:r w:rsidR="001C5306">
        <w:t xml:space="preserve"> o</w:t>
      </w:r>
      <w:r w:rsidR="00EA32E6" w:rsidRPr="005D2378">
        <w:t xml:space="preserve"> que corresponde a</w:t>
      </w:r>
      <w:r w:rsidR="001C5306">
        <w:t xml:space="preserve"> dois horários de </w:t>
      </w:r>
      <w:r w:rsidR="00EA32E6" w:rsidRPr="005D2378">
        <w:t>aula.</w:t>
      </w:r>
      <w:r w:rsidR="00D85D09">
        <w:t xml:space="preserve"> Nesse aspecto, p</w:t>
      </w:r>
      <w:r w:rsidR="00EA32E6" w:rsidRPr="00E15FAD">
        <w:t xml:space="preserve">ara </w:t>
      </w:r>
      <w:r w:rsidR="00EA32E6" w:rsidRPr="00E15FAD">
        <w:lastRenderedPageBreak/>
        <w:t xml:space="preserve">solução do caso, </w:t>
      </w:r>
      <w:r w:rsidR="00D85D09">
        <w:t xml:space="preserve">o docente e os monitores devem </w:t>
      </w:r>
      <w:r w:rsidR="00EA32E6" w:rsidRPr="00E15FAD">
        <w:t>dividir a turma em</w:t>
      </w:r>
      <w:r w:rsidR="00D85D09">
        <w:t xml:space="preserve"> cinco</w:t>
      </w:r>
      <w:r w:rsidR="00EA32E6" w:rsidRPr="00E15FAD">
        <w:t xml:space="preserve"> grupos</w:t>
      </w:r>
      <w:r w:rsidR="00D85D09">
        <w:t xml:space="preserve">, os quais devem </w:t>
      </w:r>
      <w:r w:rsidR="00EA32E6" w:rsidRPr="00E15FAD">
        <w:t xml:space="preserve">responder </w:t>
      </w:r>
      <w:r w:rsidR="00D85D09">
        <w:t xml:space="preserve">todas </w:t>
      </w:r>
      <w:r w:rsidR="00EA32E6" w:rsidRPr="00E15FAD">
        <w:t xml:space="preserve">as questões envolvidas. </w:t>
      </w:r>
      <w:r w:rsidR="00D85D09">
        <w:t>Todavia, no âmbito d</w:t>
      </w:r>
      <w:r w:rsidR="00EA32E6" w:rsidRPr="00E15FAD">
        <w:t xml:space="preserve">a discussão das questões, pode-se </w:t>
      </w:r>
      <w:r w:rsidR="00D85D09">
        <w:t>distribuir</w:t>
      </w:r>
      <w:r w:rsidR="00EA32E6" w:rsidRPr="00E15FAD">
        <w:t xml:space="preserve"> questões </w:t>
      </w:r>
      <w:r w:rsidR="00933D14">
        <w:t>específicas para cada grupo</w:t>
      </w:r>
      <w:r w:rsidR="00EA32E6" w:rsidRPr="00E15FAD">
        <w:t xml:space="preserve">, </w:t>
      </w:r>
      <w:r w:rsidR="00D85D09">
        <w:t>no intuito de</w:t>
      </w:r>
      <w:r w:rsidR="00EA32E6" w:rsidRPr="00E15FAD">
        <w:t xml:space="preserve"> evitar redundância nas respostas.</w:t>
      </w:r>
    </w:p>
    <w:p w14:paraId="5B08B3E9" w14:textId="1CCFB28B" w:rsidR="00EA32E6" w:rsidRPr="005D2378" w:rsidRDefault="005346EB" w:rsidP="0070302D">
      <w:r>
        <w:t>Pode ser realizada uma simulação d</w:t>
      </w:r>
      <w:r w:rsidR="00EA32E6" w:rsidRPr="00E15FAD">
        <w:t xml:space="preserve">o momento da </w:t>
      </w:r>
      <w:r w:rsidR="00C66123">
        <w:t>promessa de compra e venda do imóvel</w:t>
      </w:r>
      <w:r>
        <w:t xml:space="preserve">, fazendo-se necessária a participação de dois grupos: </w:t>
      </w:r>
      <w:r w:rsidR="00EA32E6" w:rsidRPr="00E15FAD">
        <w:t>um para fazer o papel de José, Joana e s</w:t>
      </w:r>
      <w:r>
        <w:t>eu advogado e</w:t>
      </w:r>
      <w:r w:rsidR="00EA32E6" w:rsidRPr="00E15FAD">
        <w:t xml:space="preserve"> </w:t>
      </w:r>
      <w:r>
        <w:t xml:space="preserve">o </w:t>
      </w:r>
      <w:r w:rsidR="00EA32E6" w:rsidRPr="00E15FAD">
        <w:t xml:space="preserve">outro para fazer o papel de Pedro, Júlia e seu </w:t>
      </w:r>
      <w:r>
        <w:t>causídico</w:t>
      </w:r>
      <w:r w:rsidR="00EA32E6" w:rsidRPr="00E15FAD">
        <w:t xml:space="preserve">. </w:t>
      </w:r>
      <w:r>
        <w:t xml:space="preserve">Para essa encenação, é </w:t>
      </w:r>
      <w:r w:rsidR="00EA32E6" w:rsidRPr="00E15FAD">
        <w:t xml:space="preserve">relevante apresentar algumas orientações </w:t>
      </w:r>
      <w:r>
        <w:t xml:space="preserve">prévias a </w:t>
      </w:r>
      <w:r w:rsidR="00EA32E6" w:rsidRPr="00E15FAD">
        <w:t>cada um</w:t>
      </w:r>
      <w:r>
        <w:t xml:space="preserve"> dos grupos que interpretará </w:t>
      </w:r>
      <w:r w:rsidR="00EA32E6" w:rsidRPr="00E15FAD">
        <w:t>esses dois papéis.</w:t>
      </w:r>
    </w:p>
    <w:p w14:paraId="77EAD55F" w14:textId="2623209A" w:rsidR="00EA32E6" w:rsidRPr="005D2378" w:rsidRDefault="00061A34" w:rsidP="0070302D">
      <w:r>
        <w:t xml:space="preserve">Quanto ao grupo 01, o qual interpretará os promitentes vendedores, </w:t>
      </w:r>
      <w:r w:rsidR="009D68B4">
        <w:t>recomenda-se a</w:t>
      </w:r>
      <w:r>
        <w:t xml:space="preserve"> seguinte o</w:t>
      </w:r>
      <w:r w:rsidR="00EA32E6" w:rsidRPr="005D2378">
        <w:t>rientação</w:t>
      </w:r>
      <w:r>
        <w:t>: o</w:t>
      </w:r>
      <w:r w:rsidR="00EA32E6" w:rsidRPr="005D2378">
        <w:t xml:space="preserve"> tutor </w:t>
      </w:r>
      <w:r>
        <w:t xml:space="preserve">responsável </w:t>
      </w:r>
      <w:r w:rsidR="00EA32E6" w:rsidRPr="005D2378">
        <w:t xml:space="preserve">deverá orientar o grupo a manter uma atitude de dúvida quanto à </w:t>
      </w:r>
      <w:r w:rsidR="00EA32E6">
        <w:t>ciência de Joana acerca da promessa de compra e venda do imóvel.</w:t>
      </w:r>
      <w:r w:rsidR="00EA32E6" w:rsidRPr="005D2378">
        <w:t xml:space="preserve"> </w:t>
      </w:r>
      <w:r>
        <w:t xml:space="preserve">O grupo </w:t>
      </w:r>
      <w:r w:rsidR="00EA32E6" w:rsidRPr="005D2378">
        <w:t xml:space="preserve">também </w:t>
      </w:r>
      <w:r>
        <w:t xml:space="preserve">deverá </w:t>
      </w:r>
      <w:r w:rsidR="00EA32E6">
        <w:t xml:space="preserve">tentar estabelecer que a responsabilidade de adimplir com as prestações vencidas e vincendas do </w:t>
      </w:r>
      <w:r w:rsidRPr="00061A34">
        <w:t xml:space="preserve">Imposto sobre a Propriedade Predial e Territorial Urbana </w:t>
      </w:r>
      <w:r>
        <w:t>(</w:t>
      </w:r>
      <w:r w:rsidR="00EA32E6">
        <w:t>IPTU</w:t>
      </w:r>
      <w:r>
        <w:t>)</w:t>
      </w:r>
      <w:r w:rsidR="00EA32E6">
        <w:t xml:space="preserve"> e das taxas condominiais será dos promitentes compradores</w:t>
      </w:r>
      <w:r w:rsidR="00EA32E6" w:rsidRPr="005D2378">
        <w:t>. Não</w:t>
      </w:r>
      <w:r w:rsidR="0070302D">
        <w:t xml:space="preserve"> poderá</w:t>
      </w:r>
      <w:r w:rsidR="00EA32E6" w:rsidRPr="005D2378">
        <w:t xml:space="preserve"> dar margem para que o</w:t>
      </w:r>
      <w:r w:rsidR="00EA32E6">
        <w:t>s promitentes compradores</w:t>
      </w:r>
      <w:r w:rsidR="00EA32E6" w:rsidRPr="005D2378">
        <w:t xml:space="preserve"> pense</w:t>
      </w:r>
      <w:r w:rsidR="00EA32E6">
        <w:t>m</w:t>
      </w:r>
      <w:r w:rsidR="00EA32E6" w:rsidRPr="005D2378">
        <w:t xml:space="preserve"> que há um risco na contratação</w:t>
      </w:r>
      <w:r w:rsidR="00EA32E6">
        <w:t xml:space="preserve">, </w:t>
      </w:r>
      <w:r w:rsidR="0070302D">
        <w:t xml:space="preserve">podendo, para isso, </w:t>
      </w:r>
      <w:r w:rsidR="00EA32E6">
        <w:t xml:space="preserve">especificar as boas condições do imóvel. </w:t>
      </w:r>
      <w:r w:rsidR="0070302D">
        <w:t>Por fim, deverão f</w:t>
      </w:r>
      <w:r w:rsidR="00EA32E6">
        <w:t>echar o contrato sem a anuência expressa de Joana.</w:t>
      </w:r>
    </w:p>
    <w:p w14:paraId="070894A7" w14:textId="13398ACA" w:rsidR="00EA32E6" w:rsidRDefault="0070302D" w:rsidP="0070302D">
      <w:r>
        <w:t>Já quanto ao grupo 02, o qual interpretará os promitentes compradores, o</w:t>
      </w:r>
      <w:r w:rsidR="00EA32E6" w:rsidRPr="005D2378">
        <w:t xml:space="preserve"> tutor</w:t>
      </w:r>
      <w:r>
        <w:t xml:space="preserve"> responsável</w:t>
      </w:r>
      <w:r w:rsidR="00EA32E6" w:rsidRPr="005D2378">
        <w:t xml:space="preserve"> deverá orientar o grupo a </w:t>
      </w:r>
      <w:r w:rsidR="00EA32E6">
        <w:t>refletir sobre as condições impostas pelos promitentes compradores</w:t>
      </w:r>
      <w:r>
        <w:t xml:space="preserve"> e, especialmente, refletir sobre </w:t>
      </w:r>
      <w:r w:rsidR="00EA32E6">
        <w:t xml:space="preserve">como barganhar o valor final do imóvel. </w:t>
      </w:r>
      <w:r>
        <w:t xml:space="preserve">Além disso, </w:t>
      </w:r>
      <w:r w:rsidR="00EA32E6">
        <w:t>o grupo deverá tentar formalizar o contrato</w:t>
      </w:r>
      <w:r w:rsidR="00EA32E6" w:rsidRPr="003B7247">
        <w:t xml:space="preserve"> </w:t>
      </w:r>
      <w:r w:rsidR="00EA32E6">
        <w:t>por escrito, requerendo a anuência expressa de Joana</w:t>
      </w:r>
      <w:r>
        <w:t xml:space="preserve">, contudo, </w:t>
      </w:r>
      <w:r w:rsidR="00EA32E6">
        <w:t xml:space="preserve">não sendo possível, deverá fechar o contrato mesmo sem tal formalidade. </w:t>
      </w:r>
    </w:p>
    <w:p w14:paraId="6D35DC05" w14:textId="73B0C7AE" w:rsidR="00B76ECD" w:rsidRPr="00896885" w:rsidRDefault="00EA32E6" w:rsidP="00A669B9">
      <w:r w:rsidRPr="005D2378">
        <w:t>Pode-se dividir a aplicação do caso em algumas fases:</w:t>
      </w:r>
      <w:r w:rsidR="00FD7319">
        <w:t xml:space="preserve"> (i) e</w:t>
      </w:r>
      <w:r w:rsidRPr="00FD7319">
        <w:t>xplicações iniciais a todos na sala</w:t>
      </w:r>
      <w:r w:rsidR="00FD7319">
        <w:t>, ressaltando que se trata de um contrato de p</w:t>
      </w:r>
      <w:r w:rsidRPr="00FD7319">
        <w:t>romessa de compra e venda</w:t>
      </w:r>
      <w:r w:rsidR="00FD7319">
        <w:t xml:space="preserve"> e apresentando o </w:t>
      </w:r>
      <w:r w:rsidRPr="00FD7319">
        <w:t>relato inicial do caso</w:t>
      </w:r>
      <w:r w:rsidR="00FD7319">
        <w:t xml:space="preserve"> </w:t>
      </w:r>
      <w:r w:rsidR="00FD7319" w:rsidRPr="00FD7319">
        <w:t>(</w:t>
      </w:r>
      <w:r w:rsidR="00FD7319">
        <w:t xml:space="preserve">duração: </w:t>
      </w:r>
      <w:r w:rsidR="00FD7319" w:rsidRPr="00FD7319">
        <w:t>10 min</w:t>
      </w:r>
      <w:r w:rsidR="00FD7319">
        <w:t>utos</w:t>
      </w:r>
      <w:r w:rsidR="00FD7319" w:rsidRPr="00FD7319">
        <w:t>)</w:t>
      </w:r>
      <w:r w:rsidR="00FD7319">
        <w:t>; (</w:t>
      </w:r>
      <w:proofErr w:type="spellStart"/>
      <w:r w:rsidR="00FD7319">
        <w:t>ii</w:t>
      </w:r>
      <w:proofErr w:type="spellEnd"/>
      <w:r w:rsidR="00FD7319">
        <w:t>) orientações dos grupos, ocasião em que os tutores orientarão separadamente e fora da sala os grupos 01 e 02, enquanto os demais grupos ficarão na sala de aula e serão orientados pelo professor (duração: 20 minutos); (</w:t>
      </w:r>
      <w:proofErr w:type="spellStart"/>
      <w:r w:rsidR="00FD7319">
        <w:t>iii</w:t>
      </w:r>
      <w:proofErr w:type="spellEnd"/>
      <w:r w:rsidR="00FD7319">
        <w:t>) simulação da contratação da compra e venda, momento em que se efetivará a negociação entre os grupos 01 e 02 (duração: 20 minutos); (</w:t>
      </w:r>
      <w:proofErr w:type="spellStart"/>
      <w:r w:rsidR="00FD7319">
        <w:t>iv</w:t>
      </w:r>
      <w:proofErr w:type="spellEnd"/>
      <w:r w:rsidR="00FD7319">
        <w:t>) apresentação da situação-problema, por meio da projeção e leitura do slide (duração: 10 minutos); (v) debate,</w:t>
      </w:r>
      <w:r w:rsidR="00B76ECD" w:rsidRPr="005D2378">
        <w:t xml:space="preserve"> sendo</w:t>
      </w:r>
      <w:r w:rsidR="00FD7319">
        <w:t xml:space="preserve"> 20 minutos de</w:t>
      </w:r>
      <w:r w:rsidR="00B76ECD" w:rsidRPr="005D2378">
        <w:t xml:space="preserve"> discussão interna nos </w:t>
      </w:r>
      <w:r w:rsidR="00B76ECD" w:rsidRPr="005D2378">
        <w:lastRenderedPageBreak/>
        <w:t xml:space="preserve">grupos e depois </w:t>
      </w:r>
      <w:r w:rsidR="00FD7319">
        <w:t xml:space="preserve">mais 20 minutos para apresentação das </w:t>
      </w:r>
      <w:r w:rsidR="00B76ECD" w:rsidRPr="005D2378">
        <w:t xml:space="preserve">respostas às questões e debate </w:t>
      </w:r>
      <w:r w:rsidR="00FD7319">
        <w:t>entre</w:t>
      </w:r>
      <w:r w:rsidR="00B76ECD" w:rsidRPr="005D2378">
        <w:t xml:space="preserve"> todos</w:t>
      </w:r>
      <w:r w:rsidR="00FD7319">
        <w:t xml:space="preserve"> (duração: 40 minutos).</w:t>
      </w:r>
    </w:p>
    <w:p w14:paraId="596F1013" w14:textId="5583E574" w:rsidR="00CA6835" w:rsidRPr="00850E8C" w:rsidRDefault="00CA6835" w:rsidP="003C1463">
      <w:pPr>
        <w:pStyle w:val="Ttulo2"/>
        <w:rPr>
          <w:rFonts w:eastAsia="Arial"/>
        </w:rPr>
      </w:pPr>
      <w:r w:rsidRPr="00850E8C">
        <w:rPr>
          <w:rFonts w:eastAsia="Arial"/>
        </w:rPr>
        <w:t>Alte</w:t>
      </w:r>
      <w:r w:rsidR="005E4665" w:rsidRPr="00850E8C">
        <w:rPr>
          <w:rFonts w:eastAsia="Arial"/>
        </w:rPr>
        <w:t>rnativas de solução para o caso</w:t>
      </w:r>
    </w:p>
    <w:p w14:paraId="4A6E547A" w14:textId="77777777" w:rsidR="002810E6" w:rsidRDefault="00D4238B" w:rsidP="00850E8C">
      <w:r>
        <w:t>No que se refere às possibilidades de solução para a problemática apresentada, vale dizer que n</w:t>
      </w:r>
      <w:r w:rsidR="00EC3B48">
        <w:t>ão há uma resposta única</w:t>
      </w:r>
      <w:r>
        <w:t xml:space="preserve">, posto que </w:t>
      </w:r>
      <w:r w:rsidR="000B562C">
        <w:t xml:space="preserve">essa </w:t>
      </w:r>
      <w:r w:rsidR="00EC3B48">
        <w:t xml:space="preserve">dependerá de como </w:t>
      </w:r>
      <w:r>
        <w:t xml:space="preserve">o alunado enquadrará e debaterá as situações, circunstâncias e negócios </w:t>
      </w:r>
      <w:r w:rsidR="00EC3B48">
        <w:t>jurídicos envolvidos.</w:t>
      </w:r>
      <w:r w:rsidR="00120D2D">
        <w:t xml:space="preserve"> </w:t>
      </w:r>
    </w:p>
    <w:p w14:paraId="6172281E" w14:textId="37D6E725" w:rsidR="00617CB2" w:rsidRDefault="00D4238B" w:rsidP="00850E8C">
      <w:r>
        <w:t xml:space="preserve">Todavia, fazendo uma </w:t>
      </w:r>
      <w:r w:rsidR="00217C5D">
        <w:t xml:space="preserve">análise estrita do caso, pode-se esperar que </w:t>
      </w:r>
      <w:r w:rsidR="00EA32E6">
        <w:t>os grupos permeiem a discussão no sentido da viabilidade ou não do contrato de promessa de compra e venda</w:t>
      </w:r>
      <w:r w:rsidR="000B562C">
        <w:t xml:space="preserve">, bem como, que analisem objetivamente se o </w:t>
      </w:r>
      <w:r w:rsidR="000B562C" w:rsidRPr="00483A31">
        <w:rPr>
          <w:rFonts w:cs="Times New Roman"/>
          <w:szCs w:val="24"/>
        </w:rPr>
        <w:t xml:space="preserve">princípio da boa-fé </w:t>
      </w:r>
      <w:r w:rsidR="000B562C">
        <w:rPr>
          <w:rFonts w:cs="Times New Roman"/>
          <w:szCs w:val="24"/>
        </w:rPr>
        <w:t xml:space="preserve">foi violado, tendo em vista </w:t>
      </w:r>
      <w:r w:rsidR="000B562C" w:rsidRPr="00483A31">
        <w:rPr>
          <w:rFonts w:cs="Times New Roman"/>
          <w:szCs w:val="24"/>
        </w:rPr>
        <w:t>o comportamento contraditório d</w:t>
      </w:r>
      <w:r w:rsidR="000B562C">
        <w:rPr>
          <w:rFonts w:cs="Times New Roman"/>
          <w:szCs w:val="24"/>
        </w:rPr>
        <w:t>e Joana</w:t>
      </w:r>
      <w:r w:rsidR="00EA32E6">
        <w:t>.</w:t>
      </w:r>
    </w:p>
    <w:p w14:paraId="78C39C7F" w14:textId="3D3B9657"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 xml:space="preserve">Discussão e </w:t>
      </w:r>
      <w:r w:rsidR="00364F29">
        <w:rPr>
          <w:rFonts w:eastAsia="Arial"/>
        </w:rPr>
        <w:t>d</w:t>
      </w:r>
      <w:r w:rsidRPr="00CA6835">
        <w:rPr>
          <w:rFonts w:eastAsia="Arial"/>
        </w:rPr>
        <w:t>e</w:t>
      </w:r>
      <w:r w:rsidR="0071243D">
        <w:rPr>
          <w:rFonts w:eastAsia="Arial"/>
        </w:rPr>
        <w:t xml:space="preserve">cisão </w:t>
      </w:r>
      <w:r w:rsidR="00364F29">
        <w:rPr>
          <w:rFonts w:eastAsia="Arial"/>
        </w:rPr>
        <w:t>r</w:t>
      </w:r>
      <w:r w:rsidR="0071243D">
        <w:rPr>
          <w:rFonts w:eastAsia="Arial"/>
        </w:rPr>
        <w:t>eal do caso</w:t>
      </w:r>
    </w:p>
    <w:p w14:paraId="0611627F" w14:textId="716CBD6F" w:rsidR="008F633B" w:rsidRPr="00990303" w:rsidRDefault="008F633B" w:rsidP="00850E8C">
      <w:r w:rsidRPr="00990303">
        <w:t xml:space="preserve">Conforme mencionado anteriormente, a atividade </w:t>
      </w:r>
      <w:r w:rsidR="00A669B9" w:rsidRPr="00990303">
        <w:t xml:space="preserve">em discussão </w:t>
      </w:r>
      <w:r w:rsidRPr="00990303">
        <w:t xml:space="preserve">conta com um alto grau de maleabilidade, de modo que diversas </w:t>
      </w:r>
      <w:r w:rsidR="00A669B9" w:rsidRPr="00990303">
        <w:t xml:space="preserve">podem ser as </w:t>
      </w:r>
      <w:r w:rsidRPr="00990303">
        <w:t xml:space="preserve">decisões </w:t>
      </w:r>
      <w:r w:rsidR="00A669B9" w:rsidRPr="00990303">
        <w:t>e os</w:t>
      </w:r>
      <w:r w:rsidRPr="00990303">
        <w:t xml:space="preserve"> fruto</w:t>
      </w:r>
      <w:r w:rsidR="00A669B9" w:rsidRPr="00990303">
        <w:t>s</w:t>
      </w:r>
      <w:r w:rsidRPr="00990303">
        <w:t xml:space="preserve"> do </w:t>
      </w:r>
      <w:r w:rsidR="00A669B9" w:rsidRPr="00990303">
        <w:t xml:space="preserve">presente </w:t>
      </w:r>
      <w:r w:rsidRPr="00990303">
        <w:t>caso</w:t>
      </w:r>
      <w:r w:rsidR="00A669B9" w:rsidRPr="00990303">
        <w:t xml:space="preserve"> de ensino</w:t>
      </w:r>
      <w:r w:rsidRPr="00990303">
        <w:t xml:space="preserve">, a depender da direção que </w:t>
      </w:r>
      <w:r w:rsidR="00A669B9" w:rsidRPr="00990303">
        <w:t>a simulação e os debates sigam</w:t>
      </w:r>
      <w:r w:rsidRPr="00990303">
        <w:t>.</w:t>
      </w:r>
      <w:r w:rsidR="00A669B9" w:rsidRPr="00990303">
        <w:t xml:space="preserve"> Nesse aspecto, um </w:t>
      </w:r>
      <w:r w:rsidRPr="00990303">
        <w:t xml:space="preserve">ponto que </w:t>
      </w:r>
      <w:r w:rsidR="00A669B9" w:rsidRPr="00990303">
        <w:t>pode dar</w:t>
      </w:r>
      <w:r w:rsidRPr="00990303">
        <w:t xml:space="preserve"> margem para várias interpretações diz respeito à obrigação do adimplemento das taxas condominiais, </w:t>
      </w:r>
      <w:r w:rsidR="00A669B9" w:rsidRPr="00990303">
        <w:t>cuja</w:t>
      </w:r>
      <w:r w:rsidRPr="00990303">
        <w:t xml:space="preserve"> decisão real irá depender das negociações feitas na simulação</w:t>
      </w:r>
      <w:r w:rsidR="00A669B9" w:rsidRPr="00990303">
        <w:t xml:space="preserve">, nos termos do Tema 886 do </w:t>
      </w:r>
      <w:r w:rsidR="00990303" w:rsidRPr="00990303">
        <w:t>S</w:t>
      </w:r>
      <w:r w:rsidR="00A669B9" w:rsidRPr="00990303">
        <w:t>TJ, estabelecido em sede de recurso repetitivo.</w:t>
      </w:r>
    </w:p>
    <w:p w14:paraId="63FC51CA" w14:textId="20734837" w:rsidR="008F633B" w:rsidRPr="003D4263" w:rsidRDefault="00510216" w:rsidP="00850E8C">
      <w:pPr>
        <w:rPr>
          <w:color w:val="000000" w:themeColor="text1"/>
        </w:rPr>
      </w:pPr>
      <w:r w:rsidRPr="003D4263">
        <w:rPr>
          <w:color w:val="000000" w:themeColor="text1"/>
        </w:rPr>
        <w:t xml:space="preserve">Numa outra hipótese, ainda sob a ótica da jurisprudência do STJ, </w:t>
      </w:r>
      <w:r w:rsidR="008F633B" w:rsidRPr="003D4263">
        <w:rPr>
          <w:color w:val="000000" w:themeColor="text1"/>
        </w:rPr>
        <w:t>caso se conclua pela existência do contrato válido de promessa de compra e venda, não será cabível a ação de usucapião</w:t>
      </w:r>
      <w:r w:rsidR="003D4263" w:rsidRPr="003D4263">
        <w:rPr>
          <w:color w:val="000000" w:themeColor="text1"/>
        </w:rPr>
        <w:t>. De acordo com</w:t>
      </w:r>
      <w:r w:rsidR="00831365">
        <w:rPr>
          <w:color w:val="000000" w:themeColor="text1"/>
        </w:rPr>
        <w:t xml:space="preserve"> a tese firmada por</w:t>
      </w:r>
      <w:r w:rsidR="003D4263" w:rsidRPr="003D4263">
        <w:rPr>
          <w:color w:val="000000" w:themeColor="text1"/>
        </w:rPr>
        <w:t xml:space="preserve"> aquela Corte Superior, a posse decorrente do contrato de promessa de compra e venda de imóvel não induz usucapião, exceto se verificada a conversão da posse não própria em própria, momento a partir do qual o possuidor passa a se comportar como se dono fosse</w:t>
      </w:r>
      <w:r w:rsidR="008F633B" w:rsidRPr="003D4263">
        <w:rPr>
          <w:color w:val="000000" w:themeColor="text1"/>
        </w:rPr>
        <w:t xml:space="preserve"> (</w:t>
      </w:r>
      <w:r w:rsidR="005D5592">
        <w:t>BRASIL</w:t>
      </w:r>
      <w:r w:rsidR="00BD7C51" w:rsidRPr="003D4263">
        <w:rPr>
          <w:color w:val="000000" w:themeColor="text1"/>
        </w:rPr>
        <w:t>, 2018)</w:t>
      </w:r>
      <w:r w:rsidR="003D4263" w:rsidRPr="003D4263">
        <w:rPr>
          <w:color w:val="000000" w:themeColor="text1"/>
        </w:rPr>
        <w:t>.</w:t>
      </w:r>
    </w:p>
    <w:p w14:paraId="6DDACF9E" w14:textId="1F336F26" w:rsidR="0073602F" w:rsidRDefault="008F633B" w:rsidP="008F633B">
      <w:r w:rsidRPr="00483A31">
        <w:rPr>
          <w:rFonts w:cs="Times New Roman"/>
          <w:szCs w:val="24"/>
        </w:rPr>
        <w:t>Ademais, outro possível ponto a ser apontado é a violação princípio da boa-fé objetiva pelo comportamento contraditório da esposa, consistente em: (i) admitir em juízo a validade do contrato</w:t>
      </w:r>
      <w:r w:rsidR="00BD48D9">
        <w:rPr>
          <w:rFonts w:cs="Times New Roman"/>
          <w:szCs w:val="24"/>
        </w:rPr>
        <w:t xml:space="preserve">, </w:t>
      </w:r>
      <w:r w:rsidRPr="00483A31">
        <w:rPr>
          <w:rFonts w:cs="Times New Roman"/>
          <w:szCs w:val="24"/>
        </w:rPr>
        <w:t>quando providenciou a denunciação da lide</w:t>
      </w:r>
      <w:r w:rsidR="00BD48D9">
        <w:rPr>
          <w:rFonts w:cs="Times New Roman"/>
          <w:szCs w:val="24"/>
        </w:rPr>
        <w:t>,</w:t>
      </w:r>
      <w:r w:rsidRPr="00483A31">
        <w:rPr>
          <w:rFonts w:cs="Times New Roman"/>
          <w:szCs w:val="24"/>
        </w:rPr>
        <w:t xml:space="preserve"> e</w:t>
      </w:r>
      <w:r w:rsidR="00BD48D9">
        <w:rPr>
          <w:rFonts w:cs="Times New Roman"/>
          <w:szCs w:val="24"/>
        </w:rPr>
        <w:t xml:space="preserve"> em</w:t>
      </w:r>
      <w:r w:rsidRPr="00483A31">
        <w:rPr>
          <w:rFonts w:cs="Times New Roman"/>
          <w:szCs w:val="24"/>
        </w:rPr>
        <w:t xml:space="preserve"> nada se opo</w:t>
      </w:r>
      <w:r w:rsidR="00BD48D9">
        <w:rPr>
          <w:rFonts w:cs="Times New Roman"/>
          <w:szCs w:val="24"/>
        </w:rPr>
        <w:t>r</w:t>
      </w:r>
      <w:r w:rsidRPr="00483A31">
        <w:rPr>
          <w:rFonts w:cs="Times New Roman"/>
          <w:szCs w:val="24"/>
        </w:rPr>
        <w:t xml:space="preserve"> à execução da promessa de venda p</w:t>
      </w:r>
      <w:r w:rsidR="00BD48D9">
        <w:rPr>
          <w:rFonts w:cs="Times New Roman"/>
          <w:szCs w:val="24"/>
        </w:rPr>
        <w:t xml:space="preserve">elo </w:t>
      </w:r>
      <w:r w:rsidRPr="00483A31">
        <w:rPr>
          <w:rFonts w:cs="Times New Roman"/>
          <w:szCs w:val="24"/>
        </w:rPr>
        <w:t>longo período</w:t>
      </w:r>
      <w:r w:rsidR="00BD48D9">
        <w:rPr>
          <w:rFonts w:cs="Times New Roman"/>
          <w:szCs w:val="24"/>
        </w:rPr>
        <w:t xml:space="preserve"> de dezessete </w:t>
      </w:r>
      <w:r w:rsidRPr="00483A31">
        <w:rPr>
          <w:rFonts w:cs="Times New Roman"/>
          <w:szCs w:val="24"/>
        </w:rPr>
        <w:t>anos; (</w:t>
      </w:r>
      <w:proofErr w:type="spellStart"/>
      <w:r w:rsidRPr="00483A31">
        <w:rPr>
          <w:rFonts w:cs="Times New Roman"/>
          <w:szCs w:val="24"/>
        </w:rPr>
        <w:t>ii</w:t>
      </w:r>
      <w:proofErr w:type="spellEnd"/>
      <w:r w:rsidRPr="00483A31">
        <w:rPr>
          <w:rFonts w:cs="Times New Roman"/>
          <w:szCs w:val="24"/>
        </w:rPr>
        <w:t>) alegar</w:t>
      </w:r>
      <w:r w:rsidR="00BD48D9">
        <w:rPr>
          <w:rFonts w:cs="Times New Roman"/>
          <w:szCs w:val="24"/>
        </w:rPr>
        <w:t>,</w:t>
      </w:r>
      <w:r w:rsidRPr="00483A31">
        <w:rPr>
          <w:rFonts w:cs="Times New Roman"/>
          <w:szCs w:val="24"/>
        </w:rPr>
        <w:t xml:space="preserve"> posteriormente</w:t>
      </w:r>
      <w:r w:rsidR="00BD48D9">
        <w:rPr>
          <w:rFonts w:cs="Times New Roman"/>
          <w:szCs w:val="24"/>
        </w:rPr>
        <w:t>,</w:t>
      </w:r>
      <w:r w:rsidRPr="00483A31">
        <w:rPr>
          <w:rFonts w:cs="Times New Roman"/>
          <w:szCs w:val="24"/>
        </w:rPr>
        <w:t xml:space="preserve"> a falta de anuência ao contrato</w:t>
      </w:r>
      <w:r w:rsidR="00BD48D9">
        <w:rPr>
          <w:rFonts w:cs="Times New Roman"/>
          <w:szCs w:val="24"/>
        </w:rPr>
        <w:t>,</w:t>
      </w:r>
      <w:r w:rsidRPr="00483A31">
        <w:rPr>
          <w:rFonts w:cs="Times New Roman"/>
          <w:szCs w:val="24"/>
        </w:rPr>
        <w:t xml:space="preserve"> a fim de se furtar de seu cumprimento</w:t>
      </w:r>
      <w:r w:rsidRPr="00576C3A">
        <w:rPr>
          <w:rFonts w:cs="Times New Roman"/>
          <w:color w:val="000000" w:themeColor="text1"/>
          <w:szCs w:val="24"/>
        </w:rPr>
        <w:t xml:space="preserve"> (STJ, </w:t>
      </w:r>
      <w:proofErr w:type="spellStart"/>
      <w:r w:rsidRPr="00576C3A">
        <w:rPr>
          <w:rFonts w:cs="Times New Roman"/>
          <w:color w:val="000000" w:themeColor="text1"/>
          <w:szCs w:val="24"/>
        </w:rPr>
        <w:t>REsp</w:t>
      </w:r>
      <w:proofErr w:type="spellEnd"/>
      <w:r w:rsidRPr="00576C3A">
        <w:rPr>
          <w:rFonts w:cs="Times New Roman"/>
          <w:color w:val="000000" w:themeColor="text1"/>
          <w:szCs w:val="24"/>
        </w:rPr>
        <w:t xml:space="preserve"> 95.539/SP, Re</w:t>
      </w:r>
      <w:r w:rsidR="00576C3A" w:rsidRPr="00576C3A">
        <w:rPr>
          <w:rFonts w:cs="Times New Roman"/>
          <w:color w:val="000000" w:themeColor="text1"/>
          <w:szCs w:val="24"/>
        </w:rPr>
        <w:t>l</w:t>
      </w:r>
      <w:r w:rsidRPr="00576C3A">
        <w:rPr>
          <w:rFonts w:cs="Times New Roman"/>
          <w:color w:val="000000" w:themeColor="text1"/>
          <w:szCs w:val="24"/>
        </w:rPr>
        <w:t>. Min. Ruy Rosado Aguiar, 4ª Turma, DJ 3.9.1996)</w:t>
      </w:r>
      <w:r w:rsidR="00A41867" w:rsidRPr="00576C3A">
        <w:rPr>
          <w:color w:val="000000" w:themeColor="text1"/>
        </w:rPr>
        <w:t>.</w:t>
      </w:r>
    </w:p>
    <w:p w14:paraId="5A54A742" w14:textId="25A74B55" w:rsidR="00CA6835" w:rsidRPr="003438CE" w:rsidRDefault="00CA6835" w:rsidP="003C1463">
      <w:pPr>
        <w:pStyle w:val="Ttulo2"/>
        <w:rPr>
          <w:rFonts w:eastAsia="Arial"/>
        </w:rPr>
      </w:pPr>
      <w:r w:rsidRPr="003438CE">
        <w:rPr>
          <w:rFonts w:eastAsia="Arial"/>
        </w:rPr>
        <w:lastRenderedPageBreak/>
        <w:t>Sugestões d</w:t>
      </w:r>
      <w:r w:rsidR="005E4665" w:rsidRPr="003438CE">
        <w:rPr>
          <w:rFonts w:eastAsia="Arial"/>
        </w:rPr>
        <w:t>e assuntos a serem trabalhados</w:t>
      </w:r>
    </w:p>
    <w:p w14:paraId="5C7ED96E" w14:textId="77777777" w:rsidR="00AF5E96" w:rsidRDefault="008F633B" w:rsidP="00850E8C">
      <w:r w:rsidRPr="00CD14EB">
        <w:t xml:space="preserve">Dentro da discussão em grupo, o docente poderá tratar de aspectos teóricos do direito </w:t>
      </w:r>
      <w:r w:rsidR="00AF5E96">
        <w:t>dos contratos, como a formação dos contratos e especialmente a caracterização do pacto firmado como contrato preliminar.</w:t>
      </w:r>
    </w:p>
    <w:p w14:paraId="214BE39E" w14:textId="4F252738" w:rsidR="008F633B" w:rsidRPr="00CD14EB" w:rsidRDefault="00AF5E96" w:rsidP="00850E8C">
      <w:r>
        <w:t xml:space="preserve">É cabível ainda abordar as </w:t>
      </w:r>
      <w:r w:rsidR="008F633B" w:rsidRPr="00CD14EB">
        <w:t>fontes e as modali</w:t>
      </w:r>
      <w:r>
        <w:t xml:space="preserve">dades das obrigações assumidas, assim como </w:t>
      </w:r>
      <w:r w:rsidR="005E08C0">
        <w:t xml:space="preserve">os </w:t>
      </w:r>
      <w:r w:rsidR="008F633B" w:rsidRPr="00CD14EB">
        <w:t xml:space="preserve">aspectos mais práticos relacionados </w:t>
      </w:r>
      <w:r w:rsidR="005E08C0">
        <w:t>à</w:t>
      </w:r>
      <w:r w:rsidR="008F633B" w:rsidRPr="00CD14EB">
        <w:t xml:space="preserve"> responsabilização das partes</w:t>
      </w:r>
      <w:r w:rsidR="005E08C0">
        <w:t>.</w:t>
      </w:r>
    </w:p>
    <w:p w14:paraId="43580BF6" w14:textId="149E017F" w:rsidR="002D1E75" w:rsidRPr="003C1463" w:rsidRDefault="005E08C0" w:rsidP="00850E8C">
      <w:r>
        <w:t>Também merece bastante atenção a incidência d</w:t>
      </w:r>
      <w:r w:rsidR="009938F8">
        <w:t xml:space="preserve">os </w:t>
      </w:r>
      <w:r>
        <w:t xml:space="preserve">princípios sociais, como o </w:t>
      </w:r>
      <w:r w:rsidR="008F633B" w:rsidRPr="00CD14EB">
        <w:t xml:space="preserve">princípio da boa-fé objetiva e os deveres anexos dele irradiados. Ademais, pode-se adentrar em outros temas afetos ao direito civil, como a </w:t>
      </w:r>
      <w:r>
        <w:t xml:space="preserve">possibilidade </w:t>
      </w:r>
      <w:r w:rsidR="003438CE">
        <w:t>de o</w:t>
      </w:r>
      <w:r>
        <w:t xml:space="preserve"> casal de promitentes compradores ingressar com a</w:t>
      </w:r>
      <w:r w:rsidR="008F633B" w:rsidRPr="00CD14EB">
        <w:t xml:space="preserve"> usucapião</w:t>
      </w:r>
      <w:r>
        <w:t>, o que abrange o conteúdo do Direito das Coisas</w:t>
      </w:r>
      <w:r w:rsidR="002F42C1">
        <w:t>.</w:t>
      </w:r>
    </w:p>
    <w:p w14:paraId="461122DF" w14:textId="062AD782"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Q</w:t>
      </w:r>
      <w:r w:rsidR="005E4665">
        <w:rPr>
          <w:rFonts w:eastAsia="Arial"/>
        </w:rPr>
        <w:t>uestões para discussão do caso</w:t>
      </w:r>
    </w:p>
    <w:p w14:paraId="05CB9A07" w14:textId="39585235" w:rsidR="007917AA" w:rsidRPr="00FA6B0A" w:rsidRDefault="00990DE8" w:rsidP="00990DE8">
      <w:r>
        <w:t xml:space="preserve">No intuito de melhor encaminhar as </w:t>
      </w:r>
      <w:r w:rsidR="00FA6B0A">
        <w:t xml:space="preserve">discussões </w:t>
      </w:r>
      <w:r>
        <w:t xml:space="preserve">entre os </w:t>
      </w:r>
      <w:r w:rsidR="00FA6B0A">
        <w:t xml:space="preserve">discentes e </w:t>
      </w:r>
      <w:r>
        <w:t xml:space="preserve">de </w:t>
      </w:r>
      <w:r w:rsidR="00FA6B0A">
        <w:t>estruturar a</w:t>
      </w:r>
      <w:r>
        <w:t>s</w:t>
      </w:r>
      <w:r w:rsidR="00FA6B0A">
        <w:t xml:space="preserve"> resposta</w:t>
      </w:r>
      <w:r>
        <w:t xml:space="preserve">s e problematizações, foram formuladas as seguintes </w:t>
      </w:r>
      <w:r w:rsidR="00FA6B0A">
        <w:t>questões</w:t>
      </w:r>
      <w:r>
        <w:t>,</w:t>
      </w:r>
      <w:r w:rsidR="00FA6B0A">
        <w:t xml:space="preserve"> </w:t>
      </w:r>
      <w:r>
        <w:t xml:space="preserve">cujo conteúdo deverá ser </w:t>
      </w:r>
      <w:r w:rsidR="00FA6B0A">
        <w:t>abordad</w:t>
      </w:r>
      <w:r>
        <w:t>o</w:t>
      </w:r>
      <w:r w:rsidR="00FA6B0A">
        <w:t xml:space="preserve"> na solução d</w:t>
      </w:r>
      <w:r>
        <w:t>a</w:t>
      </w:r>
      <w:r w:rsidR="00FA6B0A">
        <w:t xml:space="preserve"> </w:t>
      </w:r>
      <w:r>
        <w:t>situação proposta</w:t>
      </w:r>
      <w:r w:rsidR="00FA6B0A">
        <w:t>:</w:t>
      </w:r>
    </w:p>
    <w:p w14:paraId="1200E83F" w14:textId="77777777" w:rsidR="008F633B" w:rsidRPr="00CD14EB" w:rsidRDefault="008F633B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r w:rsidRPr="00CD14EB">
        <w:rPr>
          <w:rFonts w:cs="Times New Roman"/>
          <w:szCs w:val="24"/>
        </w:rPr>
        <w:t>Qual a fonte da obrigação assumida pelos promitentes vendedores?</w:t>
      </w:r>
    </w:p>
    <w:p w14:paraId="47DA76DA" w14:textId="77777777" w:rsidR="008F633B" w:rsidRPr="00CD14EB" w:rsidRDefault="008F633B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r w:rsidRPr="00CD14EB">
        <w:rPr>
          <w:rFonts w:cs="Times New Roman"/>
          <w:szCs w:val="24"/>
        </w:rPr>
        <w:t>Qual a modalidade da obrigação? Dar, fazer, ou não fazer?</w:t>
      </w:r>
      <w:bookmarkStart w:id="1" w:name="_heading=h.wn2vtggdt495" w:colFirst="0" w:colLast="0"/>
      <w:bookmarkEnd w:id="1"/>
    </w:p>
    <w:p w14:paraId="230E6B5A" w14:textId="77777777" w:rsidR="008F633B" w:rsidRPr="00CD14EB" w:rsidRDefault="008F633B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bookmarkStart w:id="2" w:name="_heading=h.us1i8a8kiq40" w:colFirst="0" w:colLast="0"/>
      <w:bookmarkEnd w:id="2"/>
      <w:r w:rsidRPr="00CD14EB">
        <w:rPr>
          <w:rFonts w:cs="Times New Roman"/>
          <w:szCs w:val="24"/>
        </w:rPr>
        <w:t>A promessa de compra e venda pode ser considerada um contrato preliminar? Qual o definitivo?</w:t>
      </w:r>
    </w:p>
    <w:p w14:paraId="7B393395" w14:textId="77777777" w:rsidR="008F633B" w:rsidRPr="00CD14EB" w:rsidRDefault="008F633B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r w:rsidRPr="00CD14EB">
        <w:rPr>
          <w:rFonts w:cs="Times New Roman"/>
          <w:szCs w:val="24"/>
        </w:rPr>
        <w:t>Cabe aplicação do princípio da boa-fé ao contrato preliminar?</w:t>
      </w:r>
    </w:p>
    <w:p w14:paraId="5C7CDDCD" w14:textId="77777777" w:rsidR="008F633B" w:rsidRPr="00CD14EB" w:rsidRDefault="008F633B" w:rsidP="008F633B">
      <w:pPr>
        <w:numPr>
          <w:ilvl w:val="0"/>
          <w:numId w:val="7"/>
        </w:numPr>
        <w:rPr>
          <w:rFonts w:cs="Times New Roman"/>
          <w:szCs w:val="24"/>
        </w:rPr>
      </w:pPr>
      <w:r w:rsidRPr="00CD14EB">
        <w:rPr>
          <w:rFonts w:cs="Times New Roman"/>
          <w:szCs w:val="24"/>
        </w:rPr>
        <w:t>Houve violação do princípio da boa-fé objetiva por parte dos promitentes vendedores?</w:t>
      </w:r>
    </w:p>
    <w:p w14:paraId="3D55F949" w14:textId="77777777" w:rsidR="008F633B" w:rsidRPr="00CD14EB" w:rsidRDefault="008F633B" w:rsidP="008F633B">
      <w:pPr>
        <w:numPr>
          <w:ilvl w:val="0"/>
          <w:numId w:val="7"/>
        </w:numPr>
        <w:rPr>
          <w:rFonts w:cs="Times New Roman"/>
          <w:szCs w:val="24"/>
        </w:rPr>
      </w:pPr>
      <w:r w:rsidRPr="00CB4C69">
        <w:rPr>
          <w:rFonts w:cs="Times New Roman"/>
          <w:szCs w:val="24"/>
        </w:rPr>
        <w:t>Incide alguma</w:t>
      </w:r>
      <w:r w:rsidRPr="00CD14EB">
        <w:rPr>
          <w:rFonts w:cs="Times New Roman"/>
          <w:szCs w:val="24"/>
        </w:rPr>
        <w:t xml:space="preserve"> figura parcelar da boa-fé objetiva?</w:t>
      </w:r>
    </w:p>
    <w:p w14:paraId="26492A02" w14:textId="77777777" w:rsidR="008F633B" w:rsidRDefault="008F633B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 contrato de promessa de compra e venda deve ser invalidado?</w:t>
      </w:r>
    </w:p>
    <w:p w14:paraId="3C512C7B" w14:textId="0E2FEC6D" w:rsidR="00D86279" w:rsidRPr="00CD14EB" w:rsidRDefault="00D86279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r w:rsidRPr="00D86279">
        <w:rPr>
          <w:rFonts w:cs="Times New Roman"/>
          <w:szCs w:val="24"/>
        </w:rPr>
        <w:t xml:space="preserve">É possível </w:t>
      </w:r>
      <w:r w:rsidR="0075581E">
        <w:rPr>
          <w:rFonts w:cs="Times New Roman"/>
          <w:szCs w:val="24"/>
        </w:rPr>
        <w:t>que</w:t>
      </w:r>
      <w:r w:rsidRPr="00D86279">
        <w:rPr>
          <w:rFonts w:cs="Times New Roman"/>
          <w:szCs w:val="24"/>
        </w:rPr>
        <w:t xml:space="preserve"> outorga uxória </w:t>
      </w:r>
      <w:r w:rsidR="0075581E">
        <w:rPr>
          <w:rFonts w:cs="Times New Roman"/>
          <w:szCs w:val="24"/>
        </w:rPr>
        <w:t xml:space="preserve">seja manifestada </w:t>
      </w:r>
      <w:r w:rsidRPr="00D86279">
        <w:rPr>
          <w:rFonts w:cs="Times New Roman"/>
          <w:szCs w:val="24"/>
        </w:rPr>
        <w:t xml:space="preserve">de maneira tácita? Como </w:t>
      </w:r>
      <w:r w:rsidR="004D3F50">
        <w:rPr>
          <w:rFonts w:cs="Times New Roman"/>
          <w:szCs w:val="24"/>
        </w:rPr>
        <w:t xml:space="preserve">isso </w:t>
      </w:r>
      <w:r w:rsidRPr="00D86279">
        <w:rPr>
          <w:rFonts w:cs="Times New Roman"/>
          <w:szCs w:val="24"/>
        </w:rPr>
        <w:t>se caracteriza no caso concreto?</w:t>
      </w:r>
    </w:p>
    <w:p w14:paraId="5FDD42F3" w14:textId="77777777" w:rsidR="008F633B" w:rsidRPr="00CD14EB" w:rsidRDefault="008F633B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qual dos polos cabe a responsabilidade pelo pagamento das taxas condominiais</w:t>
      </w:r>
      <w:r w:rsidRPr="00CD14EB">
        <w:rPr>
          <w:rFonts w:cs="Times New Roman"/>
          <w:szCs w:val="24"/>
        </w:rPr>
        <w:t>?</w:t>
      </w:r>
    </w:p>
    <w:p w14:paraId="465E5545" w14:textId="77777777" w:rsidR="008F633B" w:rsidRPr="00CD14EB" w:rsidRDefault="008F633B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 ajuizamento de ação de usucapião seria viável para os promitentes compradores</w:t>
      </w:r>
      <w:r w:rsidRPr="00CD14EB">
        <w:rPr>
          <w:rFonts w:cs="Times New Roman"/>
          <w:szCs w:val="24"/>
        </w:rPr>
        <w:t>?</w:t>
      </w:r>
    </w:p>
    <w:p w14:paraId="2BFA0E9C" w14:textId="77777777" w:rsidR="008F633B" w:rsidRPr="00CD14EB" w:rsidRDefault="008F633B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r w:rsidRPr="00CD14EB">
        <w:rPr>
          <w:rFonts w:cs="Times New Roman"/>
          <w:szCs w:val="24"/>
        </w:rPr>
        <w:t>Houve ofensa a algum dever anexo? Qual e em que momento?</w:t>
      </w:r>
    </w:p>
    <w:p w14:paraId="330F48A5" w14:textId="7D275158" w:rsidR="008F633B" w:rsidRPr="00CD14EB" w:rsidRDefault="007810C7" w:rsidP="008F633B">
      <w:pPr>
        <w:pStyle w:val="PargrafodaLista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Imagine que houve o cumprimento da</w:t>
      </w:r>
      <w:r w:rsidR="008F633B" w:rsidRPr="00CD14EB">
        <w:rPr>
          <w:rFonts w:cs="Times New Roman"/>
          <w:szCs w:val="24"/>
        </w:rPr>
        <w:t xml:space="preserve"> decisão judicial </w:t>
      </w:r>
      <w:r>
        <w:rPr>
          <w:rFonts w:cs="Times New Roman"/>
          <w:szCs w:val="24"/>
        </w:rPr>
        <w:t xml:space="preserve">que determinou </w:t>
      </w:r>
      <w:r w:rsidR="008F633B">
        <w:rPr>
          <w:rFonts w:cs="Times New Roman"/>
          <w:szCs w:val="24"/>
        </w:rPr>
        <w:t xml:space="preserve">que o pagamento das dívidas do imóvel </w:t>
      </w:r>
      <w:r>
        <w:rPr>
          <w:rFonts w:cs="Times New Roman"/>
          <w:szCs w:val="24"/>
        </w:rPr>
        <w:t>fosse</w:t>
      </w:r>
      <w:r w:rsidR="008F633B">
        <w:rPr>
          <w:rFonts w:cs="Times New Roman"/>
          <w:szCs w:val="24"/>
        </w:rPr>
        <w:t xml:space="preserve"> realizado por Pedro e Júlia</w:t>
      </w:r>
      <w:r w:rsidR="008F633B" w:rsidRPr="00CD14EB">
        <w:rPr>
          <w:rFonts w:cs="Times New Roman"/>
          <w:szCs w:val="24"/>
        </w:rPr>
        <w:t xml:space="preserve">. Nesse caso, </w:t>
      </w:r>
      <w:r w:rsidR="008F633B">
        <w:rPr>
          <w:rFonts w:cs="Times New Roman"/>
          <w:szCs w:val="24"/>
        </w:rPr>
        <w:t>haveria alguma possibilidade de regresso contra Joana e José?</w:t>
      </w:r>
    </w:p>
    <w:p w14:paraId="003FF8E4" w14:textId="59E8CB84" w:rsidR="004268CE" w:rsidRDefault="008F633B" w:rsidP="00990DE8">
      <w:pPr>
        <w:pStyle w:val="PargrafodaLista"/>
        <w:numPr>
          <w:ilvl w:val="0"/>
          <w:numId w:val="7"/>
        </w:numPr>
      </w:pPr>
      <w:r w:rsidRPr="00CD14EB">
        <w:rPr>
          <w:rFonts w:cs="Times New Roman"/>
          <w:szCs w:val="24"/>
        </w:rPr>
        <w:t xml:space="preserve">Com base no princípio da boa-fé, como </w:t>
      </w:r>
      <w:r>
        <w:rPr>
          <w:rFonts w:cs="Times New Roman"/>
          <w:szCs w:val="24"/>
        </w:rPr>
        <w:t>José deveria ter se comportado quanto a ausência de anuência escrita por parte de sua esposa</w:t>
      </w:r>
      <w:r w:rsidRPr="00CD14EB">
        <w:rPr>
          <w:rFonts w:cs="Times New Roman"/>
          <w:szCs w:val="24"/>
        </w:rPr>
        <w:t>?</w:t>
      </w:r>
    </w:p>
    <w:p w14:paraId="7B59840F" w14:textId="77777777" w:rsidR="00CD7004" w:rsidRDefault="00CD7004" w:rsidP="00846C22"/>
    <w:p w14:paraId="749467CE" w14:textId="0E26A375" w:rsidR="00846C22" w:rsidRDefault="005469F7" w:rsidP="00846C22">
      <w:r>
        <w:t xml:space="preserve">Diante disso, como a sala estará dividida </w:t>
      </w:r>
      <w:r w:rsidR="004268CE">
        <w:t xml:space="preserve">em cinco grupos, </w:t>
      </w:r>
      <w:r w:rsidR="00846C22">
        <w:t>esses</w:t>
      </w:r>
      <w:r w:rsidR="004268CE">
        <w:t xml:space="preserve"> respondem aos questionamentos seguindo </w:t>
      </w:r>
      <w:r w:rsidR="00846C22">
        <w:t>est</w:t>
      </w:r>
      <w:r w:rsidR="004268CE">
        <w:t>a ordem das perguntas</w:t>
      </w:r>
      <w:r w:rsidR="00846C22">
        <w:t xml:space="preserve">, enquanto o </w:t>
      </w:r>
      <w:r w:rsidR="004268CE">
        <w:t>professor e os tutores irão fazendo os arremates</w:t>
      </w:r>
      <w:r w:rsidR="00846C22">
        <w:t xml:space="preserve">: a) </w:t>
      </w:r>
      <w:r w:rsidR="00EE70FD">
        <w:t>g</w:t>
      </w:r>
      <w:r w:rsidR="00846C22">
        <w:t>rupo 0</w:t>
      </w:r>
      <w:r w:rsidR="004268CE">
        <w:t>3</w:t>
      </w:r>
      <w:r w:rsidR="00846C22">
        <w:t>: p</w:t>
      </w:r>
      <w:r w:rsidR="004268CE">
        <w:t>erguntas 1, 6</w:t>
      </w:r>
      <w:r w:rsidR="00846C22">
        <w:t xml:space="preserve"> e </w:t>
      </w:r>
      <w:r w:rsidR="004268CE">
        <w:t xml:space="preserve">11; </w:t>
      </w:r>
      <w:r w:rsidR="00846C22">
        <w:t xml:space="preserve">b) </w:t>
      </w:r>
      <w:r w:rsidR="00EE70FD">
        <w:t>g</w:t>
      </w:r>
      <w:r w:rsidR="00846C22">
        <w:t>rupo 04</w:t>
      </w:r>
      <w:r w:rsidR="004268CE">
        <w:t xml:space="preserve">: </w:t>
      </w:r>
      <w:r w:rsidR="00846C22">
        <w:t>p</w:t>
      </w:r>
      <w:r w:rsidR="004268CE">
        <w:t>erguntas 2, 7</w:t>
      </w:r>
      <w:r w:rsidR="00846C22">
        <w:t xml:space="preserve"> e</w:t>
      </w:r>
      <w:r w:rsidR="004268CE">
        <w:t xml:space="preserve"> 12</w:t>
      </w:r>
      <w:r w:rsidR="00846C22">
        <w:t xml:space="preserve">; c) </w:t>
      </w:r>
      <w:r w:rsidR="00EE70FD">
        <w:t>g</w:t>
      </w:r>
      <w:r w:rsidR="00846C22">
        <w:t>rupo 05: perguntas</w:t>
      </w:r>
      <w:r w:rsidR="004268CE">
        <w:t xml:space="preserve"> 3, 8</w:t>
      </w:r>
      <w:r w:rsidR="00846C22">
        <w:t xml:space="preserve"> e</w:t>
      </w:r>
      <w:r w:rsidR="004268CE">
        <w:t xml:space="preserve"> 13;</w:t>
      </w:r>
      <w:r w:rsidR="00846C22">
        <w:t xml:space="preserve"> d) </w:t>
      </w:r>
      <w:r w:rsidR="00EE70FD">
        <w:t>g</w:t>
      </w:r>
      <w:r w:rsidR="00846C22">
        <w:t>rupo 01: p</w:t>
      </w:r>
      <w:r w:rsidR="004268CE">
        <w:t>erguntas 4</w:t>
      </w:r>
      <w:r w:rsidR="00846C22">
        <w:t xml:space="preserve"> e 9</w:t>
      </w:r>
      <w:r w:rsidR="004268CE">
        <w:t>;</w:t>
      </w:r>
      <w:r w:rsidR="00846C22">
        <w:t xml:space="preserve"> e) </w:t>
      </w:r>
      <w:r w:rsidR="00EE70FD">
        <w:t>g</w:t>
      </w:r>
      <w:r w:rsidR="00846C22">
        <w:t xml:space="preserve">rupo 02: perguntas 5 e 10. </w:t>
      </w:r>
    </w:p>
    <w:p w14:paraId="1026E474" w14:textId="48B1B1F7" w:rsidR="004268CE" w:rsidRDefault="00846C22" w:rsidP="00846C22">
      <w:r>
        <w:t>Pode-se notar que a ordem das perguntas foi pensada para ser realizada em três rodadas, de modo a promover a dinamicidade e para que os alunos tenham contato com questionamentos de diferentes níveis de complexidade. Além disso, buscou-se prestigiar a participação ativa dos grupos 01 e 02, os quais realizarão a encenação inicial, uma vez que esses responderão menos perguntas.</w:t>
      </w:r>
    </w:p>
    <w:p w14:paraId="7C8422D1" w14:textId="5B7BB481" w:rsidR="00D02A50" w:rsidRPr="00A661D4" w:rsidRDefault="00CA6835" w:rsidP="003C1463">
      <w:pPr>
        <w:pStyle w:val="Ttulo2"/>
        <w:rPr>
          <w:rFonts w:eastAsia="Arial"/>
        </w:rPr>
      </w:pPr>
      <w:r w:rsidRPr="00A661D4">
        <w:rPr>
          <w:rFonts w:eastAsia="Arial"/>
        </w:rPr>
        <w:t xml:space="preserve">Indicações </w:t>
      </w:r>
      <w:r w:rsidR="005E4665" w:rsidRPr="00A661D4">
        <w:rPr>
          <w:rFonts w:eastAsia="Arial"/>
        </w:rPr>
        <w:t>bibliográficas</w:t>
      </w:r>
    </w:p>
    <w:p w14:paraId="33C8B0AD" w14:textId="33216519" w:rsidR="003C1463" w:rsidRDefault="003B5E2C" w:rsidP="003C1463">
      <w:r>
        <w:t xml:space="preserve">Para aplicação do presente caso de </w:t>
      </w:r>
      <w:r w:rsidR="00F70A5D">
        <w:t xml:space="preserve">ensino, seja como fonte de leitura prévia, seja como fonte de consulta no momento da elaboração da solução do problema, </w:t>
      </w:r>
      <w:r w:rsidR="00494F06">
        <w:t>indicam-se as seguintes obras:</w:t>
      </w:r>
    </w:p>
    <w:p w14:paraId="186A6FF3" w14:textId="77777777" w:rsidR="000D001B" w:rsidRPr="00285F11" w:rsidRDefault="000D001B" w:rsidP="00285F11">
      <w:pPr>
        <w:pStyle w:val="PargrafodaLista"/>
        <w:numPr>
          <w:ilvl w:val="0"/>
          <w:numId w:val="11"/>
        </w:numPr>
        <w:rPr>
          <w:color w:val="000000" w:themeColor="text1"/>
        </w:rPr>
      </w:pPr>
      <w:r w:rsidRPr="00285F11">
        <w:rPr>
          <w:color w:val="000000" w:themeColor="text1"/>
        </w:rPr>
        <w:t xml:space="preserve">BRASIL. Superior Tribunal de Justiça. Secretaria de Jurisprudência. </w:t>
      </w:r>
      <w:r w:rsidRPr="00285F11">
        <w:rPr>
          <w:b/>
          <w:bCs/>
          <w:color w:val="000000" w:themeColor="text1"/>
        </w:rPr>
        <w:t>Jurisprudência em Teses</w:t>
      </w:r>
      <w:r w:rsidRPr="00285F11">
        <w:rPr>
          <w:color w:val="000000" w:themeColor="text1"/>
        </w:rPr>
        <w:t>: dos Contratos de Promessa de Compra e Venda e de Compra e Venda de Bens Imóveis. Edição n° 110. Brasília, 21 de setembro de 2018.</w:t>
      </w:r>
    </w:p>
    <w:p w14:paraId="537D6084" w14:textId="505999B4" w:rsidR="00130850" w:rsidRPr="00285F11" w:rsidRDefault="00130850" w:rsidP="00285F11">
      <w:pPr>
        <w:pStyle w:val="PargrafodaLista"/>
        <w:numPr>
          <w:ilvl w:val="0"/>
          <w:numId w:val="11"/>
        </w:numPr>
        <w:rPr>
          <w:rFonts w:eastAsia="Times New Roman"/>
        </w:rPr>
      </w:pPr>
      <w:r w:rsidRPr="00285F11">
        <w:rPr>
          <w:rFonts w:eastAsia="Times New Roman"/>
        </w:rPr>
        <w:t xml:space="preserve">DINIZ, Maria Helena. </w:t>
      </w:r>
      <w:r w:rsidRPr="00285F11">
        <w:rPr>
          <w:rFonts w:eastAsia="Times New Roman"/>
          <w:b/>
          <w:bCs/>
        </w:rPr>
        <w:t>Curso de Direito Civil Brasileiro</w:t>
      </w:r>
      <w:r w:rsidRPr="00285F11">
        <w:rPr>
          <w:rFonts w:eastAsia="Times New Roman"/>
        </w:rPr>
        <w:t>: Teoria das Obrigações Contratuais e Extracontratuais. 35 ed. São Paulo: Saraiva, 2019.</w:t>
      </w:r>
    </w:p>
    <w:p w14:paraId="1479C3C4" w14:textId="2E3F234A" w:rsidR="005E0CEE" w:rsidRPr="00285F11" w:rsidRDefault="005E0CEE" w:rsidP="00285F11">
      <w:pPr>
        <w:pStyle w:val="PargrafodaLista"/>
        <w:numPr>
          <w:ilvl w:val="0"/>
          <w:numId w:val="11"/>
        </w:numPr>
        <w:rPr>
          <w:color w:val="000000" w:themeColor="text1"/>
        </w:rPr>
      </w:pPr>
      <w:r w:rsidRPr="00285F11">
        <w:rPr>
          <w:color w:val="000000" w:themeColor="text1"/>
        </w:rPr>
        <w:t xml:space="preserve">EHRHARDT JR., Marcos. </w:t>
      </w:r>
      <w:r w:rsidRPr="00285F11">
        <w:rPr>
          <w:b/>
          <w:color w:val="000000" w:themeColor="text1"/>
        </w:rPr>
        <w:t>Responsabilidade civil pelo inadimplemento da boa-fé</w:t>
      </w:r>
      <w:r w:rsidRPr="00285F11">
        <w:rPr>
          <w:i/>
          <w:color w:val="000000" w:themeColor="text1"/>
        </w:rPr>
        <w:t>.</w:t>
      </w:r>
      <w:r w:rsidRPr="00285F11">
        <w:rPr>
          <w:color w:val="000000" w:themeColor="text1"/>
        </w:rPr>
        <w:t xml:space="preserve"> Belo Horizonte: Fórum, 2014.</w:t>
      </w:r>
    </w:p>
    <w:p w14:paraId="0CA08A63" w14:textId="477F3139" w:rsidR="00130850" w:rsidRPr="00285F11" w:rsidRDefault="00130850" w:rsidP="00285F11">
      <w:pPr>
        <w:pStyle w:val="PargrafodaLista"/>
        <w:numPr>
          <w:ilvl w:val="0"/>
          <w:numId w:val="11"/>
        </w:numPr>
        <w:rPr>
          <w:rFonts w:eastAsia="Times New Roman"/>
        </w:rPr>
      </w:pPr>
      <w:r w:rsidRPr="00285F11">
        <w:rPr>
          <w:rFonts w:eastAsia="Times New Roman"/>
        </w:rPr>
        <w:t xml:space="preserve">FARIAS, Cristiano Chaves de; ROSENVALD, Nelson. </w:t>
      </w:r>
      <w:r w:rsidRPr="00285F11">
        <w:rPr>
          <w:rFonts w:eastAsia="Times New Roman"/>
          <w:b/>
          <w:bCs/>
        </w:rPr>
        <w:t>Curso de Direito Civil</w:t>
      </w:r>
      <w:r w:rsidRPr="00285F11">
        <w:rPr>
          <w:rFonts w:eastAsia="Times New Roman"/>
        </w:rPr>
        <w:t>: contratos. 7</w:t>
      </w:r>
      <w:r w:rsidR="003A555C">
        <w:rPr>
          <w:rFonts w:eastAsia="Times New Roman"/>
        </w:rPr>
        <w:t>.</w:t>
      </w:r>
      <w:r w:rsidRPr="00285F11">
        <w:rPr>
          <w:rFonts w:eastAsia="Times New Roman"/>
        </w:rPr>
        <w:t xml:space="preserve"> ed., rev. e atual. Salvador: </w:t>
      </w:r>
      <w:proofErr w:type="spellStart"/>
      <w:r w:rsidRPr="00285F11">
        <w:rPr>
          <w:rFonts w:eastAsia="Times New Roman"/>
        </w:rPr>
        <w:t>JusPodivm</w:t>
      </w:r>
      <w:proofErr w:type="spellEnd"/>
      <w:r w:rsidRPr="00285F11">
        <w:rPr>
          <w:rFonts w:eastAsia="Times New Roman"/>
        </w:rPr>
        <w:t>, 2017</w:t>
      </w:r>
      <w:r w:rsidR="005E0CEE" w:rsidRPr="00285F11">
        <w:rPr>
          <w:rFonts w:eastAsia="Times New Roman"/>
        </w:rPr>
        <w:t>.</w:t>
      </w:r>
    </w:p>
    <w:p w14:paraId="008B0DC0" w14:textId="0A318572" w:rsidR="00130850" w:rsidRPr="00285F11" w:rsidRDefault="00130850" w:rsidP="00285F11">
      <w:pPr>
        <w:pStyle w:val="PargrafodaLista"/>
        <w:numPr>
          <w:ilvl w:val="0"/>
          <w:numId w:val="11"/>
        </w:numPr>
        <w:rPr>
          <w:rFonts w:eastAsia="Times New Roman"/>
        </w:rPr>
      </w:pPr>
      <w:r w:rsidRPr="00285F11">
        <w:rPr>
          <w:rFonts w:eastAsia="Times New Roman"/>
        </w:rPr>
        <w:t>GONÇALVES, Carlos Roberto.</w:t>
      </w:r>
      <w:r w:rsidRPr="00285F11">
        <w:rPr>
          <w:rFonts w:eastAsia="Times New Roman"/>
          <w:b/>
          <w:bCs/>
        </w:rPr>
        <w:t xml:space="preserve"> Direito Civil Brasileiro</w:t>
      </w:r>
      <w:r w:rsidRPr="00285F11">
        <w:rPr>
          <w:rFonts w:eastAsia="Times New Roman"/>
        </w:rPr>
        <w:t>: contratos e atos unilaterais.</w:t>
      </w:r>
      <w:r w:rsidR="005E0CEE" w:rsidRPr="00285F11">
        <w:rPr>
          <w:rFonts w:eastAsia="Times New Roman"/>
        </w:rPr>
        <w:t xml:space="preserve"> </w:t>
      </w:r>
      <w:r w:rsidRPr="00285F11">
        <w:rPr>
          <w:rFonts w:eastAsia="Times New Roman"/>
        </w:rPr>
        <w:t>16</w:t>
      </w:r>
      <w:r w:rsidR="003A555C">
        <w:rPr>
          <w:rFonts w:eastAsia="Times New Roman"/>
        </w:rPr>
        <w:t>.</w:t>
      </w:r>
      <w:r w:rsidRPr="00285F11">
        <w:rPr>
          <w:rFonts w:eastAsia="Times New Roman"/>
        </w:rPr>
        <w:t xml:space="preserve"> ed. São Paulo: Saraiva, 2019.</w:t>
      </w:r>
    </w:p>
    <w:p w14:paraId="327D675A" w14:textId="13001376" w:rsidR="00130850" w:rsidRPr="00285F11" w:rsidRDefault="00130850" w:rsidP="00285F11">
      <w:pPr>
        <w:pStyle w:val="PargrafodaLista"/>
        <w:numPr>
          <w:ilvl w:val="0"/>
          <w:numId w:val="11"/>
        </w:numPr>
        <w:rPr>
          <w:rFonts w:eastAsia="Times New Roman"/>
        </w:rPr>
      </w:pPr>
      <w:r w:rsidRPr="00285F11">
        <w:rPr>
          <w:rFonts w:eastAsia="Times New Roman"/>
        </w:rPr>
        <w:lastRenderedPageBreak/>
        <w:t xml:space="preserve">LÔBO, Paulo. </w:t>
      </w:r>
      <w:r w:rsidRPr="00285F11">
        <w:rPr>
          <w:rFonts w:eastAsia="Times New Roman"/>
          <w:b/>
          <w:bCs/>
        </w:rPr>
        <w:t>Direito Civil</w:t>
      </w:r>
      <w:r w:rsidRPr="00285F11">
        <w:rPr>
          <w:rFonts w:eastAsia="Times New Roman"/>
        </w:rPr>
        <w:t>: contratos. 6</w:t>
      </w:r>
      <w:r w:rsidR="003A555C">
        <w:rPr>
          <w:rFonts w:eastAsia="Times New Roman"/>
        </w:rPr>
        <w:t>.</w:t>
      </w:r>
      <w:r w:rsidRPr="00285F11">
        <w:rPr>
          <w:rFonts w:eastAsia="Times New Roman"/>
        </w:rPr>
        <w:t xml:space="preserve"> ed. São Paulo: Saraiva Educação, 2020</w:t>
      </w:r>
      <w:r w:rsidR="005E0CEE" w:rsidRPr="00285F11">
        <w:rPr>
          <w:rFonts w:eastAsia="Times New Roman"/>
        </w:rPr>
        <w:t>.</w:t>
      </w:r>
    </w:p>
    <w:p w14:paraId="7B63EB03" w14:textId="3477846F" w:rsidR="005E0CEE" w:rsidRPr="00285F11" w:rsidRDefault="005E0CEE" w:rsidP="00285F11">
      <w:pPr>
        <w:pStyle w:val="PargrafodaLista"/>
        <w:numPr>
          <w:ilvl w:val="0"/>
          <w:numId w:val="11"/>
        </w:numPr>
        <w:rPr>
          <w:rFonts w:eastAsia="Times New Roman"/>
        </w:rPr>
      </w:pPr>
      <w:r w:rsidRPr="00285F11">
        <w:rPr>
          <w:rFonts w:eastAsia="Times New Roman"/>
        </w:rPr>
        <w:t xml:space="preserve">PONTES DE MIRANDA, Francisco Cavalcanti. </w:t>
      </w:r>
      <w:r w:rsidRPr="00285F11">
        <w:rPr>
          <w:rFonts w:eastAsia="Times New Roman"/>
          <w:b/>
          <w:bCs/>
        </w:rPr>
        <w:t>Tratado de direito privado</w:t>
      </w:r>
      <w:r w:rsidRPr="00285F11">
        <w:rPr>
          <w:rFonts w:eastAsia="Times New Roman"/>
        </w:rPr>
        <w:t xml:space="preserve">. 3. ed. Rio de Janeiro: </w:t>
      </w:r>
      <w:proofErr w:type="spellStart"/>
      <w:r w:rsidRPr="00285F11">
        <w:rPr>
          <w:rFonts w:eastAsia="Times New Roman"/>
        </w:rPr>
        <w:t>Borsoi</w:t>
      </w:r>
      <w:proofErr w:type="spellEnd"/>
      <w:r w:rsidRPr="00285F11">
        <w:rPr>
          <w:rFonts w:eastAsia="Times New Roman"/>
        </w:rPr>
        <w:t xml:space="preserve">, 1972. </w:t>
      </w:r>
      <w:r w:rsidR="000D001B" w:rsidRPr="00285F11">
        <w:rPr>
          <w:rFonts w:eastAsia="Times New Roman"/>
        </w:rPr>
        <w:t>v</w:t>
      </w:r>
      <w:r w:rsidRPr="00285F11">
        <w:rPr>
          <w:rFonts w:eastAsia="Times New Roman"/>
        </w:rPr>
        <w:t>. XLVI.</w:t>
      </w:r>
    </w:p>
    <w:p w14:paraId="4C9CC9B9" w14:textId="547548F9" w:rsidR="003D0FBA" w:rsidRDefault="003D0FBA" w:rsidP="00285F11">
      <w:pPr>
        <w:pStyle w:val="PargrafodaLista"/>
        <w:numPr>
          <w:ilvl w:val="0"/>
          <w:numId w:val="11"/>
        </w:numPr>
      </w:pPr>
      <w:r>
        <w:t xml:space="preserve">SCHREIBER, Anderson. </w:t>
      </w:r>
      <w:r w:rsidRPr="00285F11">
        <w:rPr>
          <w:b/>
          <w:bCs/>
        </w:rPr>
        <w:t>A proibição do comportamento contraditório</w:t>
      </w:r>
      <w:r w:rsidR="004E103B">
        <w:t>:</w:t>
      </w:r>
      <w:r>
        <w:t xml:space="preserve"> </w:t>
      </w:r>
      <w:r w:rsidR="00EA6F8D">
        <w:t>t</w:t>
      </w:r>
      <w:r>
        <w:t xml:space="preserve">utela de confiança e </w:t>
      </w:r>
      <w:proofErr w:type="spellStart"/>
      <w:r w:rsidRPr="003D2043">
        <w:rPr>
          <w:i/>
        </w:rPr>
        <w:t>venire</w:t>
      </w:r>
      <w:proofErr w:type="spellEnd"/>
      <w:r w:rsidRPr="003D2043">
        <w:rPr>
          <w:i/>
        </w:rPr>
        <w:t xml:space="preserve"> contra </w:t>
      </w:r>
      <w:proofErr w:type="spellStart"/>
      <w:r w:rsidRPr="003D2043">
        <w:rPr>
          <w:i/>
        </w:rPr>
        <w:t>factum</w:t>
      </w:r>
      <w:proofErr w:type="spellEnd"/>
      <w:r w:rsidRPr="003D2043">
        <w:rPr>
          <w:i/>
        </w:rPr>
        <w:t xml:space="preserve"> </w:t>
      </w:r>
      <w:proofErr w:type="spellStart"/>
      <w:r w:rsidRPr="003D2043">
        <w:rPr>
          <w:i/>
        </w:rPr>
        <w:t>proprium</w:t>
      </w:r>
      <w:proofErr w:type="spellEnd"/>
      <w:r>
        <w:t>.</w:t>
      </w:r>
      <w:r w:rsidR="004E103B" w:rsidRPr="004E103B">
        <w:t xml:space="preserve"> </w:t>
      </w:r>
      <w:proofErr w:type="spellStart"/>
      <w:r w:rsidR="004E103B" w:rsidRPr="004E103B">
        <w:t>Imprenta</w:t>
      </w:r>
      <w:proofErr w:type="spellEnd"/>
      <w:r w:rsidR="004E103B" w:rsidRPr="004E103B">
        <w:t>: São Paulo, Atlas, 2016.</w:t>
      </w:r>
    </w:p>
    <w:p w14:paraId="482825B5" w14:textId="5DA9C19B" w:rsidR="00EA6F8D" w:rsidRDefault="00EA6F8D" w:rsidP="00285F11">
      <w:pPr>
        <w:pStyle w:val="PargrafodaLista"/>
        <w:numPr>
          <w:ilvl w:val="0"/>
          <w:numId w:val="11"/>
        </w:numPr>
      </w:pPr>
      <w:r w:rsidRPr="00EA6F8D">
        <w:t xml:space="preserve">SCHREIBER, Anderson; TARTUCE, Flávio; SIMÃO, José Fernando; MELO, Marco Aurélio Bezerra de; DELGADO, Mário Luiz. </w:t>
      </w:r>
      <w:r w:rsidRPr="00285F11">
        <w:rPr>
          <w:b/>
          <w:bCs/>
        </w:rPr>
        <w:t>Código Civil Comentado</w:t>
      </w:r>
      <w:r w:rsidRPr="00EA6F8D">
        <w:t xml:space="preserve"> – Doutrina e </w:t>
      </w:r>
      <w:r w:rsidR="00130850">
        <w:t>J</w:t>
      </w:r>
      <w:r w:rsidRPr="00EA6F8D">
        <w:t>urisprudência. Rio de Janeiro: Forense, 2019.</w:t>
      </w:r>
    </w:p>
    <w:p w14:paraId="55156ACF" w14:textId="68823939" w:rsidR="00C90F76" w:rsidRDefault="00C90F76" w:rsidP="00285F11">
      <w:pPr>
        <w:pStyle w:val="PargrafodaLista"/>
        <w:numPr>
          <w:ilvl w:val="0"/>
          <w:numId w:val="11"/>
        </w:numPr>
      </w:pPr>
      <w:r w:rsidRPr="00C90F76">
        <w:t xml:space="preserve">TARTUCE, Flavio. </w:t>
      </w:r>
      <w:r w:rsidRPr="00285F11">
        <w:rPr>
          <w:b/>
          <w:bCs/>
        </w:rPr>
        <w:t>Direito Civil</w:t>
      </w:r>
      <w:r w:rsidRPr="00C90F76">
        <w:t>: teoria geral dos contratos e contratos em espécie. 16</w:t>
      </w:r>
      <w:r w:rsidR="003D2043">
        <w:t>.</w:t>
      </w:r>
      <w:r w:rsidRPr="00C90F76">
        <w:t xml:space="preserve"> ed. </w:t>
      </w:r>
      <w:r>
        <w:t>Rio de Janeiro</w:t>
      </w:r>
      <w:r w:rsidRPr="00C90F76">
        <w:t>: Forense, 2021</w:t>
      </w:r>
    </w:p>
    <w:p w14:paraId="129F9F26" w14:textId="4E1D5475" w:rsidR="003D0FBA" w:rsidRDefault="001860E6" w:rsidP="00285F11">
      <w:pPr>
        <w:pStyle w:val="PargrafodaLista"/>
        <w:numPr>
          <w:ilvl w:val="0"/>
          <w:numId w:val="11"/>
        </w:numPr>
      </w:pPr>
      <w:r w:rsidRPr="001860E6">
        <w:t xml:space="preserve">TARTUCE, Flávio. </w:t>
      </w:r>
      <w:r w:rsidRPr="00285F11">
        <w:rPr>
          <w:b/>
          <w:bCs/>
        </w:rPr>
        <w:t>Manual de Direito Civil</w:t>
      </w:r>
      <w:r w:rsidRPr="001860E6">
        <w:t>: volume único. 12</w:t>
      </w:r>
      <w:r w:rsidR="003D2043">
        <w:t>.</w:t>
      </w:r>
      <w:r w:rsidRPr="001860E6">
        <w:t xml:space="preserve"> ed. Rio de Janeiro</w:t>
      </w:r>
      <w:r w:rsidR="00C90F76">
        <w:t>:</w:t>
      </w:r>
      <w:r w:rsidRPr="001860E6">
        <w:t xml:space="preserve"> Forense, 2022</w:t>
      </w:r>
      <w:r w:rsidR="003D0FBA">
        <w:t>.</w:t>
      </w:r>
    </w:p>
    <w:p w14:paraId="477F34AD" w14:textId="1273FDFF" w:rsidR="00130850" w:rsidRDefault="00130850" w:rsidP="00285F11">
      <w:pPr>
        <w:pStyle w:val="PargrafodaLista"/>
        <w:numPr>
          <w:ilvl w:val="0"/>
          <w:numId w:val="11"/>
        </w:numPr>
      </w:pPr>
      <w:r w:rsidRPr="00130850">
        <w:t xml:space="preserve">VENOSA, Sílvio de Salvo. </w:t>
      </w:r>
      <w:r w:rsidRPr="00285F11">
        <w:rPr>
          <w:b/>
          <w:bCs/>
        </w:rPr>
        <w:t>Direito civil</w:t>
      </w:r>
      <w:r w:rsidRPr="00130850">
        <w:t>: contratos. 19 ed. São Paulo: Atlas, 2019.</w:t>
      </w:r>
    </w:p>
    <w:p w14:paraId="498ED598" w14:textId="77777777" w:rsidR="00285F11" w:rsidRDefault="00285F11" w:rsidP="005E4665">
      <w:pPr>
        <w:rPr>
          <w:rFonts w:eastAsia="Arial"/>
        </w:rPr>
      </w:pPr>
    </w:p>
    <w:p w14:paraId="5BCD0FEB" w14:textId="28511491" w:rsidR="00CA6835" w:rsidRDefault="00BC5AC4" w:rsidP="005E4665">
      <w:pPr>
        <w:rPr>
          <w:rFonts w:eastAsia="Arial"/>
        </w:rPr>
      </w:pPr>
      <w:r w:rsidRPr="00BC5AC4">
        <w:rPr>
          <w:rFonts w:eastAsia="Arial"/>
        </w:rPr>
        <w:t xml:space="preserve">É relevante ressaltar que todas as obras mencionadas acima desempenharam um papel fundamental na fundamentação da atividade apresentada, com especial ênfase nos estudos sobre o direito </w:t>
      </w:r>
      <w:r w:rsidR="009E069B">
        <w:rPr>
          <w:rFonts w:eastAsia="Arial"/>
        </w:rPr>
        <w:t>contratual</w:t>
      </w:r>
      <w:r w:rsidRPr="00BC5AC4">
        <w:rPr>
          <w:rFonts w:eastAsia="Arial"/>
        </w:rPr>
        <w:t xml:space="preserve"> e, ainda mais significativamente, sobre o direito civil material.</w:t>
      </w:r>
    </w:p>
    <w:p w14:paraId="71E5E07E" w14:textId="0CDAE504" w:rsidR="00BC5AC4" w:rsidRDefault="00854247" w:rsidP="005E4665">
      <w:pPr>
        <w:rPr>
          <w:rFonts w:eastAsia="Arial"/>
        </w:rPr>
      </w:pPr>
      <w:r w:rsidRPr="00854247">
        <w:rPr>
          <w:rFonts w:eastAsia="Arial"/>
        </w:rPr>
        <w:t>Adicionalmente, é de extrema importância que tanto o professor quanto os alunos e monitores busquem referências adicionais além das recomendações mencionadas anteriormente. Isso inclui especialmente casos concretos, precedentes dos Tribunais Superiores, jurisprudências dos Tribunais Locais e outras fontes relevantes.</w:t>
      </w:r>
    </w:p>
    <w:p w14:paraId="7438B844" w14:textId="503C80A5" w:rsidR="00384D65" w:rsidRPr="00DD4BF6" w:rsidRDefault="00164E7F" w:rsidP="00310E99">
      <w:pPr>
        <w:pStyle w:val="Ttulo1"/>
        <w:numPr>
          <w:ilvl w:val="0"/>
          <w:numId w:val="0"/>
        </w:numPr>
        <w:ind w:left="431" w:hanging="431"/>
        <w:rPr>
          <w:rFonts w:eastAsia="Arial"/>
        </w:rPr>
      </w:pPr>
      <w:r>
        <w:rPr>
          <w:rFonts w:eastAsia="Arial"/>
        </w:rPr>
        <w:t>REFERÊNCIAS</w:t>
      </w:r>
    </w:p>
    <w:p w14:paraId="6471F487" w14:textId="0C0C1813" w:rsidR="001A7C04" w:rsidRDefault="001A7C04" w:rsidP="00120B6B">
      <w:pPr>
        <w:spacing w:line="240" w:lineRule="auto"/>
        <w:ind w:firstLine="0"/>
        <w:jc w:val="left"/>
      </w:pPr>
      <w:r w:rsidRPr="001A7C04">
        <w:t xml:space="preserve">ARRUDA, André Luís Silvestre. </w:t>
      </w:r>
      <w:r w:rsidRPr="00DC4533">
        <w:rPr>
          <w:b/>
          <w:bCs/>
        </w:rPr>
        <w:t>Caso de Ensino com Notas de Ensino Nakata Automotiva</w:t>
      </w:r>
      <w:r w:rsidRPr="001A7C04">
        <w:t xml:space="preserve"> - "Uma empresa para vencer ou para durar". Dissertação (Mestrado em Administração de Empresas). Fundação Getúlio Vargas. São Paulo, p. 106, 2019</w:t>
      </w:r>
      <w:r w:rsidR="00EC79CA">
        <w:t>.</w:t>
      </w:r>
    </w:p>
    <w:p w14:paraId="017B8261" w14:textId="77777777" w:rsidR="009E069B" w:rsidRPr="004133EE" w:rsidRDefault="009E069B" w:rsidP="00120B6B">
      <w:pPr>
        <w:spacing w:line="240" w:lineRule="auto"/>
        <w:ind w:firstLine="0"/>
        <w:jc w:val="left"/>
      </w:pPr>
    </w:p>
    <w:p w14:paraId="0C491ACD" w14:textId="23E01E60" w:rsidR="00F039E5" w:rsidRDefault="00F039E5" w:rsidP="00120B6B">
      <w:pPr>
        <w:spacing w:line="240" w:lineRule="auto"/>
        <w:ind w:firstLine="0"/>
        <w:jc w:val="left"/>
      </w:pPr>
      <w:r w:rsidRPr="004133EE">
        <w:t xml:space="preserve">BRASIL. Superior Tribunal de Justiça. </w:t>
      </w:r>
      <w:r w:rsidRPr="004133EE">
        <w:rPr>
          <w:b/>
        </w:rPr>
        <w:t>Recurso Especial nº 95.539/SP</w:t>
      </w:r>
      <w:r w:rsidR="005A7F12" w:rsidRPr="004133EE">
        <w:t xml:space="preserve">. </w:t>
      </w:r>
      <w:r w:rsidR="00997313" w:rsidRPr="004133EE">
        <w:t xml:space="preserve">Quarta Turma. </w:t>
      </w:r>
      <w:r w:rsidR="005A7F12" w:rsidRPr="004133EE">
        <w:t xml:space="preserve">Relator Ministro </w:t>
      </w:r>
      <w:r w:rsidRPr="004133EE">
        <w:t>Ruy Rosado Aguiar</w:t>
      </w:r>
      <w:r w:rsidR="00997313" w:rsidRPr="004133EE">
        <w:t xml:space="preserve">. </w:t>
      </w:r>
      <w:r w:rsidRPr="004133EE">
        <w:t>DJ</w:t>
      </w:r>
      <w:r w:rsidR="00997313" w:rsidRPr="004133EE">
        <w:t xml:space="preserve"> </w:t>
      </w:r>
      <w:r w:rsidRPr="004133EE">
        <w:t>3</w:t>
      </w:r>
      <w:r w:rsidR="00997313" w:rsidRPr="004133EE">
        <w:t xml:space="preserve"> set. 1996.</w:t>
      </w:r>
    </w:p>
    <w:p w14:paraId="60A62D91" w14:textId="77777777" w:rsidR="005D5592" w:rsidRDefault="005D5592" w:rsidP="00120B6B">
      <w:pPr>
        <w:spacing w:line="240" w:lineRule="auto"/>
        <w:ind w:firstLine="0"/>
        <w:jc w:val="left"/>
      </w:pPr>
    </w:p>
    <w:p w14:paraId="40CD3663" w14:textId="2D6DAEF1" w:rsidR="005D5592" w:rsidRDefault="005D5592" w:rsidP="00120B6B">
      <w:pPr>
        <w:spacing w:line="240" w:lineRule="auto"/>
        <w:ind w:firstLine="0"/>
        <w:jc w:val="left"/>
      </w:pPr>
      <w:bookmarkStart w:id="3" w:name="_Hlk141290819"/>
      <w:r>
        <w:t>BRASIL. Superior Tribunal de Justiça. Secretaria de Jurisprudência</w:t>
      </w:r>
      <w:r w:rsidRPr="009332FF">
        <w:t xml:space="preserve">. </w:t>
      </w:r>
      <w:r w:rsidRPr="0059053C">
        <w:rPr>
          <w:b/>
          <w:bCs/>
        </w:rPr>
        <w:t>Jurisprudência em Teses</w:t>
      </w:r>
      <w:r w:rsidR="00BB4758">
        <w:t xml:space="preserve">: dos Contratos de Promessa de Compra e Venda e de Compra e Venda de Bens Imóveis. Edição n° 110. </w:t>
      </w:r>
      <w:r>
        <w:t>Brasília, 21 de setembro de 2018.</w:t>
      </w:r>
      <w:r w:rsidR="00A11B7B">
        <w:t xml:space="preserve"> Disponível em: </w:t>
      </w:r>
      <w:r w:rsidR="00A11B7B" w:rsidRPr="00A11B7B">
        <w:t>https://www.stj.jus.br/internet_docs/jurisprudencia/jurisprudenciaemteses/Jurisprud%C3%AAncia%20em%20Teses%20110%20-</w:t>
      </w:r>
      <w:r w:rsidR="00A11B7B" w:rsidRPr="00A11B7B">
        <w:lastRenderedPageBreak/>
        <w:t>%20Da%20Promessa%20e%20da%20Compra%20e%20Venda%20de%20Im%C3%B3veis%20-%20II.pdf</w:t>
      </w:r>
      <w:r w:rsidR="00A11B7B">
        <w:t>. Acesso em: 26 jul. 2023.</w:t>
      </w:r>
    </w:p>
    <w:bookmarkEnd w:id="3"/>
    <w:p w14:paraId="5497D6C8" w14:textId="77777777" w:rsidR="009E069B" w:rsidRPr="004133EE" w:rsidRDefault="009E069B" w:rsidP="00120B6B">
      <w:pPr>
        <w:spacing w:line="240" w:lineRule="auto"/>
        <w:ind w:firstLine="0"/>
        <w:jc w:val="left"/>
      </w:pPr>
    </w:p>
    <w:p w14:paraId="1B77D36C" w14:textId="632018AC" w:rsidR="00E36A2F" w:rsidRDefault="00E36A2F" w:rsidP="00120B6B">
      <w:pPr>
        <w:spacing w:line="240" w:lineRule="auto"/>
        <w:ind w:firstLine="0"/>
        <w:jc w:val="left"/>
      </w:pPr>
      <w:r w:rsidRPr="004133EE">
        <w:t xml:space="preserve">MENEZES, Maria Arlinda de Assis Menezes. </w:t>
      </w:r>
      <w:r w:rsidRPr="004133EE">
        <w:rPr>
          <w:lang w:val="en-GB"/>
        </w:rPr>
        <w:t xml:space="preserve">Case method and case study: an epistemological approach. </w:t>
      </w:r>
      <w:r w:rsidRPr="004133EE">
        <w:rPr>
          <w:b/>
        </w:rPr>
        <w:t>Educação e Pesquisa</w:t>
      </w:r>
      <w:r w:rsidRPr="004133EE">
        <w:t xml:space="preserve">, São Paulo, v.35, n.1, p. 129-143, </w:t>
      </w:r>
      <w:proofErr w:type="gramStart"/>
      <w:r w:rsidRPr="004133EE">
        <w:t>jan./</w:t>
      </w:r>
      <w:proofErr w:type="gramEnd"/>
      <w:r w:rsidRPr="004133EE">
        <w:t>abr. 2009.</w:t>
      </w:r>
    </w:p>
    <w:p w14:paraId="7854ABDA" w14:textId="77777777" w:rsidR="009E069B" w:rsidRPr="004133EE" w:rsidRDefault="009E069B" w:rsidP="00120B6B">
      <w:pPr>
        <w:spacing w:line="240" w:lineRule="auto"/>
        <w:ind w:firstLine="0"/>
        <w:jc w:val="left"/>
      </w:pPr>
    </w:p>
    <w:p w14:paraId="27B62A4C" w14:textId="49679692" w:rsidR="00B06D60" w:rsidRDefault="00B06D60" w:rsidP="00120B6B">
      <w:pPr>
        <w:spacing w:line="240" w:lineRule="auto"/>
        <w:ind w:firstLine="0"/>
        <w:jc w:val="left"/>
      </w:pPr>
      <w:r w:rsidRPr="004133EE">
        <w:t xml:space="preserve">ROESCH, Sylvia Maria Azevedo. Como narrar um caso para ensino. GV Casos - </w:t>
      </w:r>
      <w:r w:rsidRPr="008851AB">
        <w:rPr>
          <w:b/>
          <w:bCs/>
        </w:rPr>
        <w:t xml:space="preserve">Rev. Bras. </w:t>
      </w:r>
      <w:proofErr w:type="gramStart"/>
      <w:r w:rsidRPr="008851AB">
        <w:rPr>
          <w:b/>
          <w:bCs/>
        </w:rPr>
        <w:t>de</w:t>
      </w:r>
      <w:proofErr w:type="gramEnd"/>
      <w:r w:rsidRPr="008851AB">
        <w:rPr>
          <w:b/>
          <w:bCs/>
        </w:rPr>
        <w:t xml:space="preserve"> Casos de Ensino em Administração</w:t>
      </w:r>
      <w:r w:rsidRPr="004133EE">
        <w:t>, 2011. Disponível em: &lt;http://bibliotecadigital.fgv.br/ojs/index.php/gvcasos/article/download/3710/2328&gt;. Acesso em 4 mai. 2015.</w:t>
      </w:r>
    </w:p>
    <w:p w14:paraId="53EE1B74" w14:textId="77777777" w:rsidR="009E069B" w:rsidRPr="004133EE" w:rsidRDefault="009E069B" w:rsidP="00120B6B">
      <w:pPr>
        <w:spacing w:line="240" w:lineRule="auto"/>
        <w:ind w:firstLine="0"/>
        <w:jc w:val="left"/>
      </w:pPr>
    </w:p>
    <w:p w14:paraId="26083A28" w14:textId="30DA1FD3" w:rsidR="009E370B" w:rsidRDefault="009E370B" w:rsidP="00120B6B">
      <w:pPr>
        <w:spacing w:line="240" w:lineRule="auto"/>
        <w:ind w:firstLine="0"/>
        <w:jc w:val="left"/>
      </w:pPr>
      <w:r w:rsidRPr="004133EE">
        <w:t xml:space="preserve">TAGLIAVINI, João Virgílio. </w:t>
      </w:r>
      <w:r w:rsidRPr="004133EE">
        <w:rPr>
          <w:b/>
        </w:rPr>
        <w:t>Aprender e ensinar direito</w:t>
      </w:r>
      <w:r w:rsidRPr="004133EE">
        <w:t>: para além do direito que se ensina errado. São Carlos: Edição do Autor, 2013</w:t>
      </w:r>
      <w:r w:rsidR="007B41DC" w:rsidRPr="004133EE">
        <w:t>.</w:t>
      </w:r>
    </w:p>
    <w:p w14:paraId="47CC259B" w14:textId="77777777" w:rsidR="009E069B" w:rsidRPr="004133EE" w:rsidRDefault="009E069B" w:rsidP="00120B6B">
      <w:pPr>
        <w:spacing w:line="240" w:lineRule="auto"/>
        <w:ind w:firstLine="0"/>
        <w:jc w:val="left"/>
      </w:pPr>
    </w:p>
    <w:p w14:paraId="3B03B067" w14:textId="1F811D98" w:rsidR="00C7051B" w:rsidRDefault="00C7051B" w:rsidP="00120B6B">
      <w:pPr>
        <w:spacing w:line="240" w:lineRule="auto"/>
        <w:ind w:firstLine="0"/>
        <w:jc w:val="left"/>
      </w:pPr>
      <w:r w:rsidRPr="004133EE">
        <w:t xml:space="preserve">WAGNER, F. C.; KELLER-FRANCO, E.; SOUZA, D. C. D. B. N. de. Elaboração de casos de ensino para o curso de direito. </w:t>
      </w:r>
      <w:r w:rsidRPr="004133EE">
        <w:rPr>
          <w:b/>
        </w:rPr>
        <w:t>Revista Inter Ação</w:t>
      </w:r>
      <w:r w:rsidRPr="004133EE">
        <w:t>, Goiânia, v. 47, n. 3, p. 1118–1138, 2023. DOI: 10.5216/</w:t>
      </w:r>
      <w:proofErr w:type="gramStart"/>
      <w:r w:rsidRPr="004133EE">
        <w:t>ia.v</w:t>
      </w:r>
      <w:proofErr w:type="gramEnd"/>
      <w:r w:rsidRPr="004133EE">
        <w:t>47i3.72993. Disponível em: https://revistas.ufg.br/interacao/article/view/72993. Acesso em: 9 jul. 2023.</w:t>
      </w:r>
    </w:p>
    <w:sectPr w:rsidR="00C7051B" w:rsidSect="002D207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A5669" w14:textId="77777777" w:rsidR="00C110F6" w:rsidRDefault="00C110F6" w:rsidP="00037EF0">
      <w:pPr>
        <w:spacing w:line="240" w:lineRule="auto"/>
      </w:pPr>
      <w:r>
        <w:separator/>
      </w:r>
    </w:p>
  </w:endnote>
  <w:endnote w:type="continuationSeparator" w:id="0">
    <w:p w14:paraId="7D7732D9" w14:textId="77777777" w:rsidR="00C110F6" w:rsidRDefault="00C110F6" w:rsidP="00037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900814"/>
      <w:docPartObj>
        <w:docPartGallery w:val="Page Numbers (Bottom of Page)"/>
        <w:docPartUnique/>
      </w:docPartObj>
    </w:sdtPr>
    <w:sdtEndPr/>
    <w:sdtContent>
      <w:p w14:paraId="58B924F7" w14:textId="43AFC8FF" w:rsidR="0073731C" w:rsidRDefault="007373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FDC">
          <w:rPr>
            <w:noProof/>
          </w:rPr>
          <w:t>1</w:t>
        </w:r>
        <w:r>
          <w:fldChar w:fldCharType="end"/>
        </w:r>
      </w:p>
    </w:sdtContent>
  </w:sdt>
  <w:p w14:paraId="51CBF82A" w14:textId="77777777" w:rsidR="0073731C" w:rsidRDefault="007373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F206B" w14:textId="77777777" w:rsidR="00C110F6" w:rsidRDefault="00C110F6" w:rsidP="00FB7D28">
      <w:pPr>
        <w:spacing w:line="240" w:lineRule="auto"/>
        <w:ind w:firstLine="0"/>
      </w:pPr>
      <w:r>
        <w:separator/>
      </w:r>
    </w:p>
  </w:footnote>
  <w:footnote w:type="continuationSeparator" w:id="0">
    <w:p w14:paraId="67798084" w14:textId="77777777" w:rsidR="00C110F6" w:rsidRDefault="00C110F6" w:rsidP="00037EF0">
      <w:pPr>
        <w:spacing w:line="240" w:lineRule="auto"/>
      </w:pPr>
      <w:r>
        <w:continuationSeparator/>
      </w:r>
    </w:p>
  </w:footnote>
  <w:footnote w:id="1">
    <w:p w14:paraId="192B731D" w14:textId="77777777" w:rsidR="00F30A22" w:rsidRDefault="00F30A22" w:rsidP="00F30A22">
      <w:pPr>
        <w:pStyle w:val="Textodenotaderodap"/>
      </w:pPr>
      <w:r>
        <w:rPr>
          <w:rStyle w:val="Refdenotaderodap"/>
        </w:rPr>
        <w:t>*</w:t>
      </w:r>
      <w:r>
        <w:t xml:space="preserve"> Bacharela em Direito pela Universidade Federal do Rio Grande do Norte. Foi monitora das Disciplinas Direito Civil II (Obrigações) e Direito Civil III (Contratos) no ano de 2022.</w:t>
      </w:r>
    </w:p>
  </w:footnote>
  <w:footnote w:id="2">
    <w:p w14:paraId="302160DF" w14:textId="77777777" w:rsidR="00A9549C" w:rsidRDefault="00A9549C" w:rsidP="00A9549C">
      <w:pPr>
        <w:pStyle w:val="Textodenotaderodap"/>
      </w:pPr>
      <w:r>
        <w:rPr>
          <w:rStyle w:val="Refdenotaderodap"/>
        </w:rPr>
        <w:t>**</w:t>
      </w:r>
      <w:r>
        <w:t xml:space="preserve"> Graduanda em Direito pela Universidade Federal do Rio Grande do Norte. Monitora das Disciplinas Direito Civil II (Obrigações) e Direito Civil III (Contratos) nos anos de 2022 e 2023. E-mail: ana.julia.119@ufrn.edu.br.</w:t>
      </w:r>
    </w:p>
  </w:footnote>
  <w:footnote w:id="3">
    <w:p w14:paraId="11A078EE" w14:textId="77777777" w:rsidR="00A9549C" w:rsidRDefault="00A9549C" w:rsidP="00A9549C">
      <w:pPr>
        <w:pStyle w:val="Textodenotaderodap"/>
      </w:pPr>
      <w:r>
        <w:rPr>
          <w:rStyle w:val="Refdenotaderodap"/>
        </w:rPr>
        <w:t>***</w:t>
      </w:r>
      <w:r>
        <w:t xml:space="preserve"> </w:t>
      </w:r>
      <w:r w:rsidRPr="00A667B1">
        <w:t xml:space="preserve">Professor Adjunto da Universidade Federal do Rio Grande do Norte, Departamento de Direito Privado. Doutor em Direito pela Universidade de Coimbra. Ministra as disciplinas de Obrigações (Direito Civil II) e Contratos (Direito Civil III). </w:t>
      </w:r>
      <w:r>
        <w:t>Ju</w:t>
      </w:r>
      <w:r w:rsidRPr="00A667B1">
        <w:t>iz Federal</w:t>
      </w:r>
      <w:r>
        <w:t xml:space="preserve">. </w:t>
      </w:r>
      <w:r w:rsidRPr="00A667B1">
        <w:t>Lattes: http://lattes.cnpq.br/4850326871996552. E-mail: fabio.bezerra@ufrn.br</w:t>
      </w:r>
      <w:r>
        <w:t>.</w:t>
      </w:r>
    </w:p>
  </w:footnote>
  <w:footnote w:id="4">
    <w:p w14:paraId="4704332E" w14:textId="753B65D1" w:rsidR="00C15F75" w:rsidRDefault="00C15F75" w:rsidP="00C15F7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826790">
        <w:t>É cabível a realização em sala de aula com os alunos de uma simulação da negociação da compra e venda do imóvel, conforme especificado na seção 2.3.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A3B07" w14:textId="77777777" w:rsidR="00D02A50" w:rsidRDefault="0073731C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  <w:r>
      <w:rPr>
        <w:noProof/>
        <w:szCs w:val="20"/>
      </w:rPr>
      <w:drawing>
        <wp:anchor distT="0" distB="0" distL="114300" distR="114300" simplePos="0" relativeHeight="251658240" behindDoc="0" locked="0" layoutInCell="1" allowOverlap="1" wp14:anchorId="5974954B" wp14:editId="146F821B">
          <wp:simplePos x="0" y="0"/>
          <wp:positionH relativeFrom="column">
            <wp:posOffset>-13335</wp:posOffset>
          </wp:positionH>
          <wp:positionV relativeFrom="paragraph">
            <wp:posOffset>-250190</wp:posOffset>
          </wp:positionV>
          <wp:extent cx="5687060" cy="624205"/>
          <wp:effectExtent l="0" t="0" r="8890" b="4445"/>
          <wp:wrapThrough wrapText="bothSides">
            <wp:wrapPolygon edited="0">
              <wp:start x="0" y="0"/>
              <wp:lineTo x="0" y="21095"/>
              <wp:lineTo x="21561" y="21095"/>
              <wp:lineTo x="21561" y="0"/>
              <wp:lineTo x="0" y="0"/>
            </wp:wrapPolygon>
          </wp:wrapThrough>
          <wp:docPr id="1924845392" name="Imagem 19248453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0754DB" w14:textId="77777777" w:rsidR="00D02A50" w:rsidRDefault="00D02A50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  <w:p w14:paraId="634F432D" w14:textId="77777777" w:rsidR="001D32C9" w:rsidRPr="00027FA6" w:rsidRDefault="001D32C9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08FB"/>
    <w:multiLevelType w:val="hybridMultilevel"/>
    <w:tmpl w:val="619E6AD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F70F2C"/>
    <w:multiLevelType w:val="multilevel"/>
    <w:tmpl w:val="38824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222258"/>
    <w:multiLevelType w:val="hybridMultilevel"/>
    <w:tmpl w:val="60B44DC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06E6F3D"/>
    <w:multiLevelType w:val="hybridMultilevel"/>
    <w:tmpl w:val="6D68AF86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99937AF"/>
    <w:multiLevelType w:val="multilevel"/>
    <w:tmpl w:val="FCE21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A7D6976"/>
    <w:multiLevelType w:val="hybridMultilevel"/>
    <w:tmpl w:val="5A106F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F871B4F"/>
    <w:multiLevelType w:val="hybridMultilevel"/>
    <w:tmpl w:val="259E9460"/>
    <w:lvl w:ilvl="0" w:tplc="4E58F5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D775DA"/>
    <w:multiLevelType w:val="multilevel"/>
    <w:tmpl w:val="D968EA4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75C96BAA"/>
    <w:multiLevelType w:val="hybridMultilevel"/>
    <w:tmpl w:val="493848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2955CD"/>
    <w:multiLevelType w:val="multilevel"/>
    <w:tmpl w:val="9A50702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E5"/>
    <w:rsid w:val="00003C55"/>
    <w:rsid w:val="00003FDC"/>
    <w:rsid w:val="00006D45"/>
    <w:rsid w:val="00010FF9"/>
    <w:rsid w:val="00014CE0"/>
    <w:rsid w:val="00026591"/>
    <w:rsid w:val="00027887"/>
    <w:rsid w:val="00027FA6"/>
    <w:rsid w:val="0003220A"/>
    <w:rsid w:val="000358D6"/>
    <w:rsid w:val="00037EF0"/>
    <w:rsid w:val="00044193"/>
    <w:rsid w:val="00061A34"/>
    <w:rsid w:val="000728D3"/>
    <w:rsid w:val="00072EC4"/>
    <w:rsid w:val="00080496"/>
    <w:rsid w:val="00083550"/>
    <w:rsid w:val="00083960"/>
    <w:rsid w:val="00086077"/>
    <w:rsid w:val="00091EB5"/>
    <w:rsid w:val="000A3BDA"/>
    <w:rsid w:val="000A42DF"/>
    <w:rsid w:val="000A5AD8"/>
    <w:rsid w:val="000B2A37"/>
    <w:rsid w:val="000B3ACB"/>
    <w:rsid w:val="000B562C"/>
    <w:rsid w:val="000B574B"/>
    <w:rsid w:val="000B6513"/>
    <w:rsid w:val="000D001B"/>
    <w:rsid w:val="000D16F0"/>
    <w:rsid w:val="000D69E9"/>
    <w:rsid w:val="000E60AA"/>
    <w:rsid w:val="000F2279"/>
    <w:rsid w:val="000F28D5"/>
    <w:rsid w:val="000F5CA9"/>
    <w:rsid w:val="000F6110"/>
    <w:rsid w:val="00120B6B"/>
    <w:rsid w:val="00120D2D"/>
    <w:rsid w:val="0012439F"/>
    <w:rsid w:val="00125382"/>
    <w:rsid w:val="001305B9"/>
    <w:rsid w:val="00130850"/>
    <w:rsid w:val="001315CB"/>
    <w:rsid w:val="001371A5"/>
    <w:rsid w:val="00141CD3"/>
    <w:rsid w:val="0014336F"/>
    <w:rsid w:val="00147146"/>
    <w:rsid w:val="00162EE3"/>
    <w:rsid w:val="00164E7F"/>
    <w:rsid w:val="00185C8F"/>
    <w:rsid w:val="001860E6"/>
    <w:rsid w:val="00197A6A"/>
    <w:rsid w:val="001A2F87"/>
    <w:rsid w:val="001A4A76"/>
    <w:rsid w:val="001A7C04"/>
    <w:rsid w:val="001B00E2"/>
    <w:rsid w:val="001B4F4C"/>
    <w:rsid w:val="001B6C0F"/>
    <w:rsid w:val="001C5306"/>
    <w:rsid w:val="001D32C9"/>
    <w:rsid w:val="001D36E9"/>
    <w:rsid w:val="001D3C83"/>
    <w:rsid w:val="001D7336"/>
    <w:rsid w:val="001D736D"/>
    <w:rsid w:val="001E0317"/>
    <w:rsid w:val="001F132E"/>
    <w:rsid w:val="002116FB"/>
    <w:rsid w:val="00211A76"/>
    <w:rsid w:val="002120F0"/>
    <w:rsid w:val="00217C5D"/>
    <w:rsid w:val="002215BF"/>
    <w:rsid w:val="00223BAB"/>
    <w:rsid w:val="00225D20"/>
    <w:rsid w:val="00231595"/>
    <w:rsid w:val="002373C9"/>
    <w:rsid w:val="00257CF5"/>
    <w:rsid w:val="00267400"/>
    <w:rsid w:val="0027229F"/>
    <w:rsid w:val="002770E2"/>
    <w:rsid w:val="0027796F"/>
    <w:rsid w:val="002810E6"/>
    <w:rsid w:val="00285F11"/>
    <w:rsid w:val="00286112"/>
    <w:rsid w:val="00294CC4"/>
    <w:rsid w:val="002A045C"/>
    <w:rsid w:val="002C05A6"/>
    <w:rsid w:val="002C0C68"/>
    <w:rsid w:val="002C3153"/>
    <w:rsid w:val="002C70D1"/>
    <w:rsid w:val="002D1E75"/>
    <w:rsid w:val="002D2070"/>
    <w:rsid w:val="002D3D5A"/>
    <w:rsid w:val="002E3483"/>
    <w:rsid w:val="002E4610"/>
    <w:rsid w:val="002F42C1"/>
    <w:rsid w:val="002F7F9B"/>
    <w:rsid w:val="00300A22"/>
    <w:rsid w:val="00301389"/>
    <w:rsid w:val="00304E5D"/>
    <w:rsid w:val="00310E99"/>
    <w:rsid w:val="00325243"/>
    <w:rsid w:val="00325541"/>
    <w:rsid w:val="003279D3"/>
    <w:rsid w:val="00335DEC"/>
    <w:rsid w:val="003379FD"/>
    <w:rsid w:val="00341FA6"/>
    <w:rsid w:val="003422CA"/>
    <w:rsid w:val="003438CE"/>
    <w:rsid w:val="00345F70"/>
    <w:rsid w:val="003526CE"/>
    <w:rsid w:val="00364F29"/>
    <w:rsid w:val="00366A53"/>
    <w:rsid w:val="00380F7D"/>
    <w:rsid w:val="00384D65"/>
    <w:rsid w:val="00386C08"/>
    <w:rsid w:val="0038789D"/>
    <w:rsid w:val="003A130E"/>
    <w:rsid w:val="003A1397"/>
    <w:rsid w:val="003A2029"/>
    <w:rsid w:val="003A555C"/>
    <w:rsid w:val="003A6155"/>
    <w:rsid w:val="003B397B"/>
    <w:rsid w:val="003B5E2C"/>
    <w:rsid w:val="003C1463"/>
    <w:rsid w:val="003C6E2B"/>
    <w:rsid w:val="003D0321"/>
    <w:rsid w:val="003D0B86"/>
    <w:rsid w:val="003D0FBA"/>
    <w:rsid w:val="003D1469"/>
    <w:rsid w:val="003D2043"/>
    <w:rsid w:val="003D4263"/>
    <w:rsid w:val="003D4A3C"/>
    <w:rsid w:val="003D79BE"/>
    <w:rsid w:val="003E339A"/>
    <w:rsid w:val="003F303C"/>
    <w:rsid w:val="003F3807"/>
    <w:rsid w:val="003F470C"/>
    <w:rsid w:val="003F7BB4"/>
    <w:rsid w:val="004019A2"/>
    <w:rsid w:val="004133EE"/>
    <w:rsid w:val="00420BFA"/>
    <w:rsid w:val="00421993"/>
    <w:rsid w:val="00422614"/>
    <w:rsid w:val="004268CE"/>
    <w:rsid w:val="004329D2"/>
    <w:rsid w:val="00446FD2"/>
    <w:rsid w:val="00465751"/>
    <w:rsid w:val="0047270A"/>
    <w:rsid w:val="00475529"/>
    <w:rsid w:val="00477B63"/>
    <w:rsid w:val="0048147E"/>
    <w:rsid w:val="004903CF"/>
    <w:rsid w:val="004924CB"/>
    <w:rsid w:val="00494F06"/>
    <w:rsid w:val="004967D0"/>
    <w:rsid w:val="004A15BE"/>
    <w:rsid w:val="004A2242"/>
    <w:rsid w:val="004A3447"/>
    <w:rsid w:val="004B074E"/>
    <w:rsid w:val="004B1151"/>
    <w:rsid w:val="004B4A09"/>
    <w:rsid w:val="004C06D6"/>
    <w:rsid w:val="004C62B4"/>
    <w:rsid w:val="004C7227"/>
    <w:rsid w:val="004D3F50"/>
    <w:rsid w:val="004E0019"/>
    <w:rsid w:val="004E103B"/>
    <w:rsid w:val="004E2B68"/>
    <w:rsid w:val="004F0D89"/>
    <w:rsid w:val="004F481E"/>
    <w:rsid w:val="004F5834"/>
    <w:rsid w:val="004F5C74"/>
    <w:rsid w:val="004F5EA5"/>
    <w:rsid w:val="00501515"/>
    <w:rsid w:val="005037A7"/>
    <w:rsid w:val="005045C1"/>
    <w:rsid w:val="005045F6"/>
    <w:rsid w:val="00510216"/>
    <w:rsid w:val="00513AF5"/>
    <w:rsid w:val="005174DB"/>
    <w:rsid w:val="00531D8B"/>
    <w:rsid w:val="00532A14"/>
    <w:rsid w:val="0053310F"/>
    <w:rsid w:val="005346EB"/>
    <w:rsid w:val="005469F7"/>
    <w:rsid w:val="00551C32"/>
    <w:rsid w:val="0055337E"/>
    <w:rsid w:val="0056115D"/>
    <w:rsid w:val="0057151D"/>
    <w:rsid w:val="00576C3A"/>
    <w:rsid w:val="00585286"/>
    <w:rsid w:val="00585962"/>
    <w:rsid w:val="0059053C"/>
    <w:rsid w:val="00595B07"/>
    <w:rsid w:val="005A01FF"/>
    <w:rsid w:val="005A7F12"/>
    <w:rsid w:val="005B2A55"/>
    <w:rsid w:val="005B4AC5"/>
    <w:rsid w:val="005B4F90"/>
    <w:rsid w:val="005B6DB5"/>
    <w:rsid w:val="005C7C0F"/>
    <w:rsid w:val="005D099C"/>
    <w:rsid w:val="005D5592"/>
    <w:rsid w:val="005E0602"/>
    <w:rsid w:val="005E08C0"/>
    <w:rsid w:val="005E0CEE"/>
    <w:rsid w:val="005E1E6D"/>
    <w:rsid w:val="005E43D3"/>
    <w:rsid w:val="005E4665"/>
    <w:rsid w:val="005F0AAB"/>
    <w:rsid w:val="005F3B31"/>
    <w:rsid w:val="005F6646"/>
    <w:rsid w:val="005F6CF6"/>
    <w:rsid w:val="0060056B"/>
    <w:rsid w:val="00601919"/>
    <w:rsid w:val="0061462F"/>
    <w:rsid w:val="00617CB2"/>
    <w:rsid w:val="006220A1"/>
    <w:rsid w:val="00622AB5"/>
    <w:rsid w:val="00626FBF"/>
    <w:rsid w:val="006351C2"/>
    <w:rsid w:val="006445DB"/>
    <w:rsid w:val="00647DA5"/>
    <w:rsid w:val="006563D7"/>
    <w:rsid w:val="00667346"/>
    <w:rsid w:val="0066767F"/>
    <w:rsid w:val="006676C3"/>
    <w:rsid w:val="00673DB6"/>
    <w:rsid w:val="00695B93"/>
    <w:rsid w:val="0069633F"/>
    <w:rsid w:val="006A2EE8"/>
    <w:rsid w:val="006B2585"/>
    <w:rsid w:val="006B3D97"/>
    <w:rsid w:val="006B3FE2"/>
    <w:rsid w:val="006C2085"/>
    <w:rsid w:val="006C449D"/>
    <w:rsid w:val="006E1858"/>
    <w:rsid w:val="006E2491"/>
    <w:rsid w:val="006E451C"/>
    <w:rsid w:val="006E7EEF"/>
    <w:rsid w:val="0070302D"/>
    <w:rsid w:val="007048DD"/>
    <w:rsid w:val="007068BB"/>
    <w:rsid w:val="007104F1"/>
    <w:rsid w:val="0071243D"/>
    <w:rsid w:val="007136E8"/>
    <w:rsid w:val="00714612"/>
    <w:rsid w:val="00721E1F"/>
    <w:rsid w:val="00730656"/>
    <w:rsid w:val="00732237"/>
    <w:rsid w:val="0073602F"/>
    <w:rsid w:val="0073731C"/>
    <w:rsid w:val="0074790F"/>
    <w:rsid w:val="00750B04"/>
    <w:rsid w:val="00751941"/>
    <w:rsid w:val="00752509"/>
    <w:rsid w:val="0075581E"/>
    <w:rsid w:val="00760074"/>
    <w:rsid w:val="00770D69"/>
    <w:rsid w:val="007776BB"/>
    <w:rsid w:val="007810C7"/>
    <w:rsid w:val="007817C4"/>
    <w:rsid w:val="00781B56"/>
    <w:rsid w:val="0078612E"/>
    <w:rsid w:val="007876A7"/>
    <w:rsid w:val="007917AA"/>
    <w:rsid w:val="00794F42"/>
    <w:rsid w:val="007A5755"/>
    <w:rsid w:val="007A7B92"/>
    <w:rsid w:val="007B41DC"/>
    <w:rsid w:val="007C6B94"/>
    <w:rsid w:val="007E6084"/>
    <w:rsid w:val="007E6380"/>
    <w:rsid w:val="007F26E1"/>
    <w:rsid w:val="00812046"/>
    <w:rsid w:val="00826790"/>
    <w:rsid w:val="00827241"/>
    <w:rsid w:val="0082751B"/>
    <w:rsid w:val="00831365"/>
    <w:rsid w:val="00832AF9"/>
    <w:rsid w:val="008346FE"/>
    <w:rsid w:val="00844235"/>
    <w:rsid w:val="00846C22"/>
    <w:rsid w:val="00850B14"/>
    <w:rsid w:val="00850E8C"/>
    <w:rsid w:val="008535B8"/>
    <w:rsid w:val="00854247"/>
    <w:rsid w:val="00855312"/>
    <w:rsid w:val="00856DE4"/>
    <w:rsid w:val="008623DF"/>
    <w:rsid w:val="008640F4"/>
    <w:rsid w:val="00865963"/>
    <w:rsid w:val="008669BC"/>
    <w:rsid w:val="0087099A"/>
    <w:rsid w:val="00880EEE"/>
    <w:rsid w:val="008851AB"/>
    <w:rsid w:val="008869F8"/>
    <w:rsid w:val="00894608"/>
    <w:rsid w:val="00895F7F"/>
    <w:rsid w:val="00896885"/>
    <w:rsid w:val="008B3B44"/>
    <w:rsid w:val="008C0EF2"/>
    <w:rsid w:val="008D091E"/>
    <w:rsid w:val="008D1EB1"/>
    <w:rsid w:val="008D2A33"/>
    <w:rsid w:val="008D655F"/>
    <w:rsid w:val="008D7014"/>
    <w:rsid w:val="008F097F"/>
    <w:rsid w:val="008F14DA"/>
    <w:rsid w:val="008F1B32"/>
    <w:rsid w:val="008F4CBC"/>
    <w:rsid w:val="008F6202"/>
    <w:rsid w:val="008F633B"/>
    <w:rsid w:val="008F66E4"/>
    <w:rsid w:val="0090210B"/>
    <w:rsid w:val="00902A2C"/>
    <w:rsid w:val="00911DFF"/>
    <w:rsid w:val="00911EC4"/>
    <w:rsid w:val="00913AF4"/>
    <w:rsid w:val="00915891"/>
    <w:rsid w:val="0091631C"/>
    <w:rsid w:val="00932BC5"/>
    <w:rsid w:val="009332FF"/>
    <w:rsid w:val="00933D14"/>
    <w:rsid w:val="00934292"/>
    <w:rsid w:val="00934D34"/>
    <w:rsid w:val="009473B1"/>
    <w:rsid w:val="00954FB3"/>
    <w:rsid w:val="009617F1"/>
    <w:rsid w:val="00966B2D"/>
    <w:rsid w:val="00981B6D"/>
    <w:rsid w:val="00983A36"/>
    <w:rsid w:val="00984149"/>
    <w:rsid w:val="00986439"/>
    <w:rsid w:val="00990303"/>
    <w:rsid w:val="009908E7"/>
    <w:rsid w:val="00990DE8"/>
    <w:rsid w:val="009938F8"/>
    <w:rsid w:val="00996E74"/>
    <w:rsid w:val="00997313"/>
    <w:rsid w:val="009A1F0E"/>
    <w:rsid w:val="009A5589"/>
    <w:rsid w:val="009A5C30"/>
    <w:rsid w:val="009B24FA"/>
    <w:rsid w:val="009B41F3"/>
    <w:rsid w:val="009B657A"/>
    <w:rsid w:val="009C2AAB"/>
    <w:rsid w:val="009D0C4B"/>
    <w:rsid w:val="009D3072"/>
    <w:rsid w:val="009D68B4"/>
    <w:rsid w:val="009E069B"/>
    <w:rsid w:val="009E370B"/>
    <w:rsid w:val="009E3D7D"/>
    <w:rsid w:val="009F06E7"/>
    <w:rsid w:val="009F4E0F"/>
    <w:rsid w:val="00A04C0B"/>
    <w:rsid w:val="00A1103C"/>
    <w:rsid w:val="00A11B7B"/>
    <w:rsid w:val="00A151ED"/>
    <w:rsid w:val="00A30A28"/>
    <w:rsid w:val="00A32F21"/>
    <w:rsid w:val="00A349AA"/>
    <w:rsid w:val="00A41867"/>
    <w:rsid w:val="00A45FC6"/>
    <w:rsid w:val="00A53CC5"/>
    <w:rsid w:val="00A5764B"/>
    <w:rsid w:val="00A608A6"/>
    <w:rsid w:val="00A661D4"/>
    <w:rsid w:val="00A669B9"/>
    <w:rsid w:val="00A74850"/>
    <w:rsid w:val="00A82C5D"/>
    <w:rsid w:val="00A83319"/>
    <w:rsid w:val="00A84BE8"/>
    <w:rsid w:val="00A9549C"/>
    <w:rsid w:val="00AA0C5A"/>
    <w:rsid w:val="00AA38DF"/>
    <w:rsid w:val="00AA4AE5"/>
    <w:rsid w:val="00AA70BD"/>
    <w:rsid w:val="00AB0486"/>
    <w:rsid w:val="00AB3914"/>
    <w:rsid w:val="00AB3FD1"/>
    <w:rsid w:val="00AB57D6"/>
    <w:rsid w:val="00AB5BB6"/>
    <w:rsid w:val="00AB74A0"/>
    <w:rsid w:val="00AC1F34"/>
    <w:rsid w:val="00AC21F5"/>
    <w:rsid w:val="00AD18D1"/>
    <w:rsid w:val="00AD361D"/>
    <w:rsid w:val="00AE6829"/>
    <w:rsid w:val="00AE7B5A"/>
    <w:rsid w:val="00AF29AD"/>
    <w:rsid w:val="00AF43BB"/>
    <w:rsid w:val="00AF4C3A"/>
    <w:rsid w:val="00AF5E96"/>
    <w:rsid w:val="00B06D60"/>
    <w:rsid w:val="00B14418"/>
    <w:rsid w:val="00B31C17"/>
    <w:rsid w:val="00B34787"/>
    <w:rsid w:val="00B34DB3"/>
    <w:rsid w:val="00B3717E"/>
    <w:rsid w:val="00B457D2"/>
    <w:rsid w:val="00B52FE2"/>
    <w:rsid w:val="00B577DE"/>
    <w:rsid w:val="00B70947"/>
    <w:rsid w:val="00B70B50"/>
    <w:rsid w:val="00B71731"/>
    <w:rsid w:val="00B74E55"/>
    <w:rsid w:val="00B76ECD"/>
    <w:rsid w:val="00B82878"/>
    <w:rsid w:val="00B92EA4"/>
    <w:rsid w:val="00B9325A"/>
    <w:rsid w:val="00BA070C"/>
    <w:rsid w:val="00BA5393"/>
    <w:rsid w:val="00BA56B3"/>
    <w:rsid w:val="00BA7ADD"/>
    <w:rsid w:val="00BB2B71"/>
    <w:rsid w:val="00BB44AF"/>
    <w:rsid w:val="00BB4758"/>
    <w:rsid w:val="00BB5E7B"/>
    <w:rsid w:val="00BC0F39"/>
    <w:rsid w:val="00BC539B"/>
    <w:rsid w:val="00BC5AC4"/>
    <w:rsid w:val="00BD35AE"/>
    <w:rsid w:val="00BD48D9"/>
    <w:rsid w:val="00BD7A6B"/>
    <w:rsid w:val="00BD7C51"/>
    <w:rsid w:val="00BE3252"/>
    <w:rsid w:val="00BE67B1"/>
    <w:rsid w:val="00BF7EA1"/>
    <w:rsid w:val="00C01E28"/>
    <w:rsid w:val="00C04764"/>
    <w:rsid w:val="00C107F1"/>
    <w:rsid w:val="00C110F6"/>
    <w:rsid w:val="00C15F75"/>
    <w:rsid w:val="00C16C22"/>
    <w:rsid w:val="00C24499"/>
    <w:rsid w:val="00C255D6"/>
    <w:rsid w:val="00C3132B"/>
    <w:rsid w:val="00C40DEF"/>
    <w:rsid w:val="00C419B6"/>
    <w:rsid w:val="00C468D0"/>
    <w:rsid w:val="00C6082E"/>
    <w:rsid w:val="00C66123"/>
    <w:rsid w:val="00C7051B"/>
    <w:rsid w:val="00C7165B"/>
    <w:rsid w:val="00C72877"/>
    <w:rsid w:val="00C80576"/>
    <w:rsid w:val="00C8309A"/>
    <w:rsid w:val="00C83CFB"/>
    <w:rsid w:val="00C86866"/>
    <w:rsid w:val="00C8701A"/>
    <w:rsid w:val="00C90F76"/>
    <w:rsid w:val="00C91829"/>
    <w:rsid w:val="00C92ADE"/>
    <w:rsid w:val="00C93F74"/>
    <w:rsid w:val="00C96EDC"/>
    <w:rsid w:val="00CA46A6"/>
    <w:rsid w:val="00CA6835"/>
    <w:rsid w:val="00CA731C"/>
    <w:rsid w:val="00CA7ED2"/>
    <w:rsid w:val="00CB1987"/>
    <w:rsid w:val="00CB4C69"/>
    <w:rsid w:val="00CC0546"/>
    <w:rsid w:val="00CC6375"/>
    <w:rsid w:val="00CD2923"/>
    <w:rsid w:val="00CD3DA5"/>
    <w:rsid w:val="00CD7004"/>
    <w:rsid w:val="00CE10D3"/>
    <w:rsid w:val="00CE222C"/>
    <w:rsid w:val="00CE7E10"/>
    <w:rsid w:val="00D02A50"/>
    <w:rsid w:val="00D11FFA"/>
    <w:rsid w:val="00D12080"/>
    <w:rsid w:val="00D158D6"/>
    <w:rsid w:val="00D4238B"/>
    <w:rsid w:val="00D47439"/>
    <w:rsid w:val="00D55879"/>
    <w:rsid w:val="00D57559"/>
    <w:rsid w:val="00D63A18"/>
    <w:rsid w:val="00D664F3"/>
    <w:rsid w:val="00D74AB8"/>
    <w:rsid w:val="00D810AB"/>
    <w:rsid w:val="00D83FE7"/>
    <w:rsid w:val="00D85226"/>
    <w:rsid w:val="00D85D09"/>
    <w:rsid w:val="00D86279"/>
    <w:rsid w:val="00D8799B"/>
    <w:rsid w:val="00D915C6"/>
    <w:rsid w:val="00DA1875"/>
    <w:rsid w:val="00DB2DF6"/>
    <w:rsid w:val="00DC2ADD"/>
    <w:rsid w:val="00DC2E7A"/>
    <w:rsid w:val="00DC4533"/>
    <w:rsid w:val="00DC55AC"/>
    <w:rsid w:val="00DD4BF6"/>
    <w:rsid w:val="00DD6734"/>
    <w:rsid w:val="00DF3891"/>
    <w:rsid w:val="00DF6811"/>
    <w:rsid w:val="00DF7D51"/>
    <w:rsid w:val="00E039CD"/>
    <w:rsid w:val="00E151D7"/>
    <w:rsid w:val="00E15FAD"/>
    <w:rsid w:val="00E20E23"/>
    <w:rsid w:val="00E22433"/>
    <w:rsid w:val="00E32F72"/>
    <w:rsid w:val="00E36A2F"/>
    <w:rsid w:val="00E40184"/>
    <w:rsid w:val="00E448C0"/>
    <w:rsid w:val="00E47823"/>
    <w:rsid w:val="00E53E1A"/>
    <w:rsid w:val="00E54FA8"/>
    <w:rsid w:val="00E56326"/>
    <w:rsid w:val="00E61AEC"/>
    <w:rsid w:val="00E84194"/>
    <w:rsid w:val="00E847FE"/>
    <w:rsid w:val="00E8701F"/>
    <w:rsid w:val="00E9161F"/>
    <w:rsid w:val="00EA2A31"/>
    <w:rsid w:val="00EA3129"/>
    <w:rsid w:val="00EA32E6"/>
    <w:rsid w:val="00EA4F27"/>
    <w:rsid w:val="00EA6F8D"/>
    <w:rsid w:val="00EB143A"/>
    <w:rsid w:val="00EC2A58"/>
    <w:rsid w:val="00EC3B48"/>
    <w:rsid w:val="00EC60CD"/>
    <w:rsid w:val="00EC79CA"/>
    <w:rsid w:val="00EC7D7C"/>
    <w:rsid w:val="00ED11E8"/>
    <w:rsid w:val="00ED5439"/>
    <w:rsid w:val="00ED7757"/>
    <w:rsid w:val="00EE54FF"/>
    <w:rsid w:val="00EE70FD"/>
    <w:rsid w:val="00EF1EEF"/>
    <w:rsid w:val="00EF6812"/>
    <w:rsid w:val="00F01DD2"/>
    <w:rsid w:val="00F039E5"/>
    <w:rsid w:val="00F03E9C"/>
    <w:rsid w:val="00F04F4C"/>
    <w:rsid w:val="00F1288F"/>
    <w:rsid w:val="00F14780"/>
    <w:rsid w:val="00F16169"/>
    <w:rsid w:val="00F22B5C"/>
    <w:rsid w:val="00F27E69"/>
    <w:rsid w:val="00F30A22"/>
    <w:rsid w:val="00F30B0B"/>
    <w:rsid w:val="00F37E1B"/>
    <w:rsid w:val="00F4543A"/>
    <w:rsid w:val="00F47A4C"/>
    <w:rsid w:val="00F53D45"/>
    <w:rsid w:val="00F70A5D"/>
    <w:rsid w:val="00F715D6"/>
    <w:rsid w:val="00FA1873"/>
    <w:rsid w:val="00FA3A6B"/>
    <w:rsid w:val="00FA6B0A"/>
    <w:rsid w:val="00FA71FD"/>
    <w:rsid w:val="00FB7D28"/>
    <w:rsid w:val="00FC0737"/>
    <w:rsid w:val="00FC4D9D"/>
    <w:rsid w:val="00FD0D46"/>
    <w:rsid w:val="00FD257E"/>
    <w:rsid w:val="00FD7319"/>
    <w:rsid w:val="00FF2B6C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04D19"/>
  <w15:docId w15:val="{D6302433-A8B2-4D61-A9A2-008DB12E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70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10E99"/>
    <w:pPr>
      <w:keepNext/>
      <w:keepLines/>
      <w:numPr>
        <w:numId w:val="10"/>
      </w:numPr>
      <w:spacing w:before="240" w:after="24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2B6C"/>
    <w:pPr>
      <w:keepNext/>
      <w:keepLines/>
      <w:numPr>
        <w:ilvl w:val="1"/>
        <w:numId w:val="10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D65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46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46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46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46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46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46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37EF0"/>
  </w:style>
  <w:style w:type="paragraph" w:styleId="Rodap">
    <w:name w:val="footer"/>
    <w:basedOn w:val="Normal"/>
    <w:link w:val="Rodap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EF0"/>
  </w:style>
  <w:style w:type="paragraph" w:styleId="Textodebalo">
    <w:name w:val="Balloon Text"/>
    <w:basedOn w:val="Normal"/>
    <w:link w:val="TextodebaloChar"/>
    <w:uiPriority w:val="99"/>
    <w:semiHidden/>
    <w:unhideWhenUsed/>
    <w:rsid w:val="00A45F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0E9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F2B6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3F74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5037A7"/>
    <w:pPr>
      <w:tabs>
        <w:tab w:val="left" w:pos="851"/>
      </w:tabs>
      <w:spacing w:line="240" w:lineRule="auto"/>
      <w:ind w:left="2268"/>
    </w:pPr>
    <w:rPr>
      <w:rFonts w:eastAsia="Arial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037A7"/>
    <w:rPr>
      <w:rFonts w:ascii="Times New Roman" w:eastAsia="Arial" w:hAnsi="Times New Roman" w:cs="Times New Roman"/>
      <w:iCs/>
      <w:color w:val="000000" w:themeColor="text1"/>
    </w:rPr>
  </w:style>
  <w:style w:type="paragraph" w:customStyle="1" w:styleId="Texto">
    <w:name w:val="Texto"/>
    <w:basedOn w:val="Normal"/>
    <w:rsid w:val="001F132E"/>
    <w:pPr>
      <w:suppressAutoHyphens/>
    </w:pPr>
    <w:rPr>
      <w:rFonts w:ascii="Arial" w:eastAsia="Calibri" w:hAnsi="Arial" w:cs="Arial"/>
      <w:lang w:eastAsia="zh-CN"/>
    </w:rPr>
  </w:style>
  <w:style w:type="paragraph" w:styleId="PargrafodaLista">
    <w:name w:val="List Paragraph"/>
    <w:basedOn w:val="Normal"/>
    <w:uiPriority w:val="34"/>
    <w:qFormat/>
    <w:rsid w:val="002A045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3C146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46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ernciaIntensa">
    <w:name w:val="Intense Reference"/>
    <w:basedOn w:val="Fontepargpadro"/>
    <w:uiPriority w:val="32"/>
    <w:qFormat/>
    <w:rsid w:val="00AA38DF"/>
    <w:rPr>
      <w:b/>
      <w:bCs/>
      <w:smallCaps/>
      <w:color w:val="5B9BD5" w:themeColor="accent1"/>
      <w:spacing w:val="5"/>
    </w:rPr>
  </w:style>
  <w:style w:type="paragraph" w:customStyle="1" w:styleId="REFSFINAIS">
    <w:name w:val="REFS FINAIS"/>
    <w:basedOn w:val="Normal"/>
    <w:link w:val="REFSFINAISChar"/>
    <w:qFormat/>
    <w:rsid w:val="00832AF9"/>
    <w:pPr>
      <w:spacing w:before="240" w:after="240"/>
      <w:ind w:firstLine="0"/>
      <w:jc w:val="left"/>
    </w:pPr>
    <w:rPr>
      <w:rFonts w:eastAsia="Arial" w:cs="Times New Roman"/>
      <w:spacing w:val="-2"/>
      <w:szCs w:val="24"/>
    </w:rPr>
  </w:style>
  <w:style w:type="paragraph" w:styleId="Textodenotaderodap">
    <w:name w:val="footnote text"/>
    <w:link w:val="TextodenotaderodapChar"/>
    <w:uiPriority w:val="99"/>
    <w:unhideWhenUsed/>
    <w:qFormat/>
    <w:rsid w:val="005B6DB5"/>
    <w:pPr>
      <w:spacing w:after="0" w:line="240" w:lineRule="auto"/>
      <w:jc w:val="both"/>
    </w:pPr>
    <w:rPr>
      <w:rFonts w:ascii="Times New Roman" w:hAnsi="Times New Roman"/>
      <w:szCs w:val="20"/>
    </w:rPr>
  </w:style>
  <w:style w:type="character" w:customStyle="1" w:styleId="REFSFINAISChar">
    <w:name w:val="REFS FINAIS Char"/>
    <w:basedOn w:val="Fontepargpadro"/>
    <w:link w:val="REFSFINAIS"/>
    <w:rsid w:val="00832AF9"/>
    <w:rPr>
      <w:rFonts w:ascii="Times New Roman" w:eastAsia="Arial" w:hAnsi="Times New Roman" w:cs="Times New Roman"/>
      <w:spacing w:val="-2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B6DB5"/>
    <w:rPr>
      <w:rFonts w:ascii="Times New Roman" w:hAnsi="Times New Roman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04F4C"/>
    <w:rPr>
      <w:vertAlign w:val="superscript"/>
    </w:rPr>
  </w:style>
  <w:style w:type="paragraph" w:customStyle="1" w:styleId="notaderodap">
    <w:name w:val="nota de rodapé"/>
    <w:basedOn w:val="Rodap"/>
    <w:link w:val="notaderodapChar"/>
    <w:qFormat/>
    <w:rsid w:val="00F04F4C"/>
  </w:style>
  <w:style w:type="character" w:customStyle="1" w:styleId="notaderodapChar">
    <w:name w:val="nota de rodapé Char"/>
    <w:basedOn w:val="RodapChar"/>
    <w:link w:val="notaderodap"/>
    <w:rsid w:val="00F04F4C"/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846C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46C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46C22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6C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6C22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08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1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861AD-896F-4F16-A707-4EA35CD6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3628</TotalTime>
  <Pages>11</Pages>
  <Words>3570</Words>
  <Characters>19282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Dr.Fábio</cp:lastModifiedBy>
  <cp:revision>272</cp:revision>
  <dcterms:created xsi:type="dcterms:W3CDTF">2023-07-17T13:57:00Z</dcterms:created>
  <dcterms:modified xsi:type="dcterms:W3CDTF">2023-07-31T11:56:00Z</dcterms:modified>
</cp:coreProperties>
</file>