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Practices Review </w:t>
      </w:r>
    </w:p>
    <w:p w:rsidR="00000000" w:rsidDel="00000000" w:rsidP="00000000" w:rsidRDefault="00000000" w:rsidRPr="00000000" w14:paraId="00000002">
      <w:pPr>
        <w:jc w:val="left"/>
        <w:rPr/>
      </w:pPr>
      <w:r w:rsidDel="00000000" w:rsidR="00000000" w:rsidRPr="00000000">
        <w:rPr>
          <w:rtl w:val="0"/>
        </w:rPr>
        <w:t xml:space="preserve">Prepared by: Zulykath Lucero, Shishir Poreddy, Ruth Ayele, Arafat Bhuiyan, Avindra Mahesh, Daniel Araj</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t xml:space="preserve">A comparative analysis of how other municipalities have successfully contributed to the portal.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Mount Rainier: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Datasets uploaded to the portal:</w:t>
      </w:r>
    </w:p>
    <w:p w:rsidR="00000000" w:rsidDel="00000000" w:rsidP="00000000" w:rsidRDefault="00000000" w:rsidRPr="00000000" w14:paraId="00000009">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hyperlink r:id="rId6">
        <w:r w:rsidDel="00000000" w:rsidR="00000000" w:rsidRPr="00000000">
          <w:rPr>
            <w:color w:val="1155cc"/>
            <w:u w:val="single"/>
            <w:rtl w:val="0"/>
          </w:rPr>
          <w:t xml:space="preserve">City of Mount Rainier Municipal Boundaries</w:t>
        </w:r>
      </w:hyperlink>
      <w:r w:rsidDel="00000000" w:rsidR="00000000" w:rsidRPr="00000000">
        <w:rPr>
          <w:rtl w:val="0"/>
        </w:rPr>
      </w:r>
    </w:p>
    <w:p w:rsidR="00000000" w:rsidDel="00000000" w:rsidP="00000000" w:rsidRDefault="00000000" w:rsidRPr="00000000" w14:paraId="0000000A">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hyperlink r:id="rId7">
        <w:r w:rsidDel="00000000" w:rsidR="00000000" w:rsidRPr="00000000">
          <w:rPr>
            <w:color w:val="1155cc"/>
            <w:u w:val="single"/>
            <w:rtl w:val="0"/>
          </w:rPr>
          <w:t xml:space="preserve">City of Mount Rainier Boundaries vs. Zip Code 20712</w:t>
        </w:r>
      </w:hyperlink>
      <w:r w:rsidDel="00000000" w:rsidR="00000000" w:rsidRPr="00000000">
        <w:rPr>
          <w:rtl w:val="0"/>
        </w:rPr>
      </w:r>
    </w:p>
    <w:p w:rsidR="00000000" w:rsidDel="00000000" w:rsidP="00000000" w:rsidRDefault="00000000" w:rsidRPr="00000000" w14:paraId="0000000B">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hyperlink r:id="rId8">
        <w:r w:rsidDel="00000000" w:rsidR="00000000" w:rsidRPr="00000000">
          <w:rPr>
            <w:color w:val="1155cc"/>
            <w:u w:val="single"/>
            <w:rtl w:val="0"/>
          </w:rPr>
          <w:t xml:space="preserve">Mount Rainier: County Designated Historical Sites &amp; National Register of Historic Places Sites</w:t>
        </w:r>
      </w:hyperlink>
      <w:r w:rsidDel="00000000" w:rsidR="00000000" w:rsidRPr="00000000">
        <w:rPr>
          <w:rtl w:val="0"/>
        </w:rPr>
      </w:r>
    </w:p>
    <w:p w:rsidR="00000000" w:rsidDel="00000000" w:rsidP="00000000" w:rsidRDefault="00000000" w:rsidRPr="00000000" w14:paraId="0000000C">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hyperlink r:id="rId9">
        <w:r w:rsidDel="00000000" w:rsidR="00000000" w:rsidRPr="00000000">
          <w:rPr>
            <w:color w:val="1155cc"/>
            <w:u w:val="single"/>
            <w:rtl w:val="0"/>
          </w:rPr>
          <w:t xml:space="preserve">Map of Zip Code 20712</w:t>
        </w:r>
      </w:hyperlink>
      <w:r w:rsidDel="00000000" w:rsidR="00000000" w:rsidRPr="00000000">
        <w:rPr>
          <w:rtl w:val="0"/>
        </w:rPr>
      </w:r>
    </w:p>
    <w:p w:rsidR="00000000" w:rsidDel="00000000" w:rsidP="00000000" w:rsidRDefault="00000000" w:rsidRPr="00000000" w14:paraId="0000000D">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hyperlink r:id="rId10">
        <w:r w:rsidDel="00000000" w:rsidR="00000000" w:rsidRPr="00000000">
          <w:rPr>
            <w:color w:val="1155cc"/>
            <w:u w:val="single"/>
            <w:rtl w:val="0"/>
          </w:rPr>
          <w:t xml:space="preserve">OGRGeoJSON</w:t>
        </w:r>
      </w:hyperlink>
      <w:r w:rsidDel="00000000" w:rsidR="00000000" w:rsidRPr="00000000">
        <w:rPr>
          <w:rtl w:val="0"/>
        </w:rPr>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6" w:sz="0" w:val="none"/>
          <w:between w:color="auto" w:space="0" w:sz="0" w:val="none"/>
        </w:pBdr>
        <w:ind w:left="720" w:hanging="360"/>
      </w:pPr>
      <w:r w:rsidDel="00000000" w:rsidR="00000000" w:rsidRPr="00000000">
        <w:rPr>
          <w:rtl w:val="0"/>
        </w:rPr>
        <w:t xml:space="preserve">Metadata Information:</w:t>
      </w:r>
    </w:p>
    <w:p w:rsidR="00000000" w:rsidDel="00000000" w:rsidP="00000000" w:rsidRDefault="00000000" w:rsidRPr="00000000" w14:paraId="0000000F">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Agency in charge of Updates: Department of Information Technology</w:t>
      </w:r>
    </w:p>
    <w:p w:rsidR="00000000" w:rsidDel="00000000" w:rsidP="00000000" w:rsidRDefault="00000000" w:rsidRPr="00000000" w14:paraId="00000010">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Update Frequency: As Needed</w:t>
      </w:r>
    </w:p>
    <w:p w:rsidR="00000000" w:rsidDel="00000000" w:rsidP="00000000" w:rsidRDefault="00000000" w:rsidRPr="00000000" w14:paraId="00000011">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Categories: Planning, Administrative</w:t>
      </w:r>
    </w:p>
    <w:p w:rsidR="00000000" w:rsidDel="00000000" w:rsidP="00000000" w:rsidRDefault="00000000" w:rsidRPr="00000000" w14:paraId="00000012">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Data Source: Mount Rainier’s Website</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6" w:sz="0" w:val="none"/>
          <w:between w:color="auto" w:space="0" w:sz="0" w:val="none"/>
        </w:pBdr>
        <w:ind w:left="720" w:hanging="360"/>
      </w:pPr>
      <w:r w:rsidDel="00000000" w:rsidR="00000000" w:rsidRPr="00000000">
        <w:rPr>
          <w:rtl w:val="0"/>
        </w:rPr>
        <w:t xml:space="preserve">Upload Method:</w:t>
      </w:r>
    </w:p>
    <w:p w:rsidR="00000000" w:rsidDel="00000000" w:rsidP="00000000" w:rsidRDefault="00000000" w:rsidRPr="00000000" w14:paraId="00000014">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Mount Rainier has their Open Data Administrator upload datasets to the portal.</w:t>
      </w:r>
    </w:p>
    <w:p w:rsidR="00000000" w:rsidDel="00000000" w:rsidP="00000000" w:rsidRDefault="00000000" w:rsidRPr="00000000" w14:paraId="00000015">
      <w:pPr>
        <w:pBdr>
          <w:top w:color="auto" w:space="0" w:sz="0" w:val="none"/>
          <w:left w:color="auto" w:space="0" w:sz="0" w:val="none"/>
          <w:bottom w:color="auto" w:space="0" w:sz="0" w:val="none"/>
          <w:right w:color="auto" w:space="6" w:sz="0" w:val="none"/>
          <w:between w:color="auto" w:space="0" w:sz="0" w:val="none"/>
        </w:pBd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City of Frederick: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Datasets uploaded to the portal:</w:t>
      </w:r>
    </w:p>
    <w:p w:rsidR="00000000" w:rsidDel="00000000" w:rsidP="00000000" w:rsidRDefault="00000000" w:rsidRPr="00000000" w14:paraId="00000019">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hyperlink r:id="rId11">
        <w:r w:rsidDel="00000000" w:rsidR="00000000" w:rsidRPr="00000000">
          <w:rPr>
            <w:color w:val="1155cc"/>
            <w:u w:val="single"/>
            <w:rtl w:val="0"/>
          </w:rPr>
          <w:t xml:space="preserve">Issued Permits</w:t>
        </w:r>
      </w:hyperlink>
      <w:r w:rsidDel="00000000" w:rsidR="00000000" w:rsidRPr="00000000">
        <w:rPr>
          <w:rtl w:val="0"/>
        </w:rPr>
      </w:r>
    </w:p>
    <w:p w:rsidR="00000000" w:rsidDel="00000000" w:rsidP="00000000" w:rsidRDefault="00000000" w:rsidRPr="00000000" w14:paraId="0000001A">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rPr>
          <w:u w:val="none"/>
        </w:rPr>
      </w:pPr>
      <w:hyperlink r:id="rId12">
        <w:r w:rsidDel="00000000" w:rsidR="00000000" w:rsidRPr="00000000">
          <w:rPr>
            <w:color w:val="1155cc"/>
            <w:u w:val="single"/>
            <w:rtl w:val="0"/>
          </w:rPr>
          <w:t xml:space="preserve">Code Enforcement Violations</w:t>
        </w:r>
      </w:hyperlink>
      <w:r w:rsidDel="00000000" w:rsidR="00000000" w:rsidRPr="00000000">
        <w:rPr>
          <w:rtl w:val="0"/>
        </w:rPr>
      </w:r>
    </w:p>
    <w:p w:rsidR="00000000" w:rsidDel="00000000" w:rsidP="00000000" w:rsidRDefault="00000000" w:rsidRPr="00000000" w14:paraId="0000001B">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rPr>
          <w:u w:val="none"/>
        </w:rPr>
      </w:pPr>
      <w:hyperlink r:id="rId13">
        <w:r w:rsidDel="00000000" w:rsidR="00000000" w:rsidRPr="00000000">
          <w:rPr>
            <w:color w:val="1155cc"/>
            <w:u w:val="single"/>
            <w:rtl w:val="0"/>
          </w:rPr>
          <w:t xml:space="preserve">General Map</w:t>
        </w:r>
      </w:hyperlink>
      <w:r w:rsidDel="00000000" w:rsidR="00000000" w:rsidRPr="00000000">
        <w:rPr>
          <w:rtl w:val="0"/>
        </w:rPr>
        <w:t xml:space="preserve"> </w:t>
      </w:r>
    </w:p>
    <w:p w:rsidR="00000000" w:rsidDel="00000000" w:rsidP="00000000" w:rsidRDefault="00000000" w:rsidRPr="00000000" w14:paraId="0000001C">
      <w:pPr>
        <w:numPr>
          <w:ilvl w:val="0"/>
          <w:numId w:val="3"/>
        </w:numPr>
        <w:pBdr>
          <w:top w:color="auto" w:space="0" w:sz="0" w:val="none"/>
          <w:left w:color="auto" w:space="0" w:sz="0" w:val="none"/>
          <w:bottom w:color="auto" w:space="0" w:sz="0" w:val="none"/>
          <w:right w:color="auto" w:space="6" w:sz="0" w:val="none"/>
          <w:between w:color="auto" w:space="0" w:sz="0" w:val="none"/>
        </w:pBdr>
        <w:ind w:left="720" w:hanging="360"/>
      </w:pPr>
      <w:r w:rsidDel="00000000" w:rsidR="00000000" w:rsidRPr="00000000">
        <w:rPr>
          <w:rtl w:val="0"/>
        </w:rPr>
        <w:t xml:space="preserve">Metadata Information:</w:t>
      </w:r>
    </w:p>
    <w:p w:rsidR="00000000" w:rsidDel="00000000" w:rsidP="00000000" w:rsidRDefault="00000000" w:rsidRPr="00000000" w14:paraId="0000001D">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Agency in charge of Updates: City of Frederick</w:t>
      </w:r>
    </w:p>
    <w:p w:rsidR="00000000" w:rsidDel="00000000" w:rsidP="00000000" w:rsidRDefault="00000000" w:rsidRPr="00000000" w14:paraId="0000001E">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Update Frequency: Static Data (no updates)</w:t>
      </w:r>
    </w:p>
    <w:p w:rsidR="00000000" w:rsidDel="00000000" w:rsidP="00000000" w:rsidRDefault="00000000" w:rsidRPr="00000000" w14:paraId="0000001F">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Categories: Administrative (Some datasets are not categorized)</w:t>
      </w:r>
    </w:p>
    <w:p w:rsidR="00000000" w:rsidDel="00000000" w:rsidP="00000000" w:rsidRDefault="00000000" w:rsidRPr="00000000" w14:paraId="00000020">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Data Source: City of Frederick’s Website</w:t>
      </w:r>
    </w:p>
    <w:p w:rsidR="00000000" w:rsidDel="00000000" w:rsidP="00000000" w:rsidRDefault="00000000" w:rsidRPr="00000000" w14:paraId="00000021">
      <w:pPr>
        <w:numPr>
          <w:ilvl w:val="0"/>
          <w:numId w:val="3"/>
        </w:numPr>
        <w:pBdr>
          <w:top w:color="auto" w:space="0" w:sz="0" w:val="none"/>
          <w:left w:color="auto" w:space="0" w:sz="0" w:val="none"/>
          <w:bottom w:color="auto" w:space="0" w:sz="0" w:val="none"/>
          <w:right w:color="auto" w:space="6" w:sz="0" w:val="none"/>
          <w:between w:color="auto" w:space="0" w:sz="0" w:val="none"/>
        </w:pBdr>
        <w:ind w:left="720" w:hanging="360"/>
      </w:pPr>
      <w:r w:rsidDel="00000000" w:rsidR="00000000" w:rsidRPr="00000000">
        <w:rPr>
          <w:rtl w:val="0"/>
        </w:rPr>
        <w:t xml:space="preserve">Upload Method:</w:t>
      </w:r>
    </w:p>
    <w:p w:rsidR="00000000" w:rsidDel="00000000" w:rsidP="00000000" w:rsidRDefault="00000000" w:rsidRPr="00000000" w14:paraId="00000022">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Map data is uploaded via a static link to a map updated daily, while other datasets are uploaded as static files.</w:t>
      </w:r>
    </w:p>
    <w:p w:rsidR="00000000" w:rsidDel="00000000" w:rsidP="00000000" w:rsidRDefault="00000000" w:rsidRPr="00000000" w14:paraId="00000023">
      <w:pPr>
        <w:pBdr>
          <w:top w:color="auto" w:space="0" w:sz="0" w:val="none"/>
          <w:left w:color="auto" w:space="0" w:sz="0" w:val="none"/>
          <w:bottom w:color="auto" w:space="0" w:sz="0" w:val="none"/>
          <w:right w:color="auto" w:space="6" w:sz="0" w:val="none"/>
          <w:between w:color="auto" w:space="0" w:sz="0" w:val="none"/>
        </w:pBd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City of Baltimore: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Datasets uploaded to the portal:</w:t>
      </w:r>
    </w:p>
    <w:p w:rsidR="00000000" w:rsidDel="00000000" w:rsidP="00000000" w:rsidRDefault="00000000" w:rsidRPr="00000000" w14:paraId="00000027">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hyperlink r:id="rId14">
        <w:r w:rsidDel="00000000" w:rsidR="00000000" w:rsidRPr="00000000">
          <w:rPr>
            <w:color w:val="1155cc"/>
            <w:u w:val="single"/>
            <w:rtl w:val="0"/>
          </w:rPr>
          <w:t xml:space="preserve">Metro Subway Lines</w:t>
        </w:r>
      </w:hyperlink>
      <w:r w:rsidDel="00000000" w:rsidR="00000000" w:rsidRPr="00000000">
        <w:rPr>
          <w:rtl w:val="0"/>
        </w:rPr>
      </w:r>
    </w:p>
    <w:p w:rsidR="00000000" w:rsidDel="00000000" w:rsidP="00000000" w:rsidRDefault="00000000" w:rsidRPr="00000000" w14:paraId="00000028">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hyperlink r:id="rId15">
        <w:r w:rsidDel="00000000" w:rsidR="00000000" w:rsidRPr="00000000">
          <w:rPr>
            <w:color w:val="1155cc"/>
            <w:u w:val="single"/>
            <w:rtl w:val="0"/>
          </w:rPr>
          <w:t xml:space="preserve">Map of Baltimore Neighborhoods</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29">
      <w:pPr>
        <w:numPr>
          <w:ilvl w:val="0"/>
          <w:numId w:val="3"/>
        </w:numPr>
        <w:pBdr>
          <w:top w:color="auto" w:space="0" w:sz="0" w:val="none"/>
          <w:left w:color="auto" w:space="0" w:sz="0" w:val="none"/>
          <w:bottom w:color="auto" w:space="0" w:sz="0" w:val="none"/>
          <w:right w:color="auto" w:space="6" w:sz="0" w:val="none"/>
          <w:between w:color="auto" w:space="0" w:sz="0" w:val="none"/>
        </w:pBdr>
        <w:ind w:left="720" w:hanging="360"/>
      </w:pPr>
      <w:r w:rsidDel="00000000" w:rsidR="00000000" w:rsidRPr="00000000">
        <w:rPr>
          <w:rtl w:val="0"/>
        </w:rPr>
        <w:t xml:space="preserve">Metadata Information:</w:t>
      </w:r>
    </w:p>
    <w:p w:rsidR="00000000" w:rsidDel="00000000" w:rsidP="00000000" w:rsidRDefault="00000000" w:rsidRPr="00000000" w14:paraId="0000002A">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Agency in charge of Updates: Not Listed</w:t>
      </w:r>
    </w:p>
    <w:p w:rsidR="00000000" w:rsidDel="00000000" w:rsidP="00000000" w:rsidRDefault="00000000" w:rsidRPr="00000000" w14:paraId="0000002B">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Update Frequency: Not Listed </w:t>
      </w:r>
    </w:p>
    <w:p w:rsidR="00000000" w:rsidDel="00000000" w:rsidP="00000000" w:rsidRDefault="00000000" w:rsidRPr="00000000" w14:paraId="0000002C">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Categories: Administrative, Society</w:t>
      </w:r>
    </w:p>
    <w:p w:rsidR="00000000" w:rsidDel="00000000" w:rsidP="00000000" w:rsidRDefault="00000000" w:rsidRPr="00000000" w14:paraId="0000002D">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Data Source: ArcGIS Online for Maryland</w:t>
      </w:r>
    </w:p>
    <w:p w:rsidR="00000000" w:rsidDel="00000000" w:rsidP="00000000" w:rsidRDefault="00000000" w:rsidRPr="00000000" w14:paraId="0000002E">
      <w:pPr>
        <w:numPr>
          <w:ilvl w:val="0"/>
          <w:numId w:val="3"/>
        </w:numPr>
        <w:pBdr>
          <w:top w:color="auto" w:space="0" w:sz="0" w:val="none"/>
          <w:left w:color="auto" w:space="0" w:sz="0" w:val="none"/>
          <w:bottom w:color="auto" w:space="0" w:sz="0" w:val="none"/>
          <w:right w:color="auto" w:space="6" w:sz="0" w:val="none"/>
          <w:between w:color="auto" w:space="0" w:sz="0" w:val="none"/>
        </w:pBdr>
        <w:ind w:left="720" w:hanging="360"/>
      </w:pPr>
      <w:r w:rsidDel="00000000" w:rsidR="00000000" w:rsidRPr="00000000">
        <w:rPr>
          <w:rtl w:val="0"/>
        </w:rPr>
        <w:t xml:space="preserve">Upload Method:</w:t>
      </w:r>
    </w:p>
    <w:p w:rsidR="00000000" w:rsidDel="00000000" w:rsidP="00000000" w:rsidRDefault="00000000" w:rsidRPr="00000000" w14:paraId="0000002F">
      <w:pPr>
        <w:numPr>
          <w:ilvl w:val="1"/>
          <w:numId w:val="3"/>
        </w:numPr>
        <w:pBdr>
          <w:top w:color="auto" w:space="0" w:sz="0" w:val="none"/>
          <w:left w:color="auto" w:space="0" w:sz="0" w:val="none"/>
          <w:bottom w:color="auto" w:space="0" w:sz="0" w:val="none"/>
          <w:right w:color="auto" w:space="6" w:sz="0" w:val="none"/>
          <w:between w:color="auto" w:space="0" w:sz="0" w:val="none"/>
        </w:pBdr>
        <w:ind w:left="1440" w:hanging="360"/>
      </w:pPr>
      <w:r w:rsidDel="00000000" w:rsidR="00000000" w:rsidRPr="00000000">
        <w:rPr>
          <w:rtl w:val="0"/>
        </w:rPr>
        <w:t xml:space="preserve">The city of Baltimore does not directly upload data to the Maryland Open Data Portal. The city hosts its own open data portal and posts information on ArcGIS Online. The state and its agencies get information from those sources and upload it to the Maryland Open Data Portal.</w:t>
      </w:r>
    </w:p>
    <w:p w:rsidR="00000000" w:rsidDel="00000000" w:rsidP="00000000" w:rsidRDefault="00000000" w:rsidRPr="00000000" w14:paraId="00000030">
      <w:pPr>
        <w:pBdr>
          <w:top w:color="auto" w:space="0" w:sz="0" w:val="none"/>
          <w:left w:color="auto" w:space="0" w:sz="0" w:val="none"/>
          <w:bottom w:color="auto" w:space="0" w:sz="0" w:val="none"/>
          <w:right w:color="auto" w:space="6" w:sz="0" w:val="none"/>
          <w:between w:color="auto" w:space="0" w:sz="0" w:val="none"/>
        </w:pBdr>
        <w:rPr/>
      </w:pPr>
      <w:r w:rsidDel="00000000" w:rsidR="00000000" w:rsidRPr="00000000">
        <w:rPr>
          <w:rtl w:val="0"/>
        </w:rPr>
      </w:r>
    </w:p>
    <w:p w:rsidR="00000000" w:rsidDel="00000000" w:rsidP="00000000" w:rsidRDefault="00000000" w:rsidRPr="00000000" w14:paraId="00000031">
      <w:pPr>
        <w:keepNext w:val="0"/>
        <w:keepLines w:val="0"/>
        <w:pBdr>
          <w:top w:color="auto" w:space="0" w:sz="0" w:val="none"/>
          <w:left w:color="auto" w:space="0" w:sz="0" w:val="none"/>
          <w:bottom w:color="auto" w:space="0" w:sz="0" w:val="none"/>
          <w:right w:color="auto" w:space="6" w:sz="0" w:val="none"/>
          <w:between w:color="auto" w:space="0" w:sz="0" w:val="none"/>
        </w:pBdr>
        <w:spacing w:after="0" w:before="0" w:lineRule="auto"/>
        <w:rPr>
          <w:b w:val="1"/>
        </w:rPr>
      </w:pPr>
      <w:r w:rsidDel="00000000" w:rsidR="00000000" w:rsidRPr="00000000">
        <w:rPr>
          <w:rtl w:val="0"/>
        </w:rPr>
      </w:r>
    </w:p>
    <w:p w:rsidR="00000000" w:rsidDel="00000000" w:rsidP="00000000" w:rsidRDefault="00000000" w:rsidRPr="00000000" w14:paraId="00000032">
      <w:pPr>
        <w:keepNext w:val="0"/>
        <w:keepLines w:val="0"/>
        <w:pBdr>
          <w:top w:color="auto" w:space="0" w:sz="0" w:val="none"/>
          <w:left w:color="auto" w:space="0" w:sz="0" w:val="none"/>
          <w:bottom w:color="auto" w:space="0" w:sz="0" w:val="none"/>
          <w:right w:color="auto" w:space="6" w:sz="0" w:val="none"/>
          <w:between w:color="auto" w:space="0" w:sz="0" w:val="none"/>
        </w:pBdr>
        <w:spacing w:after="0" w:before="0" w:lineRule="auto"/>
        <w:rPr>
          <w:b w:val="1"/>
        </w:rPr>
      </w:pPr>
      <w:r w:rsidDel="00000000" w:rsidR="00000000" w:rsidRPr="00000000">
        <w:rPr>
          <w:b w:val="1"/>
          <w:rtl w:val="0"/>
        </w:rPr>
        <w:t xml:space="preserve">Best Practices:</w:t>
      </w:r>
    </w:p>
    <w:p w:rsidR="00000000" w:rsidDel="00000000" w:rsidP="00000000" w:rsidRDefault="00000000" w:rsidRPr="00000000" w14:paraId="00000033">
      <w:pPr>
        <w:keepNext w:val="0"/>
        <w:keepLines w:val="0"/>
        <w:numPr>
          <w:ilvl w:val="0"/>
          <w:numId w:val="2"/>
        </w:numPr>
        <w:pBdr>
          <w:top w:color="auto" w:space="0" w:sz="0" w:val="none"/>
          <w:left w:color="auto" w:space="0" w:sz="0" w:val="none"/>
          <w:bottom w:color="auto" w:space="0" w:sz="0" w:val="none"/>
          <w:right w:color="auto" w:space="6" w:sz="0" w:val="none"/>
          <w:between w:color="auto" w:space="0" w:sz="0" w:val="none"/>
        </w:pBdr>
        <w:spacing w:after="0" w:before="0" w:lineRule="auto"/>
        <w:ind w:left="720" w:hanging="360"/>
        <w:rPr>
          <w:u w:val="none"/>
        </w:rPr>
      </w:pPr>
      <w:r w:rsidDel="00000000" w:rsidR="00000000" w:rsidRPr="00000000">
        <w:rPr>
          <w:rtl w:val="0"/>
        </w:rPr>
        <w:t xml:space="preserve">The way different municipalities get their data on the Maryland Open Data Portal differs from case to case. There are three main methods we have seen municipalities use:</w:t>
      </w:r>
    </w:p>
    <w:p w:rsidR="00000000" w:rsidDel="00000000" w:rsidP="00000000" w:rsidRDefault="00000000" w:rsidRPr="00000000" w14:paraId="00000034">
      <w:pPr>
        <w:keepNext w:val="0"/>
        <w:keepLines w:val="0"/>
        <w:numPr>
          <w:ilvl w:val="1"/>
          <w:numId w:val="2"/>
        </w:numPr>
        <w:pBdr>
          <w:top w:color="auto" w:space="0" w:sz="0" w:val="none"/>
          <w:left w:color="auto" w:space="0" w:sz="0" w:val="none"/>
          <w:bottom w:color="auto" w:space="0" w:sz="0" w:val="none"/>
          <w:right w:color="auto" w:space="6" w:sz="0" w:val="none"/>
          <w:between w:color="auto" w:space="0" w:sz="0" w:val="none"/>
        </w:pBdr>
        <w:spacing w:after="0" w:before="0" w:lineRule="auto"/>
        <w:ind w:left="1440" w:hanging="360"/>
        <w:rPr>
          <w:u w:val="none"/>
        </w:rPr>
      </w:pPr>
      <w:r w:rsidDel="00000000" w:rsidR="00000000" w:rsidRPr="00000000">
        <w:rPr>
          <w:rtl w:val="0"/>
        </w:rPr>
        <w:t xml:space="preserve">Method 1:</w:t>
      </w:r>
    </w:p>
    <w:p w:rsidR="00000000" w:rsidDel="00000000" w:rsidP="00000000" w:rsidRDefault="00000000" w:rsidRPr="00000000" w14:paraId="00000035">
      <w:pPr>
        <w:keepNext w:val="0"/>
        <w:keepLines w:val="0"/>
        <w:numPr>
          <w:ilvl w:val="2"/>
          <w:numId w:val="2"/>
        </w:numPr>
        <w:pBdr>
          <w:top w:color="auto" w:space="0" w:sz="0" w:val="none"/>
          <w:left w:color="auto" w:space="0" w:sz="0" w:val="none"/>
          <w:bottom w:color="auto" w:space="0" w:sz="0" w:val="none"/>
          <w:right w:color="auto" w:space="6" w:sz="0" w:val="none"/>
          <w:between w:color="auto" w:space="0" w:sz="0" w:val="none"/>
        </w:pBdr>
        <w:spacing w:after="0" w:before="0" w:lineRule="auto"/>
        <w:ind w:left="2160" w:hanging="360"/>
        <w:rPr>
          <w:u w:val="none"/>
        </w:rPr>
      </w:pPr>
      <w:r w:rsidDel="00000000" w:rsidR="00000000" w:rsidRPr="00000000">
        <w:rPr>
          <w:rtl w:val="0"/>
        </w:rPr>
        <w:t xml:space="preserve">Create an account on the Maryland Open Data Portal for the city.</w:t>
      </w:r>
    </w:p>
    <w:p w:rsidR="00000000" w:rsidDel="00000000" w:rsidP="00000000" w:rsidRDefault="00000000" w:rsidRPr="00000000" w14:paraId="00000036">
      <w:pPr>
        <w:keepNext w:val="0"/>
        <w:keepLines w:val="0"/>
        <w:numPr>
          <w:ilvl w:val="2"/>
          <w:numId w:val="2"/>
        </w:numPr>
        <w:pBdr>
          <w:top w:color="auto" w:space="0" w:sz="0" w:val="none"/>
          <w:left w:color="auto" w:space="0" w:sz="0" w:val="none"/>
          <w:bottom w:color="auto" w:space="0" w:sz="0" w:val="none"/>
          <w:right w:color="auto" w:space="6" w:sz="0" w:val="none"/>
          <w:between w:color="auto" w:space="0" w:sz="0" w:val="none"/>
        </w:pBdr>
        <w:spacing w:after="0" w:before="0" w:lineRule="auto"/>
        <w:ind w:left="2160" w:hanging="360"/>
        <w:rPr>
          <w:u w:val="none"/>
        </w:rPr>
      </w:pPr>
      <w:r w:rsidDel="00000000" w:rsidR="00000000" w:rsidRPr="00000000">
        <w:rPr>
          <w:rtl w:val="0"/>
        </w:rPr>
        <w:t xml:space="preserve">Establish a connection via Socrata Gateway.</w:t>
      </w:r>
    </w:p>
    <w:p w:rsidR="00000000" w:rsidDel="00000000" w:rsidP="00000000" w:rsidRDefault="00000000" w:rsidRPr="00000000" w14:paraId="00000037">
      <w:pPr>
        <w:keepNext w:val="0"/>
        <w:keepLines w:val="0"/>
        <w:numPr>
          <w:ilvl w:val="2"/>
          <w:numId w:val="2"/>
        </w:numPr>
        <w:pBdr>
          <w:top w:color="auto" w:space="0" w:sz="0" w:val="none"/>
          <w:left w:color="auto" w:space="0" w:sz="0" w:val="none"/>
          <w:bottom w:color="auto" w:space="0" w:sz="0" w:val="none"/>
          <w:right w:color="auto" w:space="6" w:sz="0" w:val="none"/>
          <w:between w:color="auto" w:space="0" w:sz="0" w:val="none"/>
        </w:pBdr>
        <w:spacing w:after="0" w:before="0" w:lineRule="auto"/>
        <w:ind w:left="2160" w:hanging="360"/>
        <w:rPr>
          <w:u w:val="none"/>
        </w:rPr>
      </w:pPr>
      <w:r w:rsidDel="00000000" w:rsidR="00000000" w:rsidRPr="00000000">
        <w:rPr>
          <w:rtl w:val="0"/>
        </w:rPr>
        <w:t xml:space="preserve">Upload datasets from the city’s website into the portal.</w:t>
      </w:r>
    </w:p>
    <w:p w:rsidR="00000000" w:rsidDel="00000000" w:rsidP="00000000" w:rsidRDefault="00000000" w:rsidRPr="00000000" w14:paraId="00000038">
      <w:pPr>
        <w:keepNext w:val="0"/>
        <w:keepLines w:val="0"/>
        <w:numPr>
          <w:ilvl w:val="2"/>
          <w:numId w:val="2"/>
        </w:numPr>
        <w:pBdr>
          <w:top w:color="auto" w:space="0" w:sz="0" w:val="none"/>
          <w:left w:color="auto" w:space="0" w:sz="0" w:val="none"/>
          <w:bottom w:color="auto" w:space="0" w:sz="0" w:val="none"/>
          <w:right w:color="auto" w:space="6" w:sz="0" w:val="none"/>
          <w:between w:color="auto" w:space="0" w:sz="0" w:val="none"/>
        </w:pBdr>
        <w:spacing w:after="0" w:before="0" w:lineRule="auto"/>
        <w:ind w:left="2160" w:hanging="360"/>
        <w:rPr>
          <w:u w:val="none"/>
        </w:rPr>
      </w:pPr>
      <w:r w:rsidDel="00000000" w:rsidR="00000000" w:rsidRPr="00000000">
        <w:rPr>
          <w:rtl w:val="0"/>
        </w:rPr>
        <w:t xml:space="preserve">Have a member of DoIT perform the updates to the datasets.</w:t>
      </w:r>
    </w:p>
    <w:p w:rsidR="00000000" w:rsidDel="00000000" w:rsidP="00000000" w:rsidRDefault="00000000" w:rsidRPr="00000000" w14:paraId="00000039">
      <w:pPr>
        <w:keepNext w:val="0"/>
        <w:keepLines w:val="0"/>
        <w:numPr>
          <w:ilvl w:val="1"/>
          <w:numId w:val="2"/>
        </w:numPr>
        <w:pBdr>
          <w:top w:color="auto" w:space="0" w:sz="0" w:val="none"/>
          <w:left w:color="auto" w:space="0" w:sz="0" w:val="none"/>
          <w:bottom w:color="auto" w:space="0" w:sz="0" w:val="none"/>
          <w:right w:color="auto" w:space="6" w:sz="0" w:val="none"/>
          <w:between w:color="auto" w:space="0" w:sz="0" w:val="none"/>
        </w:pBdr>
        <w:spacing w:after="0" w:before="0" w:lineRule="auto"/>
        <w:ind w:left="1440" w:hanging="360"/>
        <w:rPr>
          <w:u w:val="none"/>
        </w:rPr>
      </w:pPr>
      <w:r w:rsidDel="00000000" w:rsidR="00000000" w:rsidRPr="00000000">
        <w:rPr>
          <w:rtl w:val="0"/>
        </w:rPr>
        <w:t xml:space="preserve">Method 2:</w:t>
      </w:r>
    </w:p>
    <w:p w:rsidR="00000000" w:rsidDel="00000000" w:rsidP="00000000" w:rsidRDefault="00000000" w:rsidRPr="00000000" w14:paraId="0000003A">
      <w:pPr>
        <w:numPr>
          <w:ilvl w:val="2"/>
          <w:numId w:val="2"/>
        </w:numPr>
        <w:pBdr>
          <w:top w:color="auto" w:space="0" w:sz="0" w:val="none"/>
          <w:left w:color="auto" w:space="0" w:sz="0" w:val="none"/>
          <w:bottom w:color="auto" w:space="0" w:sz="0" w:val="none"/>
          <w:right w:color="auto" w:space="6" w:sz="0" w:val="none"/>
          <w:between w:color="auto" w:space="0" w:sz="0" w:val="none"/>
        </w:pBdr>
        <w:ind w:left="2160" w:hanging="360"/>
      </w:pPr>
      <w:r w:rsidDel="00000000" w:rsidR="00000000" w:rsidRPr="00000000">
        <w:rPr>
          <w:rtl w:val="0"/>
        </w:rPr>
        <w:t xml:space="preserve">Create an account on the Maryland Open Data Portal for the city.</w:t>
      </w:r>
    </w:p>
    <w:p w:rsidR="00000000" w:rsidDel="00000000" w:rsidP="00000000" w:rsidRDefault="00000000" w:rsidRPr="00000000" w14:paraId="0000003B">
      <w:pPr>
        <w:numPr>
          <w:ilvl w:val="2"/>
          <w:numId w:val="2"/>
        </w:numPr>
        <w:pBdr>
          <w:top w:color="auto" w:space="0" w:sz="0" w:val="none"/>
          <w:left w:color="auto" w:space="0" w:sz="0" w:val="none"/>
          <w:bottom w:color="auto" w:space="0" w:sz="0" w:val="none"/>
          <w:right w:color="auto" w:space="6" w:sz="0" w:val="none"/>
          <w:between w:color="auto" w:space="0" w:sz="0" w:val="none"/>
        </w:pBdr>
        <w:ind w:left="2160" w:hanging="360"/>
        <w:rPr>
          <w:u w:val="none"/>
        </w:rPr>
      </w:pPr>
      <w:r w:rsidDel="00000000" w:rsidR="00000000" w:rsidRPr="00000000">
        <w:rPr>
          <w:rtl w:val="0"/>
        </w:rPr>
        <w:t xml:space="preserve">Upload static datasets or links to the portal.</w:t>
      </w:r>
    </w:p>
    <w:p w:rsidR="00000000" w:rsidDel="00000000" w:rsidP="00000000" w:rsidRDefault="00000000" w:rsidRPr="00000000" w14:paraId="0000003C">
      <w:pPr>
        <w:numPr>
          <w:ilvl w:val="2"/>
          <w:numId w:val="2"/>
        </w:numPr>
        <w:pBdr>
          <w:top w:color="auto" w:space="0" w:sz="0" w:val="none"/>
          <w:left w:color="auto" w:space="0" w:sz="0" w:val="none"/>
          <w:bottom w:color="auto" w:space="0" w:sz="0" w:val="none"/>
          <w:right w:color="auto" w:space="6" w:sz="0" w:val="none"/>
          <w:between w:color="auto" w:space="0" w:sz="0" w:val="none"/>
        </w:pBdr>
        <w:ind w:left="2160" w:hanging="360"/>
        <w:rPr>
          <w:u w:val="none"/>
        </w:rPr>
      </w:pPr>
      <w:r w:rsidDel="00000000" w:rsidR="00000000" w:rsidRPr="00000000">
        <w:rPr>
          <w:rtl w:val="0"/>
        </w:rPr>
        <w:t xml:space="preserve">The city is responsible for all updates.</w:t>
      </w:r>
    </w:p>
    <w:p w:rsidR="00000000" w:rsidDel="00000000" w:rsidP="00000000" w:rsidRDefault="00000000" w:rsidRPr="00000000" w14:paraId="0000003D">
      <w:pPr>
        <w:numPr>
          <w:ilvl w:val="1"/>
          <w:numId w:val="2"/>
        </w:numPr>
        <w:pBdr>
          <w:top w:color="auto" w:space="0" w:sz="0" w:val="none"/>
          <w:left w:color="auto" w:space="0" w:sz="0" w:val="none"/>
          <w:bottom w:color="auto" w:space="0" w:sz="0" w:val="none"/>
          <w:right w:color="auto" w:space="6" w:sz="0" w:val="none"/>
          <w:between w:color="auto" w:space="0" w:sz="0" w:val="none"/>
        </w:pBdr>
        <w:ind w:left="1440" w:hanging="360"/>
        <w:rPr>
          <w:u w:val="none"/>
        </w:rPr>
      </w:pPr>
      <w:r w:rsidDel="00000000" w:rsidR="00000000" w:rsidRPr="00000000">
        <w:rPr>
          <w:rtl w:val="0"/>
        </w:rPr>
        <w:t xml:space="preserve">Method 3:</w:t>
      </w:r>
    </w:p>
    <w:p w:rsidR="00000000" w:rsidDel="00000000" w:rsidP="00000000" w:rsidRDefault="00000000" w:rsidRPr="00000000" w14:paraId="0000003E">
      <w:pPr>
        <w:numPr>
          <w:ilvl w:val="2"/>
          <w:numId w:val="2"/>
        </w:numPr>
        <w:pBdr>
          <w:top w:color="auto" w:space="0" w:sz="0" w:val="none"/>
          <w:left w:color="auto" w:space="0" w:sz="0" w:val="none"/>
          <w:bottom w:color="auto" w:space="0" w:sz="0" w:val="none"/>
          <w:right w:color="auto" w:space="6" w:sz="0" w:val="none"/>
          <w:between w:color="auto" w:space="0" w:sz="0" w:val="none"/>
        </w:pBdr>
        <w:ind w:left="2160" w:hanging="360"/>
        <w:rPr>
          <w:u w:val="none"/>
        </w:rPr>
      </w:pPr>
      <w:r w:rsidDel="00000000" w:rsidR="00000000" w:rsidRPr="00000000">
        <w:rPr>
          <w:rtl w:val="0"/>
        </w:rPr>
        <w:t xml:space="preserve">Create a separate Open Data Portal for the city, usually hosted on a service such as Tyler Technologies.</w:t>
      </w:r>
    </w:p>
    <w:p w:rsidR="00000000" w:rsidDel="00000000" w:rsidP="00000000" w:rsidRDefault="00000000" w:rsidRPr="00000000" w14:paraId="0000003F">
      <w:pPr>
        <w:numPr>
          <w:ilvl w:val="2"/>
          <w:numId w:val="2"/>
        </w:numPr>
        <w:pBdr>
          <w:top w:color="auto" w:space="0" w:sz="0" w:val="none"/>
          <w:left w:color="auto" w:space="0" w:sz="0" w:val="none"/>
          <w:bottom w:color="auto" w:space="0" w:sz="0" w:val="none"/>
          <w:right w:color="auto" w:space="6" w:sz="0" w:val="none"/>
          <w:between w:color="auto" w:space="0" w:sz="0" w:val="none"/>
        </w:pBdr>
        <w:ind w:left="2160" w:hanging="360"/>
        <w:rPr>
          <w:u w:val="none"/>
        </w:rPr>
      </w:pPr>
      <w:r w:rsidDel="00000000" w:rsidR="00000000" w:rsidRPr="00000000">
        <w:rPr>
          <w:rtl w:val="0"/>
        </w:rPr>
        <w:t xml:space="preserve">Contact the Maryland Open Data Portal to establish a connection to the city’s portal.</w:t>
      </w:r>
    </w:p>
    <w:p w:rsidR="00000000" w:rsidDel="00000000" w:rsidP="00000000" w:rsidRDefault="00000000" w:rsidRPr="00000000" w14:paraId="00000040">
      <w:pPr>
        <w:numPr>
          <w:ilvl w:val="2"/>
          <w:numId w:val="2"/>
        </w:numPr>
        <w:pBdr>
          <w:top w:color="auto" w:space="0" w:sz="0" w:val="none"/>
          <w:left w:color="auto" w:space="0" w:sz="0" w:val="none"/>
          <w:bottom w:color="auto" w:space="0" w:sz="0" w:val="none"/>
          <w:right w:color="auto" w:space="6" w:sz="0" w:val="none"/>
          <w:between w:color="auto" w:space="0" w:sz="0" w:val="none"/>
        </w:pBdr>
        <w:ind w:left="2160" w:hanging="360"/>
        <w:rPr>
          <w:u w:val="none"/>
        </w:rPr>
      </w:pPr>
      <w:r w:rsidDel="00000000" w:rsidR="00000000" w:rsidRPr="00000000">
        <w:rPr>
          <w:rtl w:val="0"/>
        </w:rPr>
        <w:t xml:space="preserve">Updates will be handled internally on the city’s portal. </w:t>
      </w:r>
    </w:p>
    <w:p w:rsidR="00000000" w:rsidDel="00000000" w:rsidP="00000000" w:rsidRDefault="00000000" w:rsidRPr="00000000" w14:paraId="00000041">
      <w:pPr>
        <w:numPr>
          <w:ilvl w:val="0"/>
          <w:numId w:val="2"/>
        </w:numPr>
        <w:pBdr>
          <w:top w:color="auto" w:space="0" w:sz="0" w:val="none"/>
          <w:left w:color="auto" w:space="0" w:sz="0" w:val="none"/>
          <w:bottom w:color="auto" w:space="0" w:sz="0" w:val="none"/>
          <w:right w:color="auto" w:space="6" w:sz="0" w:val="none"/>
          <w:between w:color="auto" w:space="0" w:sz="0" w:val="none"/>
        </w:pBdr>
        <w:ind w:left="720" w:hanging="360"/>
        <w:rPr>
          <w:u w:val="none"/>
        </w:rPr>
      </w:pPr>
      <w:r w:rsidDel="00000000" w:rsidR="00000000" w:rsidRPr="00000000">
        <w:rPr>
          <w:rtl w:val="0"/>
        </w:rPr>
        <w:t xml:space="preserve">Choosing the best way to contribute to the portal should be based on which method allows the city to follow these standards:</w:t>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numPr>
          <w:ilvl w:val="0"/>
          <w:numId w:val="1"/>
        </w:numPr>
        <w:ind w:left="1440" w:hanging="360"/>
      </w:pPr>
      <w:r w:rsidDel="00000000" w:rsidR="00000000" w:rsidRPr="00000000">
        <w:rPr>
          <w:rtl w:val="0"/>
        </w:rPr>
        <w:t xml:space="preserve">Ensure information is updated appropriately, or mark the dataset as static.</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Fill out as many metadata fields as possible.</w:t>
      </w:r>
    </w:p>
    <w:p w:rsidR="00000000" w:rsidDel="00000000" w:rsidP="00000000" w:rsidRDefault="00000000" w:rsidRPr="00000000" w14:paraId="00000045">
      <w:pPr>
        <w:numPr>
          <w:ilvl w:val="0"/>
          <w:numId w:val="1"/>
        </w:numPr>
        <w:ind w:left="1440" w:hanging="360"/>
      </w:pPr>
      <w:r w:rsidDel="00000000" w:rsidR="00000000" w:rsidRPr="00000000">
        <w:rPr>
          <w:rtl w:val="0"/>
        </w:rPr>
        <w:t xml:space="preserve">Each row of a dataset should be a single instance of the “thing” being measured (for example, in a dataset measuring website visitors, it is one record of a particular site user, or, in a dataset measuring hospital patients, it is one record of a particular patient).</w:t>
      </w:r>
    </w:p>
    <w:p w:rsidR="00000000" w:rsidDel="00000000" w:rsidP="00000000" w:rsidRDefault="00000000" w:rsidRPr="00000000" w14:paraId="00000046">
      <w:pPr>
        <w:numPr>
          <w:ilvl w:val="0"/>
          <w:numId w:val="1"/>
        </w:numPr>
        <w:ind w:left="1440" w:hanging="360"/>
      </w:pPr>
      <w:r w:rsidDel="00000000" w:rsidR="00000000" w:rsidRPr="00000000">
        <w:rPr>
          <w:rtl w:val="0"/>
        </w:rPr>
        <w:t xml:space="preserve">Each column of a dataset should be one type of data—a characteristic that the record being measured inherently has (for example, in a dataset measuring website visitors, it might be a timestamp indicating the time and date that the user visited. Or, in a dataset measuring hospital patients, it is the medical issue that the patient is experiencing). Each column should have a header, or name, indicating what characteristic that column is measuring. When naming columns, avoid abbreviations and acronyms to ensure that the widest possible audience can interpret the dataset.</w:t>
      </w:r>
    </w:p>
    <w:p w:rsidR="00000000" w:rsidDel="00000000" w:rsidP="00000000" w:rsidRDefault="00000000" w:rsidRPr="00000000" w14:paraId="00000047">
      <w:pPr>
        <w:numPr>
          <w:ilvl w:val="0"/>
          <w:numId w:val="1"/>
        </w:numPr>
        <w:ind w:left="1440" w:hanging="360"/>
      </w:pPr>
      <w:r w:rsidDel="00000000" w:rsidR="00000000" w:rsidRPr="00000000">
        <w:rPr>
          <w:rtl w:val="0"/>
        </w:rPr>
        <w:t xml:space="preserve">Do not include any empty rows or columns where feasible.</w:t>
      </w:r>
    </w:p>
    <w:p w:rsidR="00000000" w:rsidDel="00000000" w:rsidP="00000000" w:rsidRDefault="00000000" w:rsidRPr="00000000" w14:paraId="00000048">
      <w:pPr>
        <w:numPr>
          <w:ilvl w:val="0"/>
          <w:numId w:val="1"/>
        </w:numPr>
        <w:ind w:left="1440" w:hanging="360"/>
      </w:pPr>
      <w:r w:rsidDel="00000000" w:rsidR="00000000" w:rsidRPr="00000000">
        <w:rPr>
          <w:rtl w:val="0"/>
        </w:rPr>
        <w:t xml:space="preserve">Do not include symbols (%, $, etc.) in the cells of your dataset. Data can be configured once it is uploaded to the portal. However, decimals are acceptable, as are parentheses (for denoting a negative value).</w:t>
      </w:r>
    </w:p>
    <w:p w:rsidR="00000000" w:rsidDel="00000000" w:rsidP="00000000" w:rsidRDefault="00000000" w:rsidRPr="00000000" w14:paraId="00000049">
      <w:pPr>
        <w:numPr>
          <w:ilvl w:val="0"/>
          <w:numId w:val="1"/>
        </w:numPr>
        <w:ind w:left="1440" w:hanging="360"/>
      </w:pPr>
      <w:r w:rsidDel="00000000" w:rsidR="00000000" w:rsidRPr="00000000">
        <w:rPr>
          <w:rtl w:val="0"/>
        </w:rPr>
        <w:t xml:space="preserve">When uploading time series data—data measuring the same object/instance at different points in time to observe a change—the unit of measurement for time should have its own column, rather than being paired with data from another characteristic/field.</w:t>
      </w:r>
    </w:p>
    <w:p w:rsidR="00000000" w:rsidDel="00000000" w:rsidP="00000000" w:rsidRDefault="00000000" w:rsidRPr="00000000" w14:paraId="0000004A">
      <w:pPr>
        <w:numPr>
          <w:ilvl w:val="0"/>
          <w:numId w:val="1"/>
        </w:numPr>
        <w:ind w:left="1440" w:hanging="360"/>
      </w:pPr>
      <w:r w:rsidDel="00000000" w:rsidR="00000000" w:rsidRPr="00000000">
        <w:rPr>
          <w:rtl w:val="0"/>
        </w:rPr>
        <w:t xml:space="preserve">Data &amp; Insights can interpret columns with date and time values. When uploading a dataset with a date and time column, use one of the three following formats:</w:t>
      </w:r>
    </w:p>
    <w:p w:rsidR="00000000" w:rsidDel="00000000" w:rsidP="00000000" w:rsidRDefault="00000000" w:rsidRPr="00000000" w14:paraId="0000004B">
      <w:pPr>
        <w:numPr>
          <w:ilvl w:val="1"/>
          <w:numId w:val="1"/>
        </w:numPr>
        <w:ind w:left="2160" w:hanging="360"/>
      </w:pPr>
      <w:r w:rsidDel="00000000" w:rsidR="00000000" w:rsidRPr="00000000">
        <w:rPr>
          <w:rtl w:val="0"/>
        </w:rPr>
        <w:t xml:space="preserve">ISO 8601 Subset</w:t>
      </w:r>
    </w:p>
    <w:p w:rsidR="00000000" w:rsidDel="00000000" w:rsidP="00000000" w:rsidRDefault="00000000" w:rsidRPr="00000000" w14:paraId="0000004C">
      <w:pPr>
        <w:numPr>
          <w:ilvl w:val="2"/>
          <w:numId w:val="1"/>
        </w:numPr>
        <w:ind w:left="2880" w:hanging="360"/>
      </w:pPr>
      <w:r w:rsidDel="00000000" w:rsidR="00000000" w:rsidRPr="00000000">
        <w:rPr>
          <w:rtl w:val="0"/>
        </w:rPr>
        <w:t xml:space="preserve"> yyyy-MM-dd</w:t>
      </w:r>
    </w:p>
    <w:p w:rsidR="00000000" w:rsidDel="00000000" w:rsidP="00000000" w:rsidRDefault="00000000" w:rsidRPr="00000000" w14:paraId="0000004D">
      <w:pPr>
        <w:numPr>
          <w:ilvl w:val="1"/>
          <w:numId w:val="1"/>
        </w:numPr>
        <w:ind w:left="2160" w:hanging="360"/>
      </w:pPr>
      <w:r w:rsidDel="00000000" w:rsidR="00000000" w:rsidRPr="00000000">
        <w:rPr>
          <w:rtl w:val="0"/>
        </w:rPr>
        <w:t xml:space="preserve">ISO 8601 Subset for Timezone</w:t>
      </w:r>
    </w:p>
    <w:p w:rsidR="00000000" w:rsidDel="00000000" w:rsidP="00000000" w:rsidRDefault="00000000" w:rsidRPr="00000000" w14:paraId="0000004E">
      <w:pPr>
        <w:numPr>
          <w:ilvl w:val="2"/>
          <w:numId w:val="1"/>
        </w:numPr>
        <w:ind w:left="2880" w:hanging="360"/>
      </w:pPr>
      <w:r w:rsidDel="00000000" w:rsidR="00000000" w:rsidRPr="00000000">
        <w:rPr>
          <w:rtl w:val="0"/>
        </w:rPr>
        <w:t xml:space="preserve">yyyy-MM-dd[‘T’]HH:mm:ssZ</w:t>
      </w:r>
    </w:p>
    <w:p w:rsidR="00000000" w:rsidDel="00000000" w:rsidP="00000000" w:rsidRDefault="00000000" w:rsidRPr="00000000" w14:paraId="0000004F">
      <w:pPr>
        <w:numPr>
          <w:ilvl w:val="1"/>
          <w:numId w:val="1"/>
        </w:numPr>
        <w:ind w:left="2160" w:hanging="360"/>
      </w:pPr>
      <w:r w:rsidDel="00000000" w:rsidR="00000000" w:rsidRPr="00000000">
        <w:rPr>
          <w:rtl w:val="0"/>
        </w:rPr>
        <w:t xml:space="preserve">American date format</w:t>
      </w:r>
    </w:p>
    <w:p w:rsidR="00000000" w:rsidDel="00000000" w:rsidP="00000000" w:rsidRDefault="00000000" w:rsidRPr="00000000" w14:paraId="00000050">
      <w:pPr>
        <w:numPr>
          <w:ilvl w:val="2"/>
          <w:numId w:val="1"/>
        </w:numPr>
        <w:ind w:left="2880" w:hanging="360"/>
      </w:pPr>
      <w:r w:rsidDel="00000000" w:rsidR="00000000" w:rsidRPr="00000000">
        <w:rPr>
          <w:rtl w:val="0"/>
        </w:rPr>
        <w:t xml:space="preserve">MM/dd/yyyy</w:t>
      </w:r>
    </w:p>
    <w:p w:rsidR="00000000" w:rsidDel="00000000" w:rsidP="00000000" w:rsidRDefault="00000000" w:rsidRPr="00000000" w14:paraId="00000051">
      <w:pPr>
        <w:numPr>
          <w:ilvl w:val="0"/>
          <w:numId w:val="1"/>
        </w:numPr>
        <w:ind w:left="1440" w:hanging="360"/>
      </w:pPr>
      <w:r w:rsidDel="00000000" w:rsidR="00000000" w:rsidRPr="00000000">
        <w:rPr>
          <w:rtl w:val="0"/>
        </w:rPr>
        <w:t xml:space="preserve">Data &amp; Insights can interpret columns with location values. When uploading a dataset with a location column, use one of the following formats:</w:t>
      </w:r>
    </w:p>
    <w:p w:rsidR="00000000" w:rsidDel="00000000" w:rsidP="00000000" w:rsidRDefault="00000000" w:rsidRPr="00000000" w14:paraId="00000052">
      <w:pPr>
        <w:numPr>
          <w:ilvl w:val="1"/>
          <w:numId w:val="1"/>
        </w:numPr>
        <w:ind w:left="2160" w:hanging="360"/>
      </w:pPr>
      <w:r w:rsidDel="00000000" w:rsidR="00000000" w:rsidRPr="00000000">
        <w:rPr>
          <w:rtl w:val="0"/>
        </w:rPr>
        <w:t xml:space="preserve">Exact latitude and longitude in one column</w:t>
      </w:r>
    </w:p>
    <w:p w:rsidR="00000000" w:rsidDel="00000000" w:rsidP="00000000" w:rsidRDefault="00000000" w:rsidRPr="00000000" w14:paraId="00000053">
      <w:pPr>
        <w:numPr>
          <w:ilvl w:val="2"/>
          <w:numId w:val="1"/>
        </w:numPr>
        <w:ind w:left="2880" w:hanging="360"/>
      </w:pPr>
      <w:r w:rsidDel="00000000" w:rsidR="00000000" w:rsidRPr="00000000">
        <w:rPr>
          <w:rtl w:val="0"/>
        </w:rPr>
        <w:t xml:space="preserve">Example: (38.898303, -77.036561)</w:t>
      </w:r>
    </w:p>
    <w:p w:rsidR="00000000" w:rsidDel="00000000" w:rsidP="00000000" w:rsidRDefault="00000000" w:rsidRPr="00000000" w14:paraId="00000054">
      <w:pPr>
        <w:numPr>
          <w:ilvl w:val="1"/>
          <w:numId w:val="1"/>
        </w:numPr>
        <w:ind w:left="2160" w:hanging="360"/>
      </w:pPr>
      <w:r w:rsidDel="00000000" w:rsidR="00000000" w:rsidRPr="00000000">
        <w:rPr>
          <w:rtl w:val="0"/>
        </w:rPr>
        <w:t xml:space="preserve">Latitude and longitude are separated into two columns</w:t>
      </w:r>
    </w:p>
    <w:p w:rsidR="00000000" w:rsidDel="00000000" w:rsidP="00000000" w:rsidRDefault="00000000" w:rsidRPr="00000000" w14:paraId="00000055">
      <w:pPr>
        <w:numPr>
          <w:ilvl w:val="2"/>
          <w:numId w:val="1"/>
        </w:numPr>
        <w:ind w:left="2880" w:hanging="360"/>
      </w:pPr>
      <w:r w:rsidDel="00000000" w:rsidR="00000000" w:rsidRPr="00000000">
        <w:rPr>
          <w:rtl w:val="0"/>
        </w:rPr>
        <w:t xml:space="preserve"> Example: </w:t>
        <w:tab/>
        <w:t xml:space="preserve">Latitude</w:t>
        <w:tab/>
        <w:t xml:space="preserve"> Longitude</w:t>
      </w:r>
    </w:p>
    <w:p w:rsidR="00000000" w:rsidDel="00000000" w:rsidP="00000000" w:rsidRDefault="00000000" w:rsidRPr="00000000" w14:paraId="00000056">
      <w:pPr>
        <w:ind w:left="2880" w:firstLine="720"/>
        <w:rPr/>
      </w:pPr>
      <w:r w:rsidDel="00000000" w:rsidR="00000000" w:rsidRPr="00000000">
        <w:rPr>
          <w:rtl w:val="0"/>
        </w:rPr>
        <w:t xml:space="preserve">38.898303 </w:t>
        <w:tab/>
        <w:t xml:space="preserve">-77.036561</w:t>
      </w:r>
    </w:p>
    <w:p w:rsidR="00000000" w:rsidDel="00000000" w:rsidP="00000000" w:rsidRDefault="00000000" w:rsidRPr="00000000" w14:paraId="00000057">
      <w:pPr>
        <w:numPr>
          <w:ilvl w:val="1"/>
          <w:numId w:val="1"/>
        </w:numPr>
        <w:ind w:left="2160" w:hanging="360"/>
      </w:pPr>
      <w:r w:rsidDel="00000000" w:rsidR="00000000" w:rsidRPr="00000000">
        <w:rPr>
          <w:rtl w:val="0"/>
        </w:rPr>
        <w:t xml:space="preserve">American Street Address in one column (note the comma separations)</w:t>
      </w:r>
    </w:p>
    <w:p w:rsidR="00000000" w:rsidDel="00000000" w:rsidP="00000000" w:rsidRDefault="00000000" w:rsidRPr="00000000" w14:paraId="00000058">
      <w:pPr>
        <w:numPr>
          <w:ilvl w:val="2"/>
          <w:numId w:val="1"/>
        </w:numPr>
        <w:ind w:left="2880" w:hanging="360"/>
      </w:pPr>
      <w:r w:rsidDel="00000000" w:rsidR="00000000" w:rsidRPr="00000000">
        <w:rPr>
          <w:rtl w:val="0"/>
        </w:rPr>
        <w:t xml:space="preserve"> Example: 1600 Pennsylvania Avenue SE, Washington, DC, 20003</w:t>
      </w:r>
    </w:p>
    <w:p w:rsidR="00000000" w:rsidDel="00000000" w:rsidP="00000000" w:rsidRDefault="00000000" w:rsidRPr="00000000" w14:paraId="00000059">
      <w:pPr>
        <w:numPr>
          <w:ilvl w:val="1"/>
          <w:numId w:val="1"/>
        </w:numPr>
        <w:ind w:left="2160" w:hanging="360"/>
      </w:pPr>
      <w:r w:rsidDel="00000000" w:rsidR="00000000" w:rsidRPr="00000000">
        <w:rPr>
          <w:rtl w:val="0"/>
        </w:rPr>
        <w:t xml:space="preserve">American Street Address in several columns</w:t>
      </w:r>
    </w:p>
    <w:p w:rsidR="00000000" w:rsidDel="00000000" w:rsidP="00000000" w:rsidRDefault="00000000" w:rsidRPr="00000000" w14:paraId="0000005A">
      <w:pPr>
        <w:numPr>
          <w:ilvl w:val="2"/>
          <w:numId w:val="1"/>
        </w:numPr>
        <w:ind w:left="2880" w:hanging="360"/>
      </w:pPr>
      <w:r w:rsidDel="00000000" w:rsidR="00000000" w:rsidRPr="00000000">
        <w:rPr>
          <w:rtl w:val="0"/>
        </w:rPr>
        <w:t xml:space="preserve">Example:   Street     Address                    City  State  ZipCode</w:t>
      </w:r>
    </w:p>
    <w:p w:rsidR="00000000" w:rsidDel="00000000" w:rsidP="00000000" w:rsidRDefault="00000000" w:rsidRPr="00000000" w14:paraId="0000005B">
      <w:pPr>
        <w:ind w:left="2880" w:firstLine="0"/>
        <w:rPr/>
      </w:pPr>
      <w:r w:rsidDel="00000000" w:rsidR="00000000" w:rsidRPr="00000000">
        <w:rPr>
          <w:rtl w:val="0"/>
        </w:rPr>
        <w:t xml:space="preserve">     1600     Pennsylvania Avenue      Washington DC       20003</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data.maryland.gov/Administrative/City-of-Frederick-Issued-Permits/xrz3-9xhj/about_data" TargetMode="External"/><Relationship Id="rId10" Type="http://schemas.openxmlformats.org/officeDocument/2006/relationships/hyperlink" Target="https://opendata.maryland.gov/d/t9cz-nvcc" TargetMode="External"/><Relationship Id="rId13" Type="http://schemas.openxmlformats.org/officeDocument/2006/relationships/hyperlink" Target="https://opendata.maryland.gov/Administrative/SpiresGIS-General-Map-Frederick-City-/4zg6-uitp/about_data" TargetMode="External"/><Relationship Id="rId12" Type="http://schemas.openxmlformats.org/officeDocument/2006/relationships/hyperlink" Target="https://opendata.maryland.gov/dataset/City-of-Frederick-Code-Enforcement-Violations/fqwk-5r78/about_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data.maryland.gov/d/cdet-mmji" TargetMode="External"/><Relationship Id="rId15" Type="http://schemas.openxmlformats.org/officeDocument/2006/relationships/hyperlink" Target="https://opendata.maryland.gov/Society/MD-iMAP-Maryland-Baltimore-City-Neighborhoods/dbbp-8u4u/about_data" TargetMode="External"/><Relationship Id="rId14" Type="http://schemas.openxmlformats.org/officeDocument/2006/relationships/hyperlink" Target="https://opendata.maryland.gov/Transportation/MD-iMAP-Maryland-Transit-Baltimore-Metro-Subway-Li/ykwh-r4a8/about_data" TargetMode="External"/><Relationship Id="rId5" Type="http://schemas.openxmlformats.org/officeDocument/2006/relationships/styles" Target="styles.xml"/><Relationship Id="rId6" Type="http://schemas.openxmlformats.org/officeDocument/2006/relationships/hyperlink" Target="https://opendata.maryland.gov/d/atca-bdj8" TargetMode="External"/><Relationship Id="rId7" Type="http://schemas.openxmlformats.org/officeDocument/2006/relationships/hyperlink" Target="https://opendata.maryland.gov/d/rc4z-rq4c" TargetMode="External"/><Relationship Id="rId8" Type="http://schemas.openxmlformats.org/officeDocument/2006/relationships/hyperlink" Target="https://opendata.maryland.gov/d/nifh-ij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