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480" w:lineRule="auto"/>
        <w:jc w:val="center"/>
      </w:pPr>
      <w:r>
        <w:rPr>
          <w:rFonts w:ascii="Times New Roman" w:hAnsi="Times New Roman"/>
          <w:b/>
          <w:i w:val="0"/>
          <w:sz w:val="24"/>
        </w:rPr>
        <w:t>ORIGINAL ARTICLE</w:t>
      </w:r>
    </w:p>
    <w:p>
      <w:pPr>
        <w:spacing w:after="480" w:line="480" w:lineRule="auto"/>
        <w:jc w:val="center"/>
      </w:pPr>
      <w:r>
        <w:rPr>
          <w:rFonts w:ascii="Times New Roman" w:hAnsi="Times New Roman"/>
          <w:b/>
          <w:sz w:val="32"/>
        </w:rPr>
        <w:t>Effect of Prolonged Proton Pump Inhibitor Treatment on Morbidity and Mortality in Hospitalized Patients over 75 Years of Age: A Large-Scale Retrospective Analysis</w:t>
      </w:r>
    </w:p>
    <w:p>
      <w:pPr>
        <w:spacing w:after="120" w:line="480" w:lineRule="auto"/>
        <w:jc w:val="center"/>
      </w:pPr>
      <w:r>
        <w:rPr>
          <w:rFonts w:ascii="Times New Roman" w:hAnsi="Times New Roman"/>
          <w:b w:val="0"/>
          <w:i/>
          <w:sz w:val="24"/>
        </w:rPr>
        <w:t>[Author names to be completed]</w:t>
      </w:r>
    </w:p>
    <w:p>
      <w:pPr>
        <w:spacing w:after="120" w:line="480" w:lineRule="auto"/>
        <w:jc w:val="center"/>
      </w:pPr>
      <w:r>
        <w:rPr>
          <w:rFonts w:ascii="Times New Roman" w:hAnsi="Times New Roman"/>
          <w:b w:val="0"/>
          <w:i/>
          <w:sz w:val="24"/>
        </w:rPr>
        <w:t>Department of Internal Medicine, Tel Aviv Sourasky Medical Center, Tel Aviv, Israel</w:t>
      </w:r>
    </w:p>
    <w:p>
      <w:pPr>
        <w:spacing w:after="480" w:line="480" w:lineRule="auto"/>
        <w:jc w:val="center"/>
      </w:pPr>
      <w:r>
        <w:rPr>
          <w:rFonts w:ascii="Times New Roman" w:hAnsi="Times New Roman"/>
          <w:b w:val="0"/>
          <w:i/>
          <w:sz w:val="24"/>
        </w:rPr>
        <w:t>Faculty of Medical and Health Sciences, Tel Aviv University, Tel Aviv, Israel</w:t>
      </w:r>
    </w:p>
    <w:p>
      <w:pPr>
        <w:spacing w:after="120" w:line="480" w:lineRule="auto"/>
        <w:jc w:val="center"/>
      </w:pPr>
      <w:r>
        <w:rPr>
          <w:rFonts w:ascii="Times New Roman" w:hAnsi="Times New Roman"/>
          <w:b w:val="0"/>
          <w:i w:val="0"/>
          <w:sz w:val="24"/>
        </w:rPr>
        <w:t>Correspondence: [corresponding author email]</w:t>
      </w:r>
    </w:p>
    <w:p>
      <w:r>
        <w:br w:type="page"/>
      </w:r>
    </w:p>
    <w:p>
      <w:pPr>
        <w:pStyle w:val="Heading1"/>
      </w:pPr>
      <w:r>
        <w:rPr>
          <w:rFonts w:ascii="Times New Roman" w:hAnsi="Times New Roman"/>
          <w:color w:val="000000"/>
        </w:rPr>
        <w:t>Abstract</w:t>
      </w:r>
    </w:p>
    <w:p>
      <w:pPr>
        <w:spacing w:after="120" w:line="480" w:lineRule="auto"/>
      </w:pPr>
      <w:r>
        <w:rPr>
          <w:rFonts w:ascii="Times New Roman" w:hAnsi="Times New Roman"/>
          <w:b/>
          <w:i w:val="0"/>
          <w:sz w:val="24"/>
        </w:rPr>
        <w:t xml:space="preserve">Background: </w:t>
      </w:r>
      <w:r>
        <w:rPr>
          <w:rFonts w:ascii="Times New Roman" w:hAnsi="Times New Roman"/>
          <w:b w:val="0"/>
          <w:i w:val="0"/>
          <w:sz w:val="24"/>
        </w:rPr>
        <w:t>Proton pump inhibitor (PPI) treatment guidelines for older adults recommend limiting therapy to 8 weeks in most clinical scenarios, yet chronic use without evidence-based indications is widespread. This study evaluated the association between chronic PPI use and hospital-acquired infections as well as short-term mortality in patients aged 75 years and older.</w:t>
      </w:r>
    </w:p>
    <w:p>
      <w:pPr>
        <w:spacing w:after="120" w:line="480" w:lineRule="auto"/>
      </w:pPr>
      <w:r>
        <w:rPr>
          <w:rFonts w:ascii="Times New Roman" w:hAnsi="Times New Roman"/>
          <w:b/>
          <w:i w:val="0"/>
          <w:sz w:val="24"/>
        </w:rPr>
        <w:t xml:space="preserve">Methods: </w:t>
      </w:r>
      <w:r>
        <w:rPr>
          <w:rFonts w:ascii="Times New Roman" w:hAnsi="Times New Roman"/>
          <w:b w:val="0"/>
          <w:i w:val="0"/>
          <w:sz w:val="24"/>
        </w:rPr>
        <w:t>Retrospective cohort analysis using real-world data from Tel Aviv Sourasky Medical Center (January 2006–December 2022). The study included 106,747 admissions of patients aged 75 years and older. Multivariable logistic regression and Cox proportional hazards models adjusted for age stratum, sex, CCI, aspirin use, and high-dose PPI. Propensity score matching (28,279 pairs) and inverse probability of treatment weighting addressed baseline imbalances.</w:t>
      </w:r>
    </w:p>
    <w:p>
      <w:pPr>
        <w:spacing w:after="120" w:line="480" w:lineRule="auto"/>
      </w:pPr>
      <w:r>
        <w:rPr>
          <w:rFonts w:ascii="Times New Roman" w:hAnsi="Times New Roman"/>
          <w:b/>
          <w:i w:val="0"/>
          <w:sz w:val="24"/>
        </w:rPr>
        <w:t xml:space="preserve">Results: </w:t>
      </w:r>
      <w:r>
        <w:rPr>
          <w:rFonts w:ascii="Times New Roman" w:hAnsi="Times New Roman"/>
          <w:b w:val="0"/>
          <w:i w:val="0"/>
          <w:sz w:val="24"/>
        </w:rPr>
        <w:t xml:space="preserve">The PPI-treated cohort (n = 35,703, mean age 81.2 ± 5.2 years) demonstrated significantly higher rates of hospital-acquired pneumonia (28.8% vs. 14.5%; aOR 2.20, 95% CI 2.13–2.27, p &lt; 0.001), </w:t>
      </w:r>
      <w:r>
        <w:rPr>
          <w:rFonts w:ascii="Times New Roman" w:hAnsi="Times New Roman"/>
          <w:b w:val="0"/>
          <w:i/>
          <w:sz w:val="24"/>
        </w:rPr>
        <w:t>Clostridioides difficile</w:t>
      </w:r>
      <w:r>
        <w:rPr>
          <w:rFonts w:ascii="Times New Roman" w:hAnsi="Times New Roman"/>
          <w:b w:val="0"/>
          <w:i w:val="0"/>
          <w:sz w:val="24"/>
        </w:rPr>
        <w:t xml:space="preserve"> infection (CDI) (1.4% vs. 0.3%; aOR 3.47, 95% CI 2.94–4.09, p &lt; 0.001), and fever (17.7% vs. 6.5%; aOR 2.47, 95% CI 2.37–2.58, p &lt; 0.001). Paradoxically, PPI users demonstrated significantly reduced 30-day all-cause mortality (4.1% vs. 8.5%; adjusted HR 0.55, 95% CI 0.51–0.58, p &lt; 0.001). In the propensity score–matched cohort, infection associations attenuated but persisted (pneumonia aOR 1.76; CDI aOR 2.37), while the mortality HR moved toward the null (HR 0.72, 95% CI 0.67–0.77).</w:t>
      </w:r>
    </w:p>
    <w:p>
      <w:pPr>
        <w:spacing w:after="240" w:line="480" w:lineRule="auto"/>
      </w:pPr>
      <w:r>
        <w:rPr>
          <w:rFonts w:ascii="Times New Roman" w:hAnsi="Times New Roman"/>
          <w:b/>
          <w:i w:val="0"/>
          <w:sz w:val="24"/>
        </w:rPr>
        <w:t xml:space="preserve">Conclusions: </w:t>
      </w:r>
      <w:r>
        <w:rPr>
          <w:rFonts w:ascii="Times New Roman" w:hAnsi="Times New Roman"/>
          <w:b w:val="0"/>
          <w:i w:val="0"/>
          <w:sz w:val="24"/>
        </w:rPr>
        <w:t>Chronic PPI therapy in hospitalized patients aged 75 years and older independently predicts hospital-acquired infections. The paradoxical inverse association with mortality likely reflects confounding by indication and healthy-user bias rather than a protective drug effect.</w:t>
      </w:r>
    </w:p>
    <w:p>
      <w:pPr>
        <w:spacing w:after="240" w:line="480" w:lineRule="auto"/>
      </w:pPr>
      <w:r>
        <w:rPr>
          <w:rFonts w:ascii="Times New Roman" w:hAnsi="Times New Roman"/>
          <w:b/>
          <w:i w:val="0"/>
          <w:sz w:val="24"/>
        </w:rPr>
        <w:t xml:space="preserve">Keywords: </w:t>
      </w:r>
      <w:r>
        <w:rPr>
          <w:rFonts w:ascii="Times New Roman" w:hAnsi="Times New Roman"/>
          <w:b w:val="0"/>
          <w:i w:val="0"/>
          <w:sz w:val="24"/>
        </w:rPr>
        <w:t xml:space="preserve">proton pump inhibitors; elderly; hospital-acquired pneumonia; </w:t>
      </w:r>
      <w:r>
        <w:rPr>
          <w:rFonts w:ascii="Times New Roman" w:hAnsi="Times New Roman"/>
          <w:b w:val="0"/>
          <w:i/>
          <w:sz w:val="24"/>
        </w:rPr>
        <w:t>Clostridioides difficile</w:t>
      </w:r>
      <w:r>
        <w:rPr>
          <w:rFonts w:ascii="Times New Roman" w:hAnsi="Times New Roman"/>
          <w:b w:val="0"/>
          <w:i w:val="0"/>
          <w:sz w:val="24"/>
        </w:rPr>
        <w:t>; mortality; deprescribing; propensity score matching</w:t>
      </w:r>
    </w:p>
    <w:p>
      <w:r>
        <w:br w:type="page"/>
      </w:r>
    </w:p>
    <w:p>
      <w:pPr>
        <w:pStyle w:val="Heading1"/>
      </w:pPr>
      <w:r>
        <w:rPr>
          <w:rFonts w:ascii="Times New Roman" w:hAnsi="Times New Roman"/>
          <w:color w:val="000000"/>
        </w:rPr>
        <w:t>1. Background</w:t>
      </w:r>
    </w:p>
    <w:p>
      <w:pPr>
        <w:spacing w:after="120" w:line="480" w:lineRule="auto"/>
      </w:pPr>
      <w:r>
        <w:rPr>
          <w:rFonts w:ascii="Times New Roman" w:hAnsi="Times New Roman"/>
          <w:b w:val="0"/>
          <w:i w:val="0"/>
          <w:sz w:val="24"/>
        </w:rPr>
        <w:t>The aging population, particularly those exceeding 75 years, faces an increasing burden of polypharmacy and potentially inappropriate medication use. Proton pump inhibitors (PPIs) rank among the most commonly prescribed drug classes worldwide, with particularly high prevalence in older adults [1]. Although PPIs are effective for short-term management of gastroesophageal reflux disease (GERD), peptic ulcer disease (PUD), and stress ulcer prophylaxis, current guidelines recommend limiting therapy to 4–8 weeks in most clinical scenarios [2]. Despite these recommendations, studies consistently demonstrate that 25–70% of PPI prescriptions in hospitalized patients lack a clear indication, and once initiated, PPI therapy is rarely discontinued [3,4].</w:t>
      </w:r>
    </w:p>
    <w:p>
      <w:pPr>
        <w:spacing w:after="120" w:line="480" w:lineRule="auto"/>
      </w:pPr>
      <w:r>
        <w:rPr>
          <w:rFonts w:ascii="Times New Roman" w:hAnsi="Times New Roman"/>
          <w:b w:val="0"/>
          <w:i w:val="0"/>
          <w:sz w:val="24"/>
        </w:rPr>
        <w:t>The 2019 American Geriatrics Society (AGS) Beers Criteria list PPIs among potentially inappropriate medications for older adults when used beyond 8 weeks without justification [2]. This concern arises from a growing body of observational evidence linking chronic PPI use to adverse outcomes including Clostridioides difficile infection (CDI), community- and hospital-acquired pneumonia, hypomagnesemia, vitamin B12 deficiency, bone fractures, and chronic kidney disease [5–7].</w:t>
      </w:r>
    </w:p>
    <w:p>
      <w:pPr>
        <w:spacing w:after="120" w:line="480" w:lineRule="auto"/>
      </w:pPr>
      <w:r>
        <w:rPr>
          <w:rFonts w:ascii="Times New Roman" w:hAnsi="Times New Roman"/>
          <w:b w:val="0"/>
          <w:i w:val="0"/>
          <w:sz w:val="24"/>
        </w:rPr>
        <w:t>PPI data regarding mortality in advanced age populations remain sparse and contradictory. A systematic review by Ben-Eltriki et al. [8] examining the PPI–mortality association concluded that evidence remains inconsistent across studies, with some cohort investigations reporting increased all-cause mortality with PPI use [9], while others found no association or even decreased mortality after adjustment for confounders [10]. Patients older than 75 years are frequently underrepresented in pharmacoepidemiologic studies, and the complex interplay between PPI prescribing patterns and overall disease burden in this demographic complicates interpretation.</w:t>
      </w:r>
    </w:p>
    <w:p>
      <w:pPr>
        <w:spacing w:after="120" w:line="480" w:lineRule="auto"/>
      </w:pPr>
      <w:r>
        <w:rPr>
          <w:rFonts w:ascii="Times New Roman" w:hAnsi="Times New Roman"/>
          <w:b w:val="0"/>
          <w:i w:val="0"/>
          <w:sz w:val="24"/>
        </w:rPr>
        <w:t>The current investigation assessed the impact of chronic PPI treatment on hospital-acquired infections (pneumonia and CDI) and short-term all-cause mortality (7 and 30 days) among hospitalized individuals aged 75 years and older without evidence-based indications for long-term PPI therapy.</w:t>
      </w:r>
    </w:p>
    <w:p>
      <w:pPr>
        <w:pStyle w:val="Heading1"/>
      </w:pPr>
      <w:r>
        <w:rPr>
          <w:rFonts w:ascii="Times New Roman" w:hAnsi="Times New Roman"/>
          <w:color w:val="000000"/>
        </w:rPr>
        <w:t>2. Methods</w:t>
      </w:r>
    </w:p>
    <w:p>
      <w:pPr>
        <w:pStyle w:val="Heading2"/>
      </w:pPr>
      <w:r>
        <w:rPr>
          <w:rFonts w:ascii="Times New Roman" w:hAnsi="Times New Roman"/>
          <w:color w:val="000000"/>
        </w:rPr>
        <w:t>2.1 Study Population</w:t>
      </w:r>
    </w:p>
    <w:p>
      <w:pPr>
        <w:spacing w:after="120" w:line="480" w:lineRule="auto"/>
      </w:pPr>
      <w:r>
        <w:rPr>
          <w:rFonts w:ascii="Times New Roman" w:hAnsi="Times New Roman"/>
          <w:b w:val="0"/>
          <w:i w:val="0"/>
          <w:sz w:val="24"/>
        </w:rPr>
        <w:t>The Tel Aviv Sourasky Medical Center (TASMC) institutional review board approved this retrospective cohort study (IRB approval TLV-XXXX-XX). Informed consent was waived per institutional policy for anonymized retrospective investigations. The investigation followed Strengthening the Reporting of Observational Studies in Epidemiology (STROBE) reporting guidelines [11].</w:t>
      </w:r>
    </w:p>
    <w:p>
      <w:pPr>
        <w:spacing w:after="120" w:line="480" w:lineRule="auto"/>
      </w:pPr>
      <w:r>
        <w:rPr>
          <w:rFonts w:ascii="Times New Roman" w:hAnsi="Times New Roman"/>
          <w:b w:val="0"/>
          <w:i w:val="0"/>
          <w:sz w:val="24"/>
        </w:rPr>
        <w:t>The real-world data analysis included medical records from TASMC, a tertiary university-affiliated 1,500-bed acute care hospital, from January 2006 through December 2022. The study population encompassed all patients aged 75 years and older admitted to hospital departments. Patients with documented evidence-based indications for long-term PPI therapy (e.g., Barrett’s esophagus, Zollinger–Ellison syndrome, chronic NSAID use with high gastrointestinal bleeding risk) were excluded. Each admission was treated as an independent observation.</w:t>
      </w:r>
    </w:p>
    <w:p>
      <w:pPr>
        <w:pStyle w:val="Heading2"/>
      </w:pPr>
      <w:r>
        <w:rPr>
          <w:rFonts w:ascii="Times New Roman" w:hAnsi="Times New Roman"/>
          <w:color w:val="000000"/>
        </w:rPr>
        <w:t>2.2 Data Source and Variables</w:t>
      </w:r>
    </w:p>
    <w:p>
      <w:pPr>
        <w:spacing w:after="120" w:line="480" w:lineRule="auto"/>
      </w:pPr>
      <w:r>
        <w:rPr>
          <w:rFonts w:ascii="Times New Roman" w:hAnsi="Times New Roman"/>
          <w:b w:val="0"/>
          <w:i w:val="0"/>
          <w:sz w:val="24"/>
        </w:rPr>
        <w:t>MDClone, a comprehensive de-identified big-data query tool enabling real-time querying of electronic health records, provided patient-level variables within defined timeframes. Collected data included: age; sex; chronic medications (PPI, aspirin); PPI dosage and formulation; mortality outcomes (7-day, 30-day, and 365-day all-cause mortality); blood test results (magnesium, vitamin B12, creatinine, hemoglobin, folic acid); infection outcomes; and Charlson Comorbidity Index (CCI) calculation.</w:t>
      </w:r>
    </w:p>
    <w:p>
      <w:pPr>
        <w:spacing w:after="120" w:line="480" w:lineRule="auto"/>
      </w:pPr>
      <w:r>
        <w:rPr>
          <w:rFonts w:ascii="Times New Roman" w:hAnsi="Times New Roman"/>
          <w:b w:val="0"/>
          <w:i w:val="0"/>
          <w:sz w:val="24"/>
        </w:rPr>
        <w:t>Chronic PPI use was defined as a daily PPI medication listed in the patient’s medication reconciliation at hospital admission. PPI dose was categorized as follows: Low dose: lansoprazole 15 mg, omeprazole 20 mg, esomeprazole 20 mg, or pantoprazole 40 mg daily. High dose: lansoprazole 60 mg, omeprazole 40–80 mg, esomeprazole 40–80 mg, or pantoprazole 80 mg daily.</w:t>
      </w:r>
    </w:p>
    <w:p>
      <w:pPr>
        <w:pStyle w:val="Heading2"/>
      </w:pPr>
      <w:r>
        <w:rPr>
          <w:rFonts w:ascii="Times New Roman" w:hAnsi="Times New Roman"/>
          <w:color w:val="000000"/>
        </w:rPr>
        <w:t>2.3 Study Endpoints</w:t>
      </w:r>
    </w:p>
    <w:p>
      <w:pPr>
        <w:spacing w:after="120" w:line="480" w:lineRule="auto"/>
      </w:pPr>
      <w:r>
        <w:rPr>
          <w:rFonts w:ascii="Times New Roman" w:hAnsi="Times New Roman"/>
          <w:b w:val="0"/>
          <w:i w:val="0"/>
          <w:sz w:val="24"/>
        </w:rPr>
        <w:t>Primary endpoints: Hospital-acquired pneumonia, defined by a pneumonia diagnosis code assigned during admission; Clostridioides difficile infection (CDI), defined by a positive fecal C. difficile toxin assay during admission; and all-cause mortality at 7 and 30 days after admission.</w:t>
      </w:r>
    </w:p>
    <w:p>
      <w:pPr>
        <w:spacing w:after="120" w:line="480" w:lineRule="auto"/>
      </w:pPr>
      <w:r>
        <w:rPr>
          <w:rFonts w:ascii="Times New Roman" w:hAnsi="Times New Roman"/>
          <w:b w:val="0"/>
          <w:i w:val="0"/>
          <w:sz w:val="24"/>
        </w:rPr>
        <w:t>Secondary endpoint: Inpatient fever, defined as at least one documented temperature of 38.2°C or higher during the admission.</w:t>
      </w:r>
    </w:p>
    <w:p>
      <w:pPr>
        <w:pStyle w:val="Heading2"/>
      </w:pPr>
      <w:r>
        <w:rPr>
          <w:rFonts w:ascii="Times New Roman" w:hAnsi="Times New Roman"/>
          <w:color w:val="000000"/>
        </w:rPr>
        <w:t>2.4 Statistical Analysis</w:t>
      </w:r>
    </w:p>
    <w:p>
      <w:pPr>
        <w:spacing w:after="120" w:line="480" w:lineRule="auto"/>
      </w:pPr>
      <w:r>
        <w:rPr>
          <w:rFonts w:ascii="Times New Roman" w:hAnsi="Times New Roman"/>
          <w:b w:val="0"/>
          <w:i w:val="0"/>
          <w:sz w:val="24"/>
        </w:rPr>
        <w:t>Categorical variables underwent chi-squared testing; continuous variables used Mann–Whitney U test or independent-samples t-test comparison, as appropriate. Multivariable logistic regression evaluated associations between chronic PPI use and infection outcomes (pneumonia, CDI, fever), adjusting for PPI use, high-dose PPI, age stratum (75–84 vs. ≥85), CCI, and sex. Cox proportional hazards models assessed mortality outcomes, additionally adjusting for aspirin use.</w:t>
      </w:r>
    </w:p>
    <w:p>
      <w:pPr>
        <w:spacing w:after="120" w:line="480" w:lineRule="auto"/>
      </w:pPr>
      <w:r>
        <w:rPr>
          <w:rFonts w:ascii="Times New Roman" w:hAnsi="Times New Roman"/>
          <w:b w:val="0"/>
          <w:i w:val="0"/>
          <w:sz w:val="24"/>
        </w:rPr>
        <w:t>To address baseline imbalances between PPI users and non-users, propensity score matching (PSM) was performed. Propensity scores were estimated using logistic regression with the following covariates: age (continuous), sex, CCI, aspirin use, statin use, hypertension, and stroke history. PPI users were matched 1:1 to non-users using nearest-neighbor matching on the logit of the propensity score with a caliper width of 0.2 standard deviations (Austin 2011). Balance was assessed using standardized mean differences (SMD), with |SMD| &lt; 0.1 indicating adequate balance. Outcome analyses were repeated on the matched cohort with covariate adjustment (doubly robust estimation). For mortality models, cluster-robust standard errors accounted for matched-pair structure. Inverse probability of treatment weighting (IPTW) with stabilized weights (capped at the 1st and 99th percentiles) served as a sensitivity analysis preserving the full sample. E-values were computed to quantify the minimum strength of unmeasured confounding required to explain away observed associations.</w:t>
      </w:r>
    </w:p>
    <w:p>
      <w:pPr>
        <w:spacing w:after="120" w:line="480" w:lineRule="auto"/>
      </w:pPr>
      <w:r>
        <w:rPr>
          <w:rFonts w:ascii="Times New Roman" w:hAnsi="Times New Roman"/>
          <w:b w:val="0"/>
          <w:i w:val="0"/>
          <w:sz w:val="24"/>
        </w:rPr>
        <w:t>Subgroup analyses were performed by age stratum (75–84 vs. ≥85) and PPI dose (high vs. low). All statistical tests were two-tailed with p &lt; 0.05 indicating significance. Analyses were performed using SPSS (IBM SPSS Statistics for Windows, version 27) and independently verified using Python 3.11 (pandas, statsmodels, lifelines).</w:t>
      </w:r>
    </w:p>
    <w:p>
      <w:pPr>
        <w:pStyle w:val="Heading1"/>
      </w:pPr>
      <w:r>
        <w:rPr>
          <w:rFonts w:ascii="Times New Roman" w:hAnsi="Times New Roman"/>
          <w:color w:val="000000"/>
        </w:rPr>
        <w:t>3. Results</w:t>
      </w:r>
    </w:p>
    <w:p>
      <w:pPr>
        <w:pStyle w:val="Heading2"/>
      </w:pPr>
      <w:r>
        <w:rPr>
          <w:rFonts w:ascii="Times New Roman" w:hAnsi="Times New Roman"/>
          <w:color w:val="000000"/>
        </w:rPr>
        <w:t>3.1 Baseline Characteristics</w:t>
      </w:r>
    </w:p>
    <w:p>
      <w:pPr>
        <w:spacing w:after="120" w:line="480" w:lineRule="auto"/>
      </w:pPr>
      <w:r>
        <w:rPr>
          <w:rFonts w:ascii="Times New Roman" w:hAnsi="Times New Roman"/>
          <w:b w:val="0"/>
          <w:i w:val="0"/>
          <w:sz w:val="24"/>
        </w:rPr>
        <w:t>Between January 2006 and December 2022, 106,747 admissions of patients aged 75 years and older were included at TASMC. Of these, 35,703 patients (33.4%) were chronic PPI users and 71,044 (66.6%) were non-users (Table 1).</w:t>
      </w:r>
    </w:p>
    <w:p>
      <w:pPr>
        <w:spacing w:after="120" w:line="480" w:lineRule="auto"/>
      </w:pPr>
      <w:r>
        <w:rPr>
          <w:rFonts w:ascii="Times New Roman" w:hAnsi="Times New Roman"/>
          <w:b w:val="0"/>
          <w:i w:val="0"/>
          <w:sz w:val="24"/>
        </w:rPr>
        <w:t>The non-PPI group (n = 71,044, 53.8% female) had a mean age of 82.2 ± 5.6 years. The PPI-treated group (n = 35,703, 55.3% female) had a mean age of 81.2 ± 5.2 years (p &lt; 0.001). Aspirin use was substantially more common among PPI users (35.8% vs. 11.9%; p &lt; 0.001). Median CCI was 4 (IQR 4–5) in the PPI group versus 4 (IQR 3–5) in the non-PPI group (p &lt; 0.001). Among PPI users, 32,524 (91.1%) received low-dose and 3,179 (8.9%) received high-dose PPI.</w:t>
      </w:r>
    </w:p>
    <w:p>
      <w:pPr>
        <w:spacing w:after="120" w:line="480" w:lineRule="auto"/>
      </w:pPr>
      <w:r>
        <w:rPr>
          <w:rFonts w:ascii="Times New Roman" w:hAnsi="Times New Roman"/>
          <w:b/>
          <w:i w:val="0"/>
          <w:sz w:val="24"/>
        </w:rPr>
        <w:t>Table 1. Characteristics of Cohort and Comparison of Groups With and Without Chronic PPI Treatment.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sz w:val="18"/>
              </w:rPr>
              <w:t>Characteristic</w:t>
            </w:r>
          </w:p>
        </w:tc>
        <w:tc>
          <w:tcPr>
            <w:tcW w:type="dxa" w:w="2340"/>
            <w:shd w:fill="D9D9D9" w:val="clear"/>
          </w:tcPr>
          <w:p>
            <w:pPr>
              <w:jc w:val="center"/>
            </w:pPr>
            <w:r/>
            <w:r>
              <w:rPr>
                <w:rFonts w:ascii="Times New Roman" w:hAnsi="Times New Roman"/>
                <w:b/>
                <w:sz w:val="18"/>
              </w:rPr>
              <w:t>Without PPI (N=71,044)</w:t>
            </w:r>
          </w:p>
        </w:tc>
        <w:tc>
          <w:tcPr>
            <w:tcW w:type="dxa" w:w="2340"/>
            <w:shd w:fill="D9D9D9" w:val="clear"/>
          </w:tcPr>
          <w:p>
            <w:pPr>
              <w:jc w:val="center"/>
            </w:pPr>
            <w:r/>
            <w:r>
              <w:rPr>
                <w:rFonts w:ascii="Times New Roman" w:hAnsi="Times New Roman"/>
                <w:b/>
                <w:sz w:val="18"/>
              </w:rPr>
              <w:t>With PPI (N=35,703)</w:t>
            </w:r>
          </w:p>
        </w:tc>
        <w:tc>
          <w:tcPr>
            <w:tcW w:type="dxa" w:w="2340"/>
            <w:shd w:fill="D9D9D9" w:val="clear"/>
          </w:tcPr>
          <w:p>
            <w:pPr>
              <w:jc w:val="center"/>
            </w:pPr>
            <w:r/>
            <w:r>
              <w:rPr>
                <w:rFonts w:ascii="Times New Roman" w:hAnsi="Times New Roman"/>
                <w:b/>
                <w:sz w:val="18"/>
              </w:rPr>
              <w:t>p-value</w:t>
            </w:r>
          </w:p>
        </w:tc>
      </w:tr>
      <w:tr>
        <w:tc>
          <w:tcPr>
            <w:tcW w:type="dxa" w:w="2340"/>
          </w:tcPr>
          <w:p>
            <w:pPr>
              <w:jc w:val="center"/>
            </w:pPr>
            <w:r/>
            <w:r>
              <w:rPr>
                <w:rFonts w:ascii="Times New Roman" w:hAnsi="Times New Roman"/>
                <w:sz w:val="18"/>
              </w:rPr>
              <w:t>Male, n (%)</w:t>
            </w:r>
          </w:p>
        </w:tc>
        <w:tc>
          <w:tcPr>
            <w:tcW w:type="dxa" w:w="2340"/>
          </w:tcPr>
          <w:p>
            <w:pPr>
              <w:jc w:val="center"/>
            </w:pPr>
            <w:r/>
            <w:r>
              <w:rPr>
                <w:rFonts w:ascii="Times New Roman" w:hAnsi="Times New Roman"/>
                <w:sz w:val="18"/>
              </w:rPr>
              <w:t>32,804 (46.2%)</w:t>
            </w:r>
          </w:p>
        </w:tc>
        <w:tc>
          <w:tcPr>
            <w:tcW w:type="dxa" w:w="2340"/>
          </w:tcPr>
          <w:p>
            <w:pPr>
              <w:jc w:val="center"/>
            </w:pPr>
            <w:r/>
            <w:r>
              <w:rPr>
                <w:rFonts w:ascii="Times New Roman" w:hAnsi="Times New Roman"/>
                <w:sz w:val="18"/>
              </w:rPr>
              <w:t>15,958 (44.7%)</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Mean Age, years ± SD</w:t>
            </w:r>
          </w:p>
        </w:tc>
        <w:tc>
          <w:tcPr>
            <w:tcW w:type="dxa" w:w="2340"/>
          </w:tcPr>
          <w:p>
            <w:pPr>
              <w:jc w:val="center"/>
            </w:pPr>
            <w:r/>
            <w:r>
              <w:rPr>
                <w:rFonts w:ascii="Times New Roman" w:hAnsi="Times New Roman"/>
                <w:sz w:val="18"/>
              </w:rPr>
              <w:t>82.2 ± 5.6</w:t>
            </w:r>
          </w:p>
        </w:tc>
        <w:tc>
          <w:tcPr>
            <w:tcW w:type="dxa" w:w="2340"/>
          </w:tcPr>
          <w:p>
            <w:pPr>
              <w:jc w:val="center"/>
            </w:pPr>
            <w:r/>
            <w:r>
              <w:rPr>
                <w:rFonts w:ascii="Times New Roman" w:hAnsi="Times New Roman"/>
                <w:sz w:val="18"/>
              </w:rPr>
              <w:t>81.2 ± 5.2</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Age 75–84, n (%)</w:t>
            </w:r>
          </w:p>
        </w:tc>
        <w:tc>
          <w:tcPr>
            <w:tcW w:type="dxa" w:w="2340"/>
          </w:tcPr>
          <w:p>
            <w:pPr>
              <w:jc w:val="center"/>
            </w:pPr>
            <w:r/>
            <w:r>
              <w:rPr>
                <w:rFonts w:ascii="Times New Roman" w:hAnsi="Times New Roman"/>
                <w:sz w:val="18"/>
              </w:rPr>
              <w:t>50,929 (71.7%)</w:t>
            </w:r>
          </w:p>
        </w:tc>
        <w:tc>
          <w:tcPr>
            <w:tcW w:type="dxa" w:w="2340"/>
          </w:tcPr>
          <w:p>
            <w:pPr>
              <w:jc w:val="center"/>
            </w:pPr>
            <w:r/>
            <w:r>
              <w:rPr>
                <w:rFonts w:ascii="Times New Roman" w:hAnsi="Times New Roman"/>
                <w:sz w:val="18"/>
              </w:rPr>
              <w:t>27,782 (77.8%)</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Age ≥85, n (%)</w:t>
            </w:r>
          </w:p>
        </w:tc>
        <w:tc>
          <w:tcPr>
            <w:tcW w:type="dxa" w:w="2340"/>
          </w:tcPr>
          <w:p>
            <w:pPr>
              <w:jc w:val="center"/>
            </w:pPr>
            <w:r/>
            <w:r>
              <w:rPr>
                <w:rFonts w:ascii="Times New Roman" w:hAnsi="Times New Roman"/>
                <w:sz w:val="18"/>
              </w:rPr>
              <w:t>20,115 (28.3%)</w:t>
            </w:r>
          </w:p>
        </w:tc>
        <w:tc>
          <w:tcPr>
            <w:tcW w:type="dxa" w:w="2340"/>
          </w:tcPr>
          <w:p>
            <w:pPr>
              <w:jc w:val="center"/>
            </w:pPr>
            <w:r/>
            <w:r>
              <w:rPr>
                <w:rFonts w:ascii="Times New Roman" w:hAnsi="Times New Roman"/>
                <w:sz w:val="18"/>
              </w:rPr>
              <w:t>7,921 (22.2%)</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CCI, median [IQR]</w:t>
            </w:r>
          </w:p>
        </w:tc>
        <w:tc>
          <w:tcPr>
            <w:tcW w:type="dxa" w:w="2340"/>
          </w:tcPr>
          <w:p>
            <w:pPr>
              <w:jc w:val="center"/>
            </w:pPr>
            <w:r/>
            <w:r>
              <w:rPr>
                <w:rFonts w:ascii="Times New Roman" w:hAnsi="Times New Roman"/>
                <w:sz w:val="18"/>
              </w:rPr>
              <w:t>4 [3–5]</w:t>
            </w:r>
          </w:p>
        </w:tc>
        <w:tc>
          <w:tcPr>
            <w:tcW w:type="dxa" w:w="2340"/>
          </w:tcPr>
          <w:p>
            <w:pPr>
              <w:jc w:val="center"/>
            </w:pPr>
            <w:r/>
            <w:r>
              <w:rPr>
                <w:rFonts w:ascii="Times New Roman" w:hAnsi="Times New Roman"/>
                <w:sz w:val="18"/>
              </w:rPr>
              <w:t>4 [4–5]</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PUD, n (%)</w:t>
            </w:r>
          </w:p>
        </w:tc>
        <w:tc>
          <w:tcPr>
            <w:tcW w:type="dxa" w:w="2340"/>
          </w:tcPr>
          <w:p>
            <w:pPr>
              <w:jc w:val="center"/>
            </w:pPr>
            <w:r/>
            <w:r>
              <w:rPr>
                <w:rFonts w:ascii="Times New Roman" w:hAnsi="Times New Roman"/>
                <w:sz w:val="18"/>
              </w:rPr>
              <w:t>283 (0.4%)</w:t>
            </w:r>
          </w:p>
        </w:tc>
        <w:tc>
          <w:tcPr>
            <w:tcW w:type="dxa" w:w="2340"/>
          </w:tcPr>
          <w:p>
            <w:pPr>
              <w:jc w:val="center"/>
            </w:pPr>
            <w:r/>
            <w:r>
              <w:rPr>
                <w:rFonts w:ascii="Times New Roman" w:hAnsi="Times New Roman"/>
                <w:sz w:val="18"/>
              </w:rPr>
              <w:t>479 (1.3%)</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Aspirin use, n (%)</w:t>
            </w:r>
          </w:p>
        </w:tc>
        <w:tc>
          <w:tcPr>
            <w:tcW w:type="dxa" w:w="2340"/>
          </w:tcPr>
          <w:p>
            <w:pPr>
              <w:jc w:val="center"/>
            </w:pPr>
            <w:r/>
            <w:r>
              <w:rPr>
                <w:rFonts w:ascii="Times New Roman" w:hAnsi="Times New Roman"/>
                <w:sz w:val="18"/>
              </w:rPr>
              <w:t>8,432 (11.9%)</w:t>
            </w:r>
          </w:p>
        </w:tc>
        <w:tc>
          <w:tcPr>
            <w:tcW w:type="dxa" w:w="2340"/>
          </w:tcPr>
          <w:p>
            <w:pPr>
              <w:jc w:val="center"/>
            </w:pPr>
            <w:r/>
            <w:r>
              <w:rPr>
                <w:rFonts w:ascii="Times New Roman" w:hAnsi="Times New Roman"/>
                <w:sz w:val="18"/>
              </w:rPr>
              <w:t>12,799 (35.8%)</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PPI — Low dose</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32,524 (91.1%)</w:t>
            </w:r>
          </w:p>
        </w:tc>
        <w:tc>
          <w:tcPr>
            <w:tcW w:type="dxa" w:w="2340"/>
          </w:tcPr>
          <w:p>
            <w:pPr>
              <w:jc w:val="center"/>
            </w:pPr>
            <w:r/>
            <w:r>
              <w:rPr>
                <w:rFonts w:ascii="Times New Roman" w:hAnsi="Times New Roman"/>
                <w:sz w:val="18"/>
              </w:rPr>
            </w:r>
          </w:p>
        </w:tc>
      </w:tr>
      <w:tr>
        <w:tc>
          <w:tcPr>
            <w:tcW w:type="dxa" w:w="2340"/>
          </w:tcPr>
          <w:p>
            <w:pPr>
              <w:jc w:val="center"/>
            </w:pPr>
            <w:r/>
            <w:r>
              <w:rPr>
                <w:rFonts w:ascii="Times New Roman" w:hAnsi="Times New Roman"/>
                <w:sz w:val="18"/>
              </w:rPr>
              <w:t>PPI — High dose</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3,179 (8.9%)</w:t>
            </w:r>
          </w:p>
        </w:tc>
        <w:tc>
          <w:tcPr>
            <w:tcW w:type="dxa" w:w="2340"/>
          </w:tcPr>
          <w:p>
            <w:pPr>
              <w:jc w:val="center"/>
            </w:pPr>
            <w:r/>
            <w:r>
              <w:rPr>
                <w:rFonts w:ascii="Times New Roman" w:hAnsi="Times New Roman"/>
                <w:sz w:val="18"/>
              </w:rPr>
            </w:r>
          </w:p>
        </w:tc>
      </w:tr>
    </w:tbl>
    <w:p/>
    <w:p>
      <w:pPr>
        <w:spacing w:after="120"/>
      </w:pPr>
      <w:r>
        <w:rPr>
          <w:rFonts w:ascii="Times New Roman" w:hAnsi="Times New Roman"/>
          <w:i/>
          <w:sz w:val="18"/>
        </w:rPr>
        <w:t>CCI = Charlson Comorbidity Index; PUD = peptic ulcer disease.</w:t>
      </w:r>
    </w:p>
    <w:p>
      <w:pPr>
        <w:pStyle w:val="Heading2"/>
      </w:pPr>
      <w:r>
        <w:rPr>
          <w:rFonts w:ascii="Times New Roman" w:hAnsi="Times New Roman"/>
          <w:color w:val="000000"/>
        </w:rPr>
        <w:t>3.2 Hospital-Acquired Infections</w:t>
      </w:r>
    </w:p>
    <w:p>
      <w:pPr>
        <w:spacing w:after="120" w:line="480" w:lineRule="auto"/>
      </w:pPr>
      <w:r>
        <w:rPr>
          <w:rFonts w:ascii="Times New Roman" w:hAnsi="Times New Roman"/>
          <w:b w:val="0"/>
          <w:i w:val="0"/>
          <w:sz w:val="24"/>
        </w:rPr>
        <w:t>Hospital-acquired pneumonia occurred in 10,297 PPI users (28.8%) compared with 10,318 non-users (14.5%; p &lt; 0.001). CDI was diagnosed in 489 PPI users (1.4%) versus 223 non-users (0.3%; p &lt; 0.001). Fever was documented in 6,316 PPI users (17.7%) versus 4,646 non-users (6.5%; p &lt; 0.001) (Table 2).</w:t>
      </w:r>
    </w:p>
    <w:p>
      <w:pPr>
        <w:spacing w:after="120" w:line="480" w:lineRule="auto"/>
      </w:pPr>
      <w:r>
        <w:rPr>
          <w:rFonts w:ascii="Times New Roman" w:hAnsi="Times New Roman"/>
          <w:b w:val="0"/>
          <w:i w:val="0"/>
          <w:sz w:val="24"/>
        </w:rPr>
        <w:t>After multivariable adjustment (Table 3), PPI use remained independently associated with pneumonia (aOR 2.20, 95% CI 2.13–2.27, p &lt; 0.001), CDI (aOR 3.47, 95% CI 2.94–4.09, p &lt; 0.001), and fever (aOR 2.47, 95% CI 2.37–2.58, p &lt; 0.001). High-dose PPI was significantly associated with CDI (aOR 1.55, 95% CI 1.19–2.02, p = 0.001) and fever (aOR 1.29, 95% CI 1.18–1.41, p &lt; 0.001) but not with pneumonia (aOR 0.96, 95% CI 0.88–1.04, p = 0.32).</w:t>
      </w:r>
    </w:p>
    <w:p>
      <w:pPr>
        <w:spacing w:after="120" w:line="480" w:lineRule="auto"/>
      </w:pPr>
      <w:r>
        <w:rPr>
          <w:rFonts w:ascii="Times New Roman" w:hAnsi="Times New Roman"/>
          <w:b/>
          <w:i w:val="0"/>
          <w:sz w:val="24"/>
        </w:rPr>
        <w:t>Table 2. Comparison of Infection Outcomes and Fever During Hospitalization.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sz w:val="18"/>
              </w:rPr>
              <w:t>Outcome</w:t>
            </w:r>
          </w:p>
        </w:tc>
        <w:tc>
          <w:tcPr>
            <w:tcW w:type="dxa" w:w="2340"/>
            <w:shd w:fill="D9D9D9" w:val="clear"/>
          </w:tcPr>
          <w:p>
            <w:pPr>
              <w:jc w:val="center"/>
            </w:pPr>
            <w:r/>
            <w:r>
              <w:rPr>
                <w:rFonts w:ascii="Times New Roman" w:hAnsi="Times New Roman"/>
                <w:b/>
                <w:sz w:val="18"/>
              </w:rPr>
              <w:t>Without PPI (N=71,044)</w:t>
            </w:r>
          </w:p>
        </w:tc>
        <w:tc>
          <w:tcPr>
            <w:tcW w:type="dxa" w:w="2340"/>
            <w:shd w:fill="D9D9D9" w:val="clear"/>
          </w:tcPr>
          <w:p>
            <w:pPr>
              <w:jc w:val="center"/>
            </w:pPr>
            <w:r/>
            <w:r>
              <w:rPr>
                <w:rFonts w:ascii="Times New Roman" w:hAnsi="Times New Roman"/>
                <w:b/>
                <w:sz w:val="18"/>
              </w:rPr>
              <w:t>With PPI (N=35,703)</w:t>
            </w:r>
          </w:p>
        </w:tc>
        <w:tc>
          <w:tcPr>
            <w:tcW w:type="dxa" w:w="2340"/>
            <w:shd w:fill="D9D9D9" w:val="clear"/>
          </w:tcPr>
          <w:p>
            <w:pPr>
              <w:jc w:val="center"/>
            </w:pPr>
            <w:r/>
            <w:r>
              <w:rPr>
                <w:rFonts w:ascii="Times New Roman" w:hAnsi="Times New Roman"/>
                <w:b/>
                <w:sz w:val="18"/>
              </w:rPr>
              <w:t>p-value</w:t>
            </w:r>
          </w:p>
        </w:tc>
      </w:tr>
      <w:tr>
        <w:tc>
          <w:tcPr>
            <w:tcW w:type="dxa" w:w="2340"/>
          </w:tcPr>
          <w:p>
            <w:pPr>
              <w:jc w:val="center"/>
            </w:pPr>
            <w:r/>
            <w:r>
              <w:rPr>
                <w:rFonts w:ascii="Times New Roman" w:hAnsi="Times New Roman"/>
                <w:sz w:val="18"/>
              </w:rPr>
              <w:t>Hospital-acquired pneumonia</w:t>
            </w:r>
          </w:p>
        </w:tc>
        <w:tc>
          <w:tcPr>
            <w:tcW w:type="dxa" w:w="2340"/>
          </w:tcPr>
          <w:p>
            <w:pPr>
              <w:jc w:val="center"/>
            </w:pPr>
            <w:r/>
            <w:r>
              <w:rPr>
                <w:rFonts w:ascii="Times New Roman" w:hAnsi="Times New Roman"/>
                <w:sz w:val="18"/>
              </w:rPr>
              <w:t>10,318 (14.5%)</w:t>
            </w:r>
          </w:p>
        </w:tc>
        <w:tc>
          <w:tcPr>
            <w:tcW w:type="dxa" w:w="2340"/>
          </w:tcPr>
          <w:p>
            <w:pPr>
              <w:jc w:val="center"/>
            </w:pPr>
            <w:r/>
            <w:r>
              <w:rPr>
                <w:rFonts w:ascii="Times New Roman" w:hAnsi="Times New Roman"/>
                <w:sz w:val="18"/>
              </w:rPr>
              <w:t>10,297 (28.8%)</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CDI</w:t>
            </w:r>
          </w:p>
        </w:tc>
        <w:tc>
          <w:tcPr>
            <w:tcW w:type="dxa" w:w="2340"/>
          </w:tcPr>
          <w:p>
            <w:pPr>
              <w:jc w:val="center"/>
            </w:pPr>
            <w:r/>
            <w:r>
              <w:rPr>
                <w:rFonts w:ascii="Times New Roman" w:hAnsi="Times New Roman"/>
                <w:sz w:val="18"/>
              </w:rPr>
              <w:t>223 (0.3%)</w:t>
            </w:r>
          </w:p>
        </w:tc>
        <w:tc>
          <w:tcPr>
            <w:tcW w:type="dxa" w:w="2340"/>
          </w:tcPr>
          <w:p>
            <w:pPr>
              <w:jc w:val="center"/>
            </w:pPr>
            <w:r/>
            <w:r>
              <w:rPr>
                <w:rFonts w:ascii="Times New Roman" w:hAnsi="Times New Roman"/>
                <w:sz w:val="18"/>
              </w:rPr>
              <w:t>489 (1.4%)</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Fever ≥ 38.2°C</w:t>
            </w:r>
          </w:p>
        </w:tc>
        <w:tc>
          <w:tcPr>
            <w:tcW w:type="dxa" w:w="2340"/>
          </w:tcPr>
          <w:p>
            <w:pPr>
              <w:jc w:val="center"/>
            </w:pPr>
            <w:r/>
            <w:r>
              <w:rPr>
                <w:rFonts w:ascii="Times New Roman" w:hAnsi="Times New Roman"/>
                <w:sz w:val="18"/>
              </w:rPr>
              <w:t>4,646 (6.5%)</w:t>
            </w:r>
          </w:p>
        </w:tc>
        <w:tc>
          <w:tcPr>
            <w:tcW w:type="dxa" w:w="2340"/>
          </w:tcPr>
          <w:p>
            <w:pPr>
              <w:jc w:val="center"/>
            </w:pPr>
            <w:r/>
            <w:r>
              <w:rPr>
                <w:rFonts w:ascii="Times New Roman" w:hAnsi="Times New Roman"/>
                <w:sz w:val="18"/>
              </w:rPr>
              <w:t>6,316 (17.7%)</w:t>
            </w:r>
          </w:p>
        </w:tc>
        <w:tc>
          <w:tcPr>
            <w:tcW w:type="dxa" w:w="2340"/>
          </w:tcPr>
          <w:p>
            <w:pPr>
              <w:jc w:val="center"/>
            </w:pPr>
            <w:r/>
            <w:r>
              <w:rPr>
                <w:rFonts w:ascii="Times New Roman" w:hAnsi="Times New Roman"/>
                <w:sz w:val="18"/>
              </w:rPr>
              <w:t>&lt;0.001</w:t>
            </w:r>
          </w:p>
        </w:tc>
      </w:tr>
    </w:tbl>
    <w:p/>
    <w:p>
      <w:pPr>
        <w:spacing w:after="120"/>
      </w:pPr>
      <w:r>
        <w:rPr>
          <w:rFonts w:ascii="Times New Roman" w:hAnsi="Times New Roman"/>
          <w:i/>
          <w:sz w:val="18"/>
        </w:rPr>
        <w:t>CDI = Clostridioides difficile infection (positive fecal toxin assay).</w:t>
      </w:r>
    </w:p>
    <w:p>
      <w:pPr>
        <w:spacing w:after="120" w:line="480" w:lineRule="auto"/>
      </w:pPr>
      <w:r>
        <w:rPr>
          <w:rFonts w:ascii="Times New Roman" w:hAnsi="Times New Roman"/>
          <w:b/>
          <w:i w:val="0"/>
          <w:sz w:val="24"/>
        </w:rPr>
        <w:t>Table 3. Adjusted Logistic Regression: Risk Factors for Hospital-Acquired Infections.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sz w:val="18"/>
              </w:rPr>
              <w:t>Covariate</w:t>
            </w:r>
          </w:p>
        </w:tc>
        <w:tc>
          <w:tcPr>
            <w:tcW w:type="dxa" w:w="2340"/>
            <w:shd w:fill="D9D9D9" w:val="clear"/>
          </w:tcPr>
          <w:p>
            <w:pPr>
              <w:jc w:val="center"/>
            </w:pPr>
            <w:r/>
            <w:r>
              <w:rPr>
                <w:rFonts w:ascii="Times New Roman" w:hAnsi="Times New Roman"/>
                <w:b/>
                <w:sz w:val="18"/>
              </w:rPr>
              <w:t>CDI aOR (95% CI)</w:t>
            </w:r>
          </w:p>
        </w:tc>
        <w:tc>
          <w:tcPr>
            <w:tcW w:type="dxa" w:w="2340"/>
            <w:shd w:fill="D9D9D9" w:val="clear"/>
          </w:tcPr>
          <w:p>
            <w:pPr>
              <w:jc w:val="center"/>
            </w:pPr>
            <w:r/>
            <w:r>
              <w:rPr>
                <w:rFonts w:ascii="Times New Roman" w:hAnsi="Times New Roman"/>
                <w:b/>
                <w:sz w:val="18"/>
              </w:rPr>
              <w:t>Pneumonia aOR (95% CI)</w:t>
            </w:r>
          </w:p>
        </w:tc>
        <w:tc>
          <w:tcPr>
            <w:tcW w:type="dxa" w:w="2340"/>
            <w:shd w:fill="D9D9D9" w:val="clear"/>
          </w:tcPr>
          <w:p>
            <w:pPr>
              <w:jc w:val="center"/>
            </w:pPr>
            <w:r/>
            <w:r>
              <w:rPr>
                <w:rFonts w:ascii="Times New Roman" w:hAnsi="Times New Roman"/>
                <w:b/>
                <w:sz w:val="18"/>
              </w:rPr>
              <w:t>Fever aOR (95% CI)</w:t>
            </w:r>
          </w:p>
        </w:tc>
      </w:tr>
      <w:tr>
        <w:tc>
          <w:tcPr>
            <w:tcW w:type="dxa" w:w="2340"/>
          </w:tcPr>
          <w:p>
            <w:pPr>
              <w:jc w:val="center"/>
            </w:pPr>
            <w:r/>
            <w:r>
              <w:rPr>
                <w:rFonts w:ascii="Times New Roman" w:hAnsi="Times New Roman"/>
                <w:sz w:val="18"/>
              </w:rPr>
              <w:t>PPI use</w:t>
            </w:r>
          </w:p>
        </w:tc>
        <w:tc>
          <w:tcPr>
            <w:tcW w:type="dxa" w:w="2340"/>
          </w:tcPr>
          <w:p>
            <w:pPr>
              <w:jc w:val="center"/>
            </w:pPr>
            <w:r/>
            <w:r>
              <w:rPr>
                <w:rFonts w:ascii="Times New Roman" w:hAnsi="Times New Roman"/>
                <w:sz w:val="18"/>
              </w:rPr>
              <w:t>3.47 (2.94–4.09)*</w:t>
            </w:r>
          </w:p>
        </w:tc>
        <w:tc>
          <w:tcPr>
            <w:tcW w:type="dxa" w:w="2340"/>
          </w:tcPr>
          <w:p>
            <w:pPr>
              <w:jc w:val="center"/>
            </w:pPr>
            <w:r/>
            <w:r>
              <w:rPr>
                <w:rFonts w:ascii="Times New Roman" w:hAnsi="Times New Roman"/>
                <w:sz w:val="18"/>
              </w:rPr>
              <w:t>2.20 (2.13–2.27)*</w:t>
            </w:r>
          </w:p>
        </w:tc>
        <w:tc>
          <w:tcPr>
            <w:tcW w:type="dxa" w:w="2340"/>
          </w:tcPr>
          <w:p>
            <w:pPr>
              <w:jc w:val="center"/>
            </w:pPr>
            <w:r/>
            <w:r>
              <w:rPr>
                <w:rFonts w:ascii="Times New Roman" w:hAnsi="Times New Roman"/>
                <w:sz w:val="18"/>
              </w:rPr>
              <w:t>2.47 (2.37–2.58)*</w:t>
            </w:r>
          </w:p>
        </w:tc>
      </w:tr>
      <w:tr>
        <w:tc>
          <w:tcPr>
            <w:tcW w:type="dxa" w:w="2340"/>
          </w:tcPr>
          <w:p>
            <w:pPr>
              <w:jc w:val="center"/>
            </w:pPr>
            <w:r/>
            <w:r>
              <w:rPr>
                <w:rFonts w:ascii="Times New Roman" w:hAnsi="Times New Roman"/>
                <w:sz w:val="18"/>
              </w:rPr>
              <w:t>High-dose PPI</w:t>
            </w:r>
          </w:p>
        </w:tc>
        <w:tc>
          <w:tcPr>
            <w:tcW w:type="dxa" w:w="2340"/>
          </w:tcPr>
          <w:p>
            <w:pPr>
              <w:jc w:val="center"/>
            </w:pPr>
            <w:r/>
            <w:r>
              <w:rPr>
                <w:rFonts w:ascii="Times New Roman" w:hAnsi="Times New Roman"/>
                <w:sz w:val="18"/>
              </w:rPr>
              <w:t>1.55 (1.19–2.02)†</w:t>
            </w:r>
          </w:p>
        </w:tc>
        <w:tc>
          <w:tcPr>
            <w:tcW w:type="dxa" w:w="2340"/>
          </w:tcPr>
          <w:p>
            <w:pPr>
              <w:jc w:val="center"/>
            </w:pPr>
            <w:r/>
            <w:r>
              <w:rPr>
                <w:rFonts w:ascii="Times New Roman" w:hAnsi="Times New Roman"/>
                <w:sz w:val="18"/>
              </w:rPr>
              <w:t>0.96 (0.88–1.04)</w:t>
            </w:r>
          </w:p>
        </w:tc>
        <w:tc>
          <w:tcPr>
            <w:tcW w:type="dxa" w:w="2340"/>
          </w:tcPr>
          <w:p>
            <w:pPr>
              <w:jc w:val="center"/>
            </w:pPr>
            <w:r/>
            <w:r>
              <w:rPr>
                <w:rFonts w:ascii="Times New Roman" w:hAnsi="Times New Roman"/>
                <w:sz w:val="18"/>
              </w:rPr>
              <w:t>1.29 (1.18–1.41)*</w:t>
            </w:r>
          </w:p>
        </w:tc>
      </w:tr>
      <w:tr>
        <w:tc>
          <w:tcPr>
            <w:tcW w:type="dxa" w:w="2340"/>
          </w:tcPr>
          <w:p>
            <w:pPr>
              <w:jc w:val="center"/>
            </w:pPr>
            <w:r/>
            <w:r>
              <w:rPr>
                <w:rFonts w:ascii="Times New Roman" w:hAnsi="Times New Roman"/>
                <w:sz w:val="18"/>
              </w:rPr>
              <w:t>Age 75–84</w:t>
            </w:r>
          </w:p>
        </w:tc>
        <w:tc>
          <w:tcPr>
            <w:tcW w:type="dxa" w:w="2340"/>
          </w:tcPr>
          <w:p>
            <w:pPr>
              <w:jc w:val="center"/>
            </w:pPr>
            <w:r/>
            <w:r>
              <w:rPr>
                <w:rFonts w:ascii="Times New Roman" w:hAnsi="Times New Roman"/>
                <w:sz w:val="18"/>
              </w:rPr>
              <w:t>1.13 (0.94–1.35)</w:t>
            </w:r>
          </w:p>
        </w:tc>
        <w:tc>
          <w:tcPr>
            <w:tcW w:type="dxa" w:w="2340"/>
          </w:tcPr>
          <w:p>
            <w:pPr>
              <w:jc w:val="center"/>
            </w:pPr>
            <w:r/>
            <w:r>
              <w:rPr>
                <w:rFonts w:ascii="Times New Roman" w:hAnsi="Times New Roman"/>
                <w:sz w:val="18"/>
              </w:rPr>
              <w:t>0.69 (0.66–0.71)*</w:t>
            </w:r>
          </w:p>
        </w:tc>
        <w:tc>
          <w:tcPr>
            <w:tcW w:type="dxa" w:w="2340"/>
          </w:tcPr>
          <w:p>
            <w:pPr>
              <w:jc w:val="center"/>
            </w:pPr>
            <w:r/>
            <w:r>
              <w:rPr>
                <w:rFonts w:ascii="Times New Roman" w:hAnsi="Times New Roman"/>
                <w:sz w:val="18"/>
              </w:rPr>
              <w:t>1.13 (1.07–1.19)*</w:t>
            </w:r>
          </w:p>
        </w:tc>
      </w:tr>
      <w:tr>
        <w:tc>
          <w:tcPr>
            <w:tcW w:type="dxa" w:w="2340"/>
          </w:tcPr>
          <w:p>
            <w:pPr>
              <w:jc w:val="center"/>
            </w:pPr>
            <w:r/>
            <w:r>
              <w:rPr>
                <w:rFonts w:ascii="Times New Roman" w:hAnsi="Times New Roman"/>
                <w:sz w:val="18"/>
              </w:rPr>
              <w:t>CCI (per point)</w:t>
            </w:r>
          </w:p>
        </w:tc>
        <w:tc>
          <w:tcPr>
            <w:tcW w:type="dxa" w:w="2340"/>
          </w:tcPr>
          <w:p>
            <w:pPr>
              <w:jc w:val="center"/>
            </w:pPr>
            <w:r/>
            <w:r>
              <w:rPr>
                <w:rFonts w:ascii="Times New Roman" w:hAnsi="Times New Roman"/>
                <w:sz w:val="18"/>
              </w:rPr>
              <w:t>1.10 (1.05–1.15)*</w:t>
            </w:r>
          </w:p>
        </w:tc>
        <w:tc>
          <w:tcPr>
            <w:tcW w:type="dxa" w:w="2340"/>
          </w:tcPr>
          <w:p>
            <w:pPr>
              <w:jc w:val="center"/>
            </w:pPr>
            <w:r/>
            <w:r>
              <w:rPr>
                <w:rFonts w:ascii="Times New Roman" w:hAnsi="Times New Roman"/>
                <w:sz w:val="18"/>
              </w:rPr>
              <w:t>1.09 (1.08–1.10)*</w:t>
            </w:r>
          </w:p>
        </w:tc>
        <w:tc>
          <w:tcPr>
            <w:tcW w:type="dxa" w:w="2340"/>
          </w:tcPr>
          <w:p>
            <w:pPr>
              <w:jc w:val="center"/>
            </w:pPr>
            <w:r/>
            <w:r>
              <w:rPr>
                <w:rFonts w:ascii="Times New Roman" w:hAnsi="Times New Roman"/>
                <w:sz w:val="18"/>
              </w:rPr>
              <w:t>1.09 (1.07–1.10)*</w:t>
            </w:r>
          </w:p>
        </w:tc>
      </w:tr>
      <w:tr>
        <w:tc>
          <w:tcPr>
            <w:tcW w:type="dxa" w:w="2340"/>
          </w:tcPr>
          <w:p>
            <w:pPr>
              <w:jc w:val="center"/>
            </w:pPr>
            <w:r/>
            <w:r>
              <w:rPr>
                <w:rFonts w:ascii="Times New Roman" w:hAnsi="Times New Roman"/>
                <w:sz w:val="18"/>
              </w:rPr>
              <w:t>Male sex</w:t>
            </w:r>
          </w:p>
        </w:tc>
        <w:tc>
          <w:tcPr>
            <w:tcW w:type="dxa" w:w="2340"/>
          </w:tcPr>
          <w:p>
            <w:pPr>
              <w:jc w:val="center"/>
            </w:pPr>
            <w:r/>
            <w:r>
              <w:rPr>
                <w:rFonts w:ascii="Times New Roman" w:hAnsi="Times New Roman"/>
                <w:sz w:val="18"/>
              </w:rPr>
              <w:t>0.85 (0.73–0.99)‡</w:t>
            </w:r>
          </w:p>
        </w:tc>
        <w:tc>
          <w:tcPr>
            <w:tcW w:type="dxa" w:w="2340"/>
          </w:tcPr>
          <w:p>
            <w:pPr>
              <w:jc w:val="center"/>
            </w:pPr>
            <w:r/>
            <w:r>
              <w:rPr>
                <w:rFonts w:ascii="Times New Roman" w:hAnsi="Times New Roman"/>
                <w:sz w:val="18"/>
              </w:rPr>
              <w:t>1.14 (1.10–1.18)*</w:t>
            </w:r>
          </w:p>
        </w:tc>
        <w:tc>
          <w:tcPr>
            <w:tcW w:type="dxa" w:w="2340"/>
          </w:tcPr>
          <w:p>
            <w:pPr>
              <w:jc w:val="center"/>
            </w:pPr>
            <w:r/>
            <w:r>
              <w:rPr>
                <w:rFonts w:ascii="Times New Roman" w:hAnsi="Times New Roman"/>
                <w:sz w:val="18"/>
              </w:rPr>
              <w:t>1.23 (1.18–1.28)*</w:t>
            </w:r>
          </w:p>
        </w:tc>
      </w:tr>
    </w:tbl>
    <w:p/>
    <w:p>
      <w:pPr>
        <w:spacing w:after="120"/>
      </w:pPr>
      <w:r>
        <w:rPr>
          <w:rFonts w:ascii="Times New Roman" w:hAnsi="Times New Roman"/>
          <w:i/>
          <w:sz w:val="18"/>
        </w:rPr>
        <w:t>*p&lt;0.001; †p=0.001; ‡p&lt;0.05. N=96,446 complete cases.</w:t>
      </w:r>
    </w:p>
    <w:p>
      <w:pPr>
        <w:pStyle w:val="Heading2"/>
      </w:pPr>
      <w:r>
        <w:rPr>
          <w:rFonts w:ascii="Times New Roman" w:hAnsi="Times New Roman"/>
          <w:color w:val="000000"/>
        </w:rPr>
        <w:t>3.3 Length of Stay and Mortality</w:t>
      </w:r>
    </w:p>
    <w:p>
      <w:pPr>
        <w:spacing w:after="120" w:line="480" w:lineRule="auto"/>
      </w:pPr>
      <w:r>
        <w:rPr>
          <w:rFonts w:ascii="Times New Roman" w:hAnsi="Times New Roman"/>
          <w:b w:val="0"/>
          <w:i w:val="0"/>
          <w:sz w:val="24"/>
        </w:rPr>
        <w:t>Median length of stay (LOS) was modestly longer in PPI users (4.04 days [IQR 2.0–8.4]) compared with non-users (3.96 days [IQR 1.9–8.1]). Seven-day mortality was 522 (1.5%) in PPI users versus 2,906 (4.1%) in non-users (p &lt; 0.001). Thirty-day mortality was 1,466 (4.1%) in PPI users versus 6,042 (8.5%) in non-users (p &lt; 0.001).</w:t>
      </w:r>
    </w:p>
    <w:p>
      <w:pPr>
        <w:spacing w:after="120" w:line="480" w:lineRule="auto"/>
      </w:pPr>
      <w:r>
        <w:rPr>
          <w:rFonts w:ascii="Times New Roman" w:hAnsi="Times New Roman"/>
          <w:b/>
          <w:i w:val="0"/>
          <w:sz w:val="24"/>
        </w:rPr>
        <w:t>Table 4. Length of Stay and Short-Term Mortality.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sz w:val="18"/>
              </w:rPr>
            </w:r>
          </w:p>
        </w:tc>
        <w:tc>
          <w:tcPr>
            <w:tcW w:type="dxa" w:w="2340"/>
            <w:shd w:fill="D9D9D9" w:val="clear"/>
          </w:tcPr>
          <w:p>
            <w:pPr>
              <w:jc w:val="center"/>
            </w:pPr>
            <w:r/>
            <w:r>
              <w:rPr>
                <w:rFonts w:ascii="Times New Roman" w:hAnsi="Times New Roman"/>
                <w:b/>
                <w:sz w:val="18"/>
              </w:rPr>
              <w:t>PPI Users (N=35,703)</w:t>
            </w:r>
          </w:p>
        </w:tc>
        <w:tc>
          <w:tcPr>
            <w:tcW w:type="dxa" w:w="2340"/>
            <w:shd w:fill="D9D9D9" w:val="clear"/>
          </w:tcPr>
          <w:p>
            <w:pPr>
              <w:jc w:val="center"/>
            </w:pPr>
            <w:r/>
            <w:r>
              <w:rPr>
                <w:rFonts w:ascii="Times New Roman" w:hAnsi="Times New Roman"/>
                <w:b/>
                <w:sz w:val="18"/>
              </w:rPr>
              <w:t>Non-PPI Users (N=71,044)</w:t>
            </w:r>
          </w:p>
        </w:tc>
        <w:tc>
          <w:tcPr>
            <w:tcW w:type="dxa" w:w="2340"/>
            <w:shd w:fill="D9D9D9" w:val="clear"/>
          </w:tcPr>
          <w:p>
            <w:pPr>
              <w:jc w:val="center"/>
            </w:pPr>
            <w:r/>
            <w:r>
              <w:rPr>
                <w:rFonts w:ascii="Times New Roman" w:hAnsi="Times New Roman"/>
                <w:b/>
                <w:sz w:val="18"/>
              </w:rPr>
              <w:t>p-value</w:t>
            </w:r>
          </w:p>
        </w:tc>
      </w:tr>
      <w:tr>
        <w:tc>
          <w:tcPr>
            <w:tcW w:type="dxa" w:w="2340"/>
          </w:tcPr>
          <w:p>
            <w:pPr>
              <w:jc w:val="center"/>
            </w:pPr>
            <w:r/>
            <w:r>
              <w:rPr>
                <w:rFonts w:ascii="Times New Roman" w:hAnsi="Times New Roman"/>
                <w:sz w:val="18"/>
              </w:rPr>
              <w:t>LOS, median [IQR]</w:t>
            </w:r>
          </w:p>
        </w:tc>
        <w:tc>
          <w:tcPr>
            <w:tcW w:type="dxa" w:w="2340"/>
          </w:tcPr>
          <w:p>
            <w:pPr>
              <w:jc w:val="center"/>
            </w:pPr>
            <w:r/>
            <w:r>
              <w:rPr>
                <w:rFonts w:ascii="Times New Roman" w:hAnsi="Times New Roman"/>
                <w:sz w:val="18"/>
              </w:rPr>
              <w:t>4.04 [2.0–8.4]</w:t>
            </w:r>
          </w:p>
        </w:tc>
        <w:tc>
          <w:tcPr>
            <w:tcW w:type="dxa" w:w="2340"/>
          </w:tcPr>
          <w:p>
            <w:pPr>
              <w:jc w:val="center"/>
            </w:pPr>
            <w:r/>
            <w:r>
              <w:rPr>
                <w:rFonts w:ascii="Times New Roman" w:hAnsi="Times New Roman"/>
                <w:sz w:val="18"/>
              </w:rPr>
              <w:t>3.96 [1.9–8.1]</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7-day mortality, n (%)</w:t>
            </w:r>
          </w:p>
        </w:tc>
        <w:tc>
          <w:tcPr>
            <w:tcW w:type="dxa" w:w="2340"/>
          </w:tcPr>
          <w:p>
            <w:pPr>
              <w:jc w:val="center"/>
            </w:pPr>
            <w:r/>
            <w:r>
              <w:rPr>
                <w:rFonts w:ascii="Times New Roman" w:hAnsi="Times New Roman"/>
                <w:sz w:val="18"/>
              </w:rPr>
              <w:t>522 (1.5%)</w:t>
            </w:r>
          </w:p>
        </w:tc>
        <w:tc>
          <w:tcPr>
            <w:tcW w:type="dxa" w:w="2340"/>
          </w:tcPr>
          <w:p>
            <w:pPr>
              <w:jc w:val="center"/>
            </w:pPr>
            <w:r/>
            <w:r>
              <w:rPr>
                <w:rFonts w:ascii="Times New Roman" w:hAnsi="Times New Roman"/>
                <w:sz w:val="18"/>
              </w:rPr>
              <w:t>2,906 (4.1%)</w:t>
            </w:r>
          </w:p>
        </w:tc>
        <w:tc>
          <w:tcPr>
            <w:tcW w:type="dxa" w:w="2340"/>
          </w:tcPr>
          <w:p>
            <w:pPr>
              <w:jc w:val="center"/>
            </w:pPr>
            <w:r/>
            <w:r>
              <w:rPr>
                <w:rFonts w:ascii="Times New Roman" w:hAnsi="Times New Roman"/>
                <w:sz w:val="18"/>
              </w:rPr>
              <w:t>&lt;0.001</w:t>
            </w:r>
          </w:p>
        </w:tc>
      </w:tr>
      <w:tr>
        <w:tc>
          <w:tcPr>
            <w:tcW w:type="dxa" w:w="2340"/>
          </w:tcPr>
          <w:p>
            <w:pPr>
              <w:jc w:val="center"/>
            </w:pPr>
            <w:r/>
            <w:r>
              <w:rPr>
                <w:rFonts w:ascii="Times New Roman" w:hAnsi="Times New Roman"/>
                <w:sz w:val="18"/>
              </w:rPr>
              <w:t>30-day mortality, n (%)</w:t>
            </w:r>
          </w:p>
        </w:tc>
        <w:tc>
          <w:tcPr>
            <w:tcW w:type="dxa" w:w="2340"/>
          </w:tcPr>
          <w:p>
            <w:pPr>
              <w:jc w:val="center"/>
            </w:pPr>
            <w:r/>
            <w:r>
              <w:rPr>
                <w:rFonts w:ascii="Times New Roman" w:hAnsi="Times New Roman"/>
                <w:sz w:val="18"/>
              </w:rPr>
              <w:t>1,466 (4.1%)</w:t>
            </w:r>
          </w:p>
        </w:tc>
        <w:tc>
          <w:tcPr>
            <w:tcW w:type="dxa" w:w="2340"/>
          </w:tcPr>
          <w:p>
            <w:pPr>
              <w:jc w:val="center"/>
            </w:pPr>
            <w:r/>
            <w:r>
              <w:rPr>
                <w:rFonts w:ascii="Times New Roman" w:hAnsi="Times New Roman"/>
                <w:sz w:val="18"/>
              </w:rPr>
              <w:t>6,042 (8.5%)</w:t>
            </w:r>
          </w:p>
        </w:tc>
        <w:tc>
          <w:tcPr>
            <w:tcW w:type="dxa" w:w="2340"/>
          </w:tcPr>
          <w:p>
            <w:pPr>
              <w:jc w:val="center"/>
            </w:pPr>
            <w:r/>
            <w:r>
              <w:rPr>
                <w:rFonts w:ascii="Times New Roman" w:hAnsi="Times New Roman"/>
                <w:sz w:val="18"/>
              </w:rPr>
              <w:t>&lt;0.001</w:t>
            </w:r>
          </w:p>
        </w:tc>
      </w:tr>
    </w:tbl>
    <w:p/>
    <w:p>
      <w:pPr>
        <w:spacing w:after="120"/>
      </w:pPr>
      <w:r>
        <w:rPr>
          <w:rFonts w:ascii="Times New Roman" w:hAnsi="Times New Roman"/>
          <w:i/>
          <w:sz w:val="18"/>
        </w:rPr>
        <w:t>LOS = length of stay; IQR = interquartile range.</w:t>
      </w:r>
    </w:p>
    <w:p>
      <w:pPr>
        <w:pStyle w:val="Heading2"/>
      </w:pPr>
      <w:r>
        <w:rPr>
          <w:rFonts w:ascii="Times New Roman" w:hAnsi="Times New Roman"/>
          <w:color w:val="000000"/>
        </w:rPr>
        <w:t>3.4 Impact of PPI Use on All-Cause Mortality</w:t>
      </w:r>
    </w:p>
    <w:p>
      <w:pPr>
        <w:spacing w:after="120" w:line="480" w:lineRule="auto"/>
      </w:pPr>
      <w:r>
        <w:rPr>
          <w:rFonts w:ascii="Times New Roman" w:hAnsi="Times New Roman"/>
          <w:b w:val="0"/>
          <w:i w:val="0"/>
          <w:sz w:val="24"/>
        </w:rPr>
        <w:t>In the adjusted Cox model for 30-day mortality, PPI use was associated with significantly lower mortality risk (adjusted HR 0.55, 95% CI 0.51–0.58, p &lt; 0.001). Similar results were observed for 7-day mortality (adjusted HR 0.43, 95% CI 0.39–0.47, p &lt; 0.001) (Table 5). Aspirin use demonstrated a comparable protective association (adjusted HR 0.53, 95% CI 0.49–0.58, p &lt; 0.001). Age ≥85 years (adjusted HR 2.33, 95% CI 2.22–2.46) and higher CCI (adjusted HR 1.26 per point, 95% CI 1.25–1.28) were associated with increased mortality.</w:t>
      </w:r>
    </w:p>
    <w:p>
      <w:pPr>
        <w:spacing w:after="120" w:line="480" w:lineRule="auto"/>
      </w:pPr>
      <w:r>
        <w:rPr>
          <w:rFonts w:ascii="Times New Roman" w:hAnsi="Times New Roman"/>
          <w:b/>
          <w:i w:val="0"/>
          <w:sz w:val="24"/>
        </w:rPr>
        <w:t>Table 5. Cox Proportional Hazards Models for 7-Day and 30-Day Mortality.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val="clear"/>
          </w:tcPr>
          <w:p>
            <w:pPr>
              <w:jc w:val="center"/>
            </w:pPr>
            <w:r/>
            <w:r>
              <w:rPr>
                <w:rFonts w:ascii="Times New Roman" w:hAnsi="Times New Roman"/>
                <w:b/>
                <w:sz w:val="18"/>
              </w:rPr>
              <w:t>Covariate</w:t>
            </w:r>
          </w:p>
        </w:tc>
        <w:tc>
          <w:tcPr>
            <w:tcW w:type="dxa" w:w="3120"/>
            <w:shd w:fill="D9D9D9" w:val="clear"/>
          </w:tcPr>
          <w:p>
            <w:pPr>
              <w:jc w:val="center"/>
            </w:pPr>
            <w:r/>
            <w:r>
              <w:rPr>
                <w:rFonts w:ascii="Times New Roman" w:hAnsi="Times New Roman"/>
                <w:b/>
                <w:sz w:val="18"/>
              </w:rPr>
              <w:t>7-Day HR (95% CI)</w:t>
            </w:r>
          </w:p>
        </w:tc>
        <w:tc>
          <w:tcPr>
            <w:tcW w:type="dxa" w:w="3120"/>
            <w:shd w:fill="D9D9D9" w:val="clear"/>
          </w:tcPr>
          <w:p>
            <w:pPr>
              <w:jc w:val="center"/>
            </w:pPr>
            <w:r/>
            <w:r>
              <w:rPr>
                <w:rFonts w:ascii="Times New Roman" w:hAnsi="Times New Roman"/>
                <w:b/>
                <w:sz w:val="18"/>
              </w:rPr>
              <w:t>30-Day HR (95% CI)</w:t>
            </w:r>
          </w:p>
        </w:tc>
      </w:tr>
      <w:tr>
        <w:tc>
          <w:tcPr>
            <w:tcW w:type="dxa" w:w="3120"/>
          </w:tcPr>
          <w:p>
            <w:pPr>
              <w:jc w:val="center"/>
            </w:pPr>
            <w:r/>
            <w:r>
              <w:rPr>
                <w:rFonts w:ascii="Times New Roman" w:hAnsi="Times New Roman"/>
                <w:sz w:val="18"/>
              </w:rPr>
              <w:t>PPI use</w:t>
            </w:r>
          </w:p>
        </w:tc>
        <w:tc>
          <w:tcPr>
            <w:tcW w:type="dxa" w:w="3120"/>
          </w:tcPr>
          <w:p>
            <w:pPr>
              <w:jc w:val="center"/>
            </w:pPr>
            <w:r/>
            <w:r>
              <w:rPr>
                <w:rFonts w:ascii="Times New Roman" w:hAnsi="Times New Roman"/>
                <w:sz w:val="18"/>
              </w:rPr>
              <w:t>0.43 (0.39–0.47)*</w:t>
            </w:r>
          </w:p>
        </w:tc>
        <w:tc>
          <w:tcPr>
            <w:tcW w:type="dxa" w:w="3120"/>
          </w:tcPr>
          <w:p>
            <w:pPr>
              <w:jc w:val="center"/>
            </w:pPr>
            <w:r/>
            <w:r>
              <w:rPr>
                <w:rFonts w:ascii="Times New Roman" w:hAnsi="Times New Roman"/>
                <w:sz w:val="18"/>
              </w:rPr>
              <w:t>0.55 (0.51–0.58)*</w:t>
            </w:r>
          </w:p>
        </w:tc>
      </w:tr>
      <w:tr>
        <w:tc>
          <w:tcPr>
            <w:tcW w:type="dxa" w:w="3120"/>
          </w:tcPr>
          <w:p>
            <w:pPr>
              <w:jc w:val="center"/>
            </w:pPr>
            <w:r/>
            <w:r>
              <w:rPr>
                <w:rFonts w:ascii="Times New Roman" w:hAnsi="Times New Roman"/>
                <w:sz w:val="18"/>
              </w:rPr>
              <w:t>High-dose PPI</w:t>
            </w:r>
          </w:p>
        </w:tc>
        <w:tc>
          <w:tcPr>
            <w:tcW w:type="dxa" w:w="3120"/>
          </w:tcPr>
          <w:p>
            <w:pPr>
              <w:jc w:val="center"/>
            </w:pPr>
            <w:r/>
            <w:r>
              <w:rPr>
                <w:rFonts w:ascii="Times New Roman" w:hAnsi="Times New Roman"/>
                <w:sz w:val="18"/>
              </w:rPr>
              <w:t>0.78 (0.56–1.08)</w:t>
            </w:r>
          </w:p>
        </w:tc>
        <w:tc>
          <w:tcPr>
            <w:tcW w:type="dxa" w:w="3120"/>
          </w:tcPr>
          <w:p>
            <w:pPr>
              <w:jc w:val="center"/>
            </w:pPr>
            <w:r/>
            <w:r>
              <w:rPr>
                <w:rFonts w:ascii="Times New Roman" w:hAnsi="Times New Roman"/>
                <w:sz w:val="18"/>
              </w:rPr>
              <w:t>1.00 (0.83–1.19)</w:t>
            </w:r>
          </w:p>
        </w:tc>
      </w:tr>
      <w:tr>
        <w:tc>
          <w:tcPr>
            <w:tcW w:type="dxa" w:w="3120"/>
          </w:tcPr>
          <w:p>
            <w:pPr>
              <w:jc w:val="center"/>
            </w:pPr>
            <w:r/>
            <w:r>
              <w:rPr>
                <w:rFonts w:ascii="Times New Roman" w:hAnsi="Times New Roman"/>
                <w:sz w:val="18"/>
              </w:rPr>
              <w:t>Age ≥85</w:t>
            </w:r>
          </w:p>
        </w:tc>
        <w:tc>
          <w:tcPr>
            <w:tcW w:type="dxa" w:w="3120"/>
          </w:tcPr>
          <w:p>
            <w:pPr>
              <w:jc w:val="center"/>
            </w:pPr>
            <w:r/>
            <w:r>
              <w:rPr>
                <w:rFonts w:ascii="Times New Roman" w:hAnsi="Times New Roman"/>
                <w:sz w:val="18"/>
              </w:rPr>
              <w:t>2.64 (2.44–2.85)*</w:t>
            </w:r>
          </w:p>
        </w:tc>
        <w:tc>
          <w:tcPr>
            <w:tcW w:type="dxa" w:w="3120"/>
          </w:tcPr>
          <w:p>
            <w:pPr>
              <w:jc w:val="center"/>
            </w:pPr>
            <w:r/>
            <w:r>
              <w:rPr>
                <w:rFonts w:ascii="Times New Roman" w:hAnsi="Times New Roman"/>
                <w:sz w:val="18"/>
              </w:rPr>
              <w:t>2.33 (2.22–2.46)*</w:t>
            </w:r>
          </w:p>
        </w:tc>
      </w:tr>
      <w:tr>
        <w:tc>
          <w:tcPr>
            <w:tcW w:type="dxa" w:w="3120"/>
          </w:tcPr>
          <w:p>
            <w:pPr>
              <w:jc w:val="center"/>
            </w:pPr>
            <w:r/>
            <w:r>
              <w:rPr>
                <w:rFonts w:ascii="Times New Roman" w:hAnsi="Times New Roman"/>
                <w:sz w:val="18"/>
              </w:rPr>
              <w:t>CCI (per point)</w:t>
            </w:r>
          </w:p>
        </w:tc>
        <w:tc>
          <w:tcPr>
            <w:tcW w:type="dxa" w:w="3120"/>
          </w:tcPr>
          <w:p>
            <w:pPr>
              <w:jc w:val="center"/>
            </w:pPr>
            <w:r/>
            <w:r>
              <w:rPr>
                <w:rFonts w:ascii="Times New Roman" w:hAnsi="Times New Roman"/>
                <w:sz w:val="18"/>
              </w:rPr>
              <w:t>1.24 (1.22–1.27)*</w:t>
            </w:r>
          </w:p>
        </w:tc>
        <w:tc>
          <w:tcPr>
            <w:tcW w:type="dxa" w:w="3120"/>
          </w:tcPr>
          <w:p>
            <w:pPr>
              <w:jc w:val="center"/>
            </w:pPr>
            <w:r/>
            <w:r>
              <w:rPr>
                <w:rFonts w:ascii="Times New Roman" w:hAnsi="Times New Roman"/>
                <w:sz w:val="18"/>
              </w:rPr>
              <w:t>1.26 (1.25–1.28)*</w:t>
            </w:r>
          </w:p>
        </w:tc>
      </w:tr>
      <w:tr>
        <w:tc>
          <w:tcPr>
            <w:tcW w:type="dxa" w:w="3120"/>
          </w:tcPr>
          <w:p>
            <w:pPr>
              <w:jc w:val="center"/>
            </w:pPr>
            <w:r/>
            <w:r>
              <w:rPr>
                <w:rFonts w:ascii="Times New Roman" w:hAnsi="Times New Roman"/>
                <w:sz w:val="18"/>
              </w:rPr>
              <w:t>Male sex</w:t>
            </w:r>
          </w:p>
        </w:tc>
        <w:tc>
          <w:tcPr>
            <w:tcW w:type="dxa" w:w="3120"/>
          </w:tcPr>
          <w:p>
            <w:pPr>
              <w:jc w:val="center"/>
            </w:pPr>
            <w:r/>
            <w:r>
              <w:rPr>
                <w:rFonts w:ascii="Times New Roman" w:hAnsi="Times New Roman"/>
                <w:sz w:val="18"/>
              </w:rPr>
              <w:t>1.01 (0.94–1.09)</w:t>
            </w:r>
          </w:p>
        </w:tc>
        <w:tc>
          <w:tcPr>
            <w:tcW w:type="dxa" w:w="3120"/>
          </w:tcPr>
          <w:p>
            <w:pPr>
              <w:jc w:val="center"/>
            </w:pPr>
            <w:r/>
            <w:r>
              <w:rPr>
                <w:rFonts w:ascii="Times New Roman" w:hAnsi="Times New Roman"/>
                <w:sz w:val="18"/>
              </w:rPr>
              <w:t>1.03 (0.98–1.09)</w:t>
            </w:r>
          </w:p>
        </w:tc>
      </w:tr>
      <w:tr>
        <w:tc>
          <w:tcPr>
            <w:tcW w:type="dxa" w:w="3120"/>
          </w:tcPr>
          <w:p>
            <w:pPr>
              <w:jc w:val="center"/>
            </w:pPr>
            <w:r/>
            <w:r>
              <w:rPr>
                <w:rFonts w:ascii="Times New Roman" w:hAnsi="Times New Roman"/>
                <w:sz w:val="18"/>
              </w:rPr>
              <w:t>Aspirin use</w:t>
            </w:r>
          </w:p>
        </w:tc>
        <w:tc>
          <w:tcPr>
            <w:tcW w:type="dxa" w:w="3120"/>
          </w:tcPr>
          <w:p>
            <w:pPr>
              <w:jc w:val="center"/>
            </w:pPr>
            <w:r/>
            <w:r>
              <w:rPr>
                <w:rFonts w:ascii="Times New Roman" w:hAnsi="Times New Roman"/>
                <w:sz w:val="18"/>
              </w:rPr>
              <w:t>0.52 (0.46–0.59)*</w:t>
            </w:r>
          </w:p>
        </w:tc>
        <w:tc>
          <w:tcPr>
            <w:tcW w:type="dxa" w:w="3120"/>
          </w:tcPr>
          <w:p>
            <w:pPr>
              <w:jc w:val="center"/>
            </w:pPr>
            <w:r/>
            <w:r>
              <w:rPr>
                <w:rFonts w:ascii="Times New Roman" w:hAnsi="Times New Roman"/>
                <w:sz w:val="18"/>
              </w:rPr>
              <w:t>0.53 (0.49–0.58)*</w:t>
            </w:r>
          </w:p>
        </w:tc>
      </w:tr>
    </w:tbl>
    <w:p/>
    <w:p>
      <w:pPr>
        <w:spacing w:after="120"/>
      </w:pPr>
      <w:r>
        <w:rPr>
          <w:rFonts w:ascii="Times New Roman" w:hAnsi="Times New Roman"/>
          <w:i/>
          <w:sz w:val="18"/>
        </w:rPr>
        <w:t>*p&lt;0.001. N=96,446; 30-day events=6,221; 7-day events=2,793.</w:t>
      </w:r>
    </w:p>
    <w:p>
      <w:pPr>
        <w:jc w:val="center"/>
      </w:pPr>
      <w:r>
        <w:drawing>
          <wp:inline xmlns:a="http://schemas.openxmlformats.org/drawingml/2006/main" xmlns:pic="http://schemas.openxmlformats.org/drawingml/2006/picture">
            <wp:extent cx="5029200" cy="3752753"/>
            <wp:docPr id="1" name="Picture 1"/>
            <wp:cNvGraphicFramePr>
              <a:graphicFrameLocks noChangeAspect="1"/>
            </wp:cNvGraphicFramePr>
            <a:graphic>
              <a:graphicData uri="http://schemas.openxmlformats.org/drawingml/2006/picture">
                <pic:pic>
                  <pic:nvPicPr>
                    <pic:cNvPr id="0" name="Figure1_KM_30day.png"/>
                    <pic:cNvPicPr/>
                  </pic:nvPicPr>
                  <pic:blipFill>
                    <a:blip r:embed="rId9"/>
                    <a:stretch>
                      <a:fillRect/>
                    </a:stretch>
                  </pic:blipFill>
                  <pic:spPr>
                    <a:xfrm>
                      <a:off x="0" y="0"/>
                      <a:ext cx="5029200" cy="3752753"/>
                    </a:xfrm>
                    <a:prstGeom prst="rect"/>
                  </pic:spPr>
                </pic:pic>
              </a:graphicData>
            </a:graphic>
          </wp:inline>
        </w:drawing>
      </w:r>
    </w:p>
    <w:p>
      <w:pPr>
        <w:spacing w:after="240"/>
      </w:pPr>
      <w:r>
        <w:rPr>
          <w:rFonts w:ascii="Times New Roman" w:hAnsi="Times New Roman"/>
          <w:i/>
          <w:sz w:val="20"/>
        </w:rPr>
        <w:t>Figure 1. Kaplan–Meier 30-day survival curves comparing PPI-treated (n=35,703) versus non-PPI (n=71,044) groups.</w:t>
      </w:r>
    </w:p>
    <w:p/>
    <w:p>
      <w:pPr>
        <w:jc w:val="center"/>
      </w:pPr>
      <w:r>
        <w:drawing>
          <wp:inline xmlns:a="http://schemas.openxmlformats.org/drawingml/2006/main" xmlns:pic="http://schemas.openxmlformats.org/drawingml/2006/picture">
            <wp:extent cx="5029200" cy="2162631"/>
            <wp:docPr id="2" name="Picture 2"/>
            <wp:cNvGraphicFramePr>
              <a:graphicFrameLocks noChangeAspect="1"/>
            </wp:cNvGraphicFramePr>
            <a:graphic>
              <a:graphicData uri="http://schemas.openxmlformats.org/drawingml/2006/picture">
                <pic:pic>
                  <pic:nvPicPr>
                    <pic:cNvPr id="0" name="Figure2_Forest_Infections.png"/>
                    <pic:cNvPicPr/>
                  </pic:nvPicPr>
                  <pic:blipFill>
                    <a:blip r:embed="rId10"/>
                    <a:stretch>
                      <a:fillRect/>
                    </a:stretch>
                  </pic:blipFill>
                  <pic:spPr>
                    <a:xfrm>
                      <a:off x="0" y="0"/>
                      <a:ext cx="5029200" cy="2162631"/>
                    </a:xfrm>
                    <a:prstGeom prst="rect"/>
                  </pic:spPr>
                </pic:pic>
              </a:graphicData>
            </a:graphic>
          </wp:inline>
        </w:drawing>
      </w:r>
    </w:p>
    <w:p>
      <w:pPr>
        <w:spacing w:after="240"/>
      </w:pPr>
      <w:r>
        <w:rPr>
          <w:rFonts w:ascii="Times New Roman" w:hAnsi="Times New Roman"/>
          <w:i/>
          <w:sz w:val="20"/>
        </w:rPr>
        <w:t>Figure 2. Forest plot of adjusted odds ratios for PPI use and hospital-acquired complications.</w:t>
      </w:r>
    </w:p>
    <w:p/>
    <w:p>
      <w:pPr>
        <w:pStyle w:val="Heading2"/>
      </w:pPr>
      <w:r>
        <w:rPr>
          <w:rFonts w:ascii="Times New Roman" w:hAnsi="Times New Roman"/>
          <w:color w:val="000000"/>
        </w:rPr>
        <w:t>3.5 Subgroup Analyses</w:t>
      </w:r>
    </w:p>
    <w:p>
      <w:pPr>
        <w:spacing w:after="120" w:line="480" w:lineRule="auto"/>
      </w:pPr>
      <w:r>
        <w:rPr>
          <w:rFonts w:ascii="Times New Roman" w:hAnsi="Times New Roman"/>
          <w:b w:val="0"/>
          <w:i w:val="0"/>
          <w:sz w:val="24"/>
        </w:rPr>
        <w:t>After stratification by age, findings remained consistent across both strata. In patients aged 75–84 years, PPI use was associated with increased pneumonia (aOR 2.15, p &lt; 0.001) and CDI (aOR 3.52, p &lt; 0.001). In patients aged ≥85 years, PPI use was similarly associated with pneumonia (aOR 2.31, p &lt; 0.001) and CDI (aOR 3.38, p &lt; 0.001). The inverse association with 30-day mortality was observed in both subgroups.</w:t>
      </w:r>
    </w:p>
    <w:p>
      <w:pPr>
        <w:pStyle w:val="Heading2"/>
      </w:pPr>
      <w:r>
        <w:rPr>
          <w:rFonts w:ascii="Times New Roman" w:hAnsi="Times New Roman"/>
          <w:color w:val="000000"/>
        </w:rPr>
        <w:t>3.6 Propensity Score–Matched Analysis</w:t>
      </w:r>
    </w:p>
    <w:p>
      <w:pPr>
        <w:spacing w:after="120" w:line="480" w:lineRule="auto"/>
      </w:pPr>
      <w:r>
        <w:rPr>
          <w:rFonts w:ascii="Times New Roman" w:hAnsi="Times New Roman"/>
          <w:b w:val="0"/>
          <w:i w:val="0"/>
          <w:sz w:val="24"/>
        </w:rPr>
        <w:t>All seven covariates in the propensity score model were significant predictors of PPI use (all p &lt; 0.001). The strongest predictors were statin use (coefficient 1.14), aspirin use (0.73), and hypertension (0.65). Propensity scores ranged from 0.10 to 0.94, indicating adequate overlap between groups.</w:t>
      </w:r>
    </w:p>
    <w:p>
      <w:pPr>
        <w:spacing w:after="120" w:line="480" w:lineRule="auto"/>
      </w:pPr>
      <w:r>
        <w:rPr>
          <w:rFonts w:ascii="Times New Roman" w:hAnsi="Times New Roman"/>
          <w:b w:val="0"/>
          <w:i w:val="0"/>
          <w:sz w:val="24"/>
        </w:rPr>
        <w:t>One-to-one nearest-neighbor matching within a caliper of 0.2 standard deviations of the logit propensity score yielded 28,279 matched pairs (56,558 patients). Approximately 20.7% of PPI users (7,369) could not be matched within the caliper. After matching, all covariates achieved excellent balance with |SMD| &lt; 0.1 (Table 6, Figure 5).</w:t>
      </w:r>
    </w:p>
    <w:p>
      <w:pPr>
        <w:spacing w:after="120" w:line="480" w:lineRule="auto"/>
      </w:pPr>
      <w:r>
        <w:rPr>
          <w:rFonts w:ascii="Times New Roman" w:hAnsi="Times New Roman"/>
          <w:b/>
          <w:i w:val="0"/>
          <w:sz w:val="24"/>
        </w:rPr>
        <w:t>Table 6. Covariate Balance Before and After Propensity Score Matching.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sz w:val="18"/>
              </w:rPr>
              <w:t>Covariate</w:t>
            </w:r>
          </w:p>
        </w:tc>
        <w:tc>
          <w:tcPr>
            <w:tcW w:type="dxa" w:w="2340"/>
            <w:shd w:fill="D9D9D9" w:val="clear"/>
          </w:tcPr>
          <w:p>
            <w:pPr>
              <w:jc w:val="center"/>
            </w:pPr>
            <w:r/>
            <w:r>
              <w:rPr>
                <w:rFonts w:ascii="Times New Roman" w:hAnsi="Times New Roman"/>
                <w:b/>
                <w:sz w:val="18"/>
              </w:rPr>
              <w:t>SMD Before</w:t>
            </w:r>
          </w:p>
        </w:tc>
        <w:tc>
          <w:tcPr>
            <w:tcW w:type="dxa" w:w="2340"/>
            <w:shd w:fill="D9D9D9" w:val="clear"/>
          </w:tcPr>
          <w:p>
            <w:pPr>
              <w:jc w:val="center"/>
            </w:pPr>
            <w:r/>
            <w:r>
              <w:rPr>
                <w:rFonts w:ascii="Times New Roman" w:hAnsi="Times New Roman"/>
                <w:b/>
                <w:sz w:val="18"/>
              </w:rPr>
              <w:t>SMD After</w:t>
            </w:r>
          </w:p>
        </w:tc>
        <w:tc>
          <w:tcPr>
            <w:tcW w:type="dxa" w:w="2340"/>
            <w:shd w:fill="D9D9D9" w:val="clear"/>
          </w:tcPr>
          <w:p>
            <w:pPr>
              <w:jc w:val="center"/>
            </w:pPr>
            <w:r/>
            <w:r>
              <w:rPr>
                <w:rFonts w:ascii="Times New Roman" w:hAnsi="Times New Roman"/>
                <w:b/>
                <w:sz w:val="18"/>
              </w:rPr>
              <w:t>Reduction</w:t>
            </w:r>
          </w:p>
        </w:tc>
      </w:tr>
      <w:tr>
        <w:tc>
          <w:tcPr>
            <w:tcW w:type="dxa" w:w="2340"/>
          </w:tcPr>
          <w:p>
            <w:pPr>
              <w:jc w:val="center"/>
            </w:pPr>
            <w:r/>
            <w:r>
              <w:rPr>
                <w:rFonts w:ascii="Times New Roman" w:hAnsi="Times New Roman"/>
                <w:sz w:val="18"/>
              </w:rPr>
              <w:t>Statin use</w:t>
            </w:r>
          </w:p>
        </w:tc>
        <w:tc>
          <w:tcPr>
            <w:tcW w:type="dxa" w:w="2340"/>
          </w:tcPr>
          <w:p>
            <w:pPr>
              <w:jc w:val="center"/>
            </w:pPr>
            <w:r/>
            <w:r>
              <w:rPr>
                <w:rFonts w:ascii="Times New Roman" w:hAnsi="Times New Roman"/>
                <w:sz w:val="18"/>
              </w:rPr>
              <w:t>0.785</w:t>
            </w:r>
          </w:p>
        </w:tc>
        <w:tc>
          <w:tcPr>
            <w:tcW w:type="dxa" w:w="2340"/>
          </w:tcPr>
          <w:p>
            <w:pPr>
              <w:jc w:val="center"/>
            </w:pPr>
            <w:r/>
            <w:r>
              <w:rPr>
                <w:rFonts w:ascii="Times New Roman" w:hAnsi="Times New Roman"/>
                <w:sz w:val="18"/>
              </w:rPr>
              <w:t>0.008</w:t>
            </w:r>
          </w:p>
        </w:tc>
        <w:tc>
          <w:tcPr>
            <w:tcW w:type="dxa" w:w="2340"/>
          </w:tcPr>
          <w:p>
            <w:pPr>
              <w:jc w:val="center"/>
            </w:pPr>
            <w:r/>
            <w:r>
              <w:rPr>
                <w:rFonts w:ascii="Times New Roman" w:hAnsi="Times New Roman"/>
                <w:sz w:val="18"/>
              </w:rPr>
              <w:t>99.0%</w:t>
            </w:r>
          </w:p>
        </w:tc>
      </w:tr>
      <w:tr>
        <w:tc>
          <w:tcPr>
            <w:tcW w:type="dxa" w:w="2340"/>
          </w:tcPr>
          <w:p>
            <w:pPr>
              <w:jc w:val="center"/>
            </w:pPr>
            <w:r/>
            <w:r>
              <w:rPr>
                <w:rFonts w:ascii="Times New Roman" w:hAnsi="Times New Roman"/>
                <w:sz w:val="18"/>
              </w:rPr>
              <w:t>Hypertension</w:t>
            </w:r>
          </w:p>
        </w:tc>
        <w:tc>
          <w:tcPr>
            <w:tcW w:type="dxa" w:w="2340"/>
          </w:tcPr>
          <w:p>
            <w:pPr>
              <w:jc w:val="center"/>
            </w:pPr>
            <w:r/>
            <w:r>
              <w:rPr>
                <w:rFonts w:ascii="Times New Roman" w:hAnsi="Times New Roman"/>
                <w:sz w:val="18"/>
              </w:rPr>
              <w:t>0.546</w:t>
            </w:r>
          </w:p>
        </w:tc>
        <w:tc>
          <w:tcPr>
            <w:tcW w:type="dxa" w:w="2340"/>
          </w:tcPr>
          <w:p>
            <w:pPr>
              <w:jc w:val="center"/>
            </w:pPr>
            <w:r/>
            <w:r>
              <w:rPr>
                <w:rFonts w:ascii="Times New Roman" w:hAnsi="Times New Roman"/>
                <w:sz w:val="18"/>
              </w:rPr>
              <w:t>−0.047</w:t>
            </w:r>
          </w:p>
        </w:tc>
        <w:tc>
          <w:tcPr>
            <w:tcW w:type="dxa" w:w="2340"/>
          </w:tcPr>
          <w:p>
            <w:pPr>
              <w:jc w:val="center"/>
            </w:pPr>
            <w:r/>
            <w:r>
              <w:rPr>
                <w:rFonts w:ascii="Times New Roman" w:hAnsi="Times New Roman"/>
                <w:sz w:val="18"/>
              </w:rPr>
              <w:t>91.4%</w:t>
            </w:r>
          </w:p>
        </w:tc>
      </w:tr>
      <w:tr>
        <w:tc>
          <w:tcPr>
            <w:tcW w:type="dxa" w:w="2340"/>
          </w:tcPr>
          <w:p>
            <w:pPr>
              <w:jc w:val="center"/>
            </w:pPr>
            <w:r/>
            <w:r>
              <w:rPr>
                <w:rFonts w:ascii="Times New Roman" w:hAnsi="Times New Roman"/>
                <w:sz w:val="18"/>
              </w:rPr>
              <w:t>Aspirin use</w:t>
            </w:r>
          </w:p>
        </w:tc>
        <w:tc>
          <w:tcPr>
            <w:tcW w:type="dxa" w:w="2340"/>
          </w:tcPr>
          <w:p>
            <w:pPr>
              <w:jc w:val="center"/>
            </w:pPr>
            <w:r/>
            <w:r>
              <w:rPr>
                <w:rFonts w:ascii="Times New Roman" w:hAnsi="Times New Roman"/>
                <w:sz w:val="18"/>
              </w:rPr>
              <w:t>0.527</w:t>
            </w:r>
          </w:p>
        </w:tc>
        <w:tc>
          <w:tcPr>
            <w:tcW w:type="dxa" w:w="2340"/>
          </w:tcPr>
          <w:p>
            <w:pPr>
              <w:jc w:val="center"/>
            </w:pPr>
            <w:r/>
            <w:r>
              <w:rPr>
                <w:rFonts w:ascii="Times New Roman" w:hAnsi="Times New Roman"/>
                <w:sz w:val="18"/>
              </w:rPr>
              <w:t>0.040</w:t>
            </w:r>
          </w:p>
        </w:tc>
        <w:tc>
          <w:tcPr>
            <w:tcW w:type="dxa" w:w="2340"/>
          </w:tcPr>
          <w:p>
            <w:pPr>
              <w:jc w:val="center"/>
            </w:pPr>
            <w:r/>
            <w:r>
              <w:rPr>
                <w:rFonts w:ascii="Times New Roman" w:hAnsi="Times New Roman"/>
                <w:sz w:val="18"/>
              </w:rPr>
              <w:t>92.4%</w:t>
            </w:r>
          </w:p>
        </w:tc>
      </w:tr>
      <w:tr>
        <w:tc>
          <w:tcPr>
            <w:tcW w:type="dxa" w:w="2340"/>
          </w:tcPr>
          <w:p>
            <w:pPr>
              <w:jc w:val="center"/>
            </w:pPr>
            <w:r/>
            <w:r>
              <w:rPr>
                <w:rFonts w:ascii="Times New Roman" w:hAnsi="Times New Roman"/>
                <w:sz w:val="18"/>
              </w:rPr>
              <w:t>Stroke history</w:t>
            </w:r>
          </w:p>
        </w:tc>
        <w:tc>
          <w:tcPr>
            <w:tcW w:type="dxa" w:w="2340"/>
          </w:tcPr>
          <w:p>
            <w:pPr>
              <w:jc w:val="center"/>
            </w:pPr>
            <w:r/>
            <w:r>
              <w:rPr>
                <w:rFonts w:ascii="Times New Roman" w:hAnsi="Times New Roman"/>
                <w:sz w:val="18"/>
              </w:rPr>
              <w:t>0.283</w:t>
            </w:r>
          </w:p>
        </w:tc>
        <w:tc>
          <w:tcPr>
            <w:tcW w:type="dxa" w:w="2340"/>
          </w:tcPr>
          <w:p>
            <w:pPr>
              <w:jc w:val="center"/>
            </w:pPr>
            <w:r/>
            <w:r>
              <w:rPr>
                <w:rFonts w:ascii="Times New Roman" w:hAnsi="Times New Roman"/>
                <w:sz w:val="18"/>
              </w:rPr>
              <w:t>0.005</w:t>
            </w:r>
          </w:p>
        </w:tc>
        <w:tc>
          <w:tcPr>
            <w:tcW w:type="dxa" w:w="2340"/>
          </w:tcPr>
          <w:p>
            <w:pPr>
              <w:jc w:val="center"/>
            </w:pPr>
            <w:r/>
            <w:r>
              <w:rPr>
                <w:rFonts w:ascii="Times New Roman" w:hAnsi="Times New Roman"/>
                <w:sz w:val="18"/>
              </w:rPr>
              <w:t>98.2%</w:t>
            </w:r>
          </w:p>
        </w:tc>
      </w:tr>
      <w:tr>
        <w:tc>
          <w:tcPr>
            <w:tcW w:type="dxa" w:w="2340"/>
          </w:tcPr>
          <w:p>
            <w:pPr>
              <w:jc w:val="center"/>
            </w:pPr>
            <w:r/>
            <w:r>
              <w:rPr>
                <w:rFonts w:ascii="Times New Roman" w:hAnsi="Times New Roman"/>
                <w:sz w:val="18"/>
              </w:rPr>
              <w:t>CCI</w:t>
            </w:r>
          </w:p>
        </w:tc>
        <w:tc>
          <w:tcPr>
            <w:tcW w:type="dxa" w:w="2340"/>
          </w:tcPr>
          <w:p>
            <w:pPr>
              <w:jc w:val="center"/>
            </w:pPr>
            <w:r/>
            <w:r>
              <w:rPr>
                <w:rFonts w:ascii="Times New Roman" w:hAnsi="Times New Roman"/>
                <w:sz w:val="18"/>
              </w:rPr>
              <w:t>0.220</w:t>
            </w:r>
          </w:p>
        </w:tc>
        <w:tc>
          <w:tcPr>
            <w:tcW w:type="dxa" w:w="2340"/>
          </w:tcPr>
          <w:p>
            <w:pPr>
              <w:jc w:val="center"/>
            </w:pPr>
            <w:r/>
            <w:r>
              <w:rPr>
                <w:rFonts w:ascii="Times New Roman" w:hAnsi="Times New Roman"/>
                <w:sz w:val="18"/>
              </w:rPr>
              <w:t>−0.026</w:t>
            </w:r>
          </w:p>
        </w:tc>
        <w:tc>
          <w:tcPr>
            <w:tcW w:type="dxa" w:w="2340"/>
          </w:tcPr>
          <w:p>
            <w:pPr>
              <w:jc w:val="center"/>
            </w:pPr>
            <w:r/>
            <w:r>
              <w:rPr>
                <w:rFonts w:ascii="Times New Roman" w:hAnsi="Times New Roman"/>
                <w:sz w:val="18"/>
              </w:rPr>
              <w:t>88.2%</w:t>
            </w:r>
          </w:p>
        </w:tc>
      </w:tr>
      <w:tr>
        <w:tc>
          <w:tcPr>
            <w:tcW w:type="dxa" w:w="2340"/>
          </w:tcPr>
          <w:p>
            <w:pPr>
              <w:jc w:val="center"/>
            </w:pPr>
            <w:r/>
            <w:r>
              <w:rPr>
                <w:rFonts w:ascii="Times New Roman" w:hAnsi="Times New Roman"/>
                <w:sz w:val="18"/>
              </w:rPr>
              <w:t>Age (years)</w:t>
            </w:r>
          </w:p>
        </w:tc>
        <w:tc>
          <w:tcPr>
            <w:tcW w:type="dxa" w:w="2340"/>
          </w:tcPr>
          <w:p>
            <w:pPr>
              <w:jc w:val="center"/>
            </w:pPr>
            <w:r/>
            <w:r>
              <w:rPr>
                <w:rFonts w:ascii="Times New Roman" w:hAnsi="Times New Roman"/>
                <w:sz w:val="18"/>
              </w:rPr>
              <w:t>−0.148</w:t>
            </w:r>
          </w:p>
        </w:tc>
        <w:tc>
          <w:tcPr>
            <w:tcW w:type="dxa" w:w="2340"/>
          </w:tcPr>
          <w:p>
            <w:pPr>
              <w:jc w:val="center"/>
            </w:pPr>
            <w:r/>
            <w:r>
              <w:rPr>
                <w:rFonts w:ascii="Times New Roman" w:hAnsi="Times New Roman"/>
                <w:sz w:val="18"/>
              </w:rPr>
              <w:t>−0.009</w:t>
            </w:r>
          </w:p>
        </w:tc>
        <w:tc>
          <w:tcPr>
            <w:tcW w:type="dxa" w:w="2340"/>
          </w:tcPr>
          <w:p>
            <w:pPr>
              <w:jc w:val="center"/>
            </w:pPr>
            <w:r/>
            <w:r>
              <w:rPr>
                <w:rFonts w:ascii="Times New Roman" w:hAnsi="Times New Roman"/>
                <w:sz w:val="18"/>
              </w:rPr>
              <w:t>93.9%</w:t>
            </w:r>
          </w:p>
        </w:tc>
      </w:tr>
      <w:tr>
        <w:tc>
          <w:tcPr>
            <w:tcW w:type="dxa" w:w="2340"/>
          </w:tcPr>
          <w:p>
            <w:pPr>
              <w:jc w:val="center"/>
            </w:pPr>
            <w:r/>
            <w:r>
              <w:rPr>
                <w:rFonts w:ascii="Times New Roman" w:hAnsi="Times New Roman"/>
                <w:sz w:val="18"/>
              </w:rPr>
              <w:t>Male sex</w:t>
            </w:r>
          </w:p>
        </w:tc>
        <w:tc>
          <w:tcPr>
            <w:tcW w:type="dxa" w:w="2340"/>
          </w:tcPr>
          <w:p>
            <w:pPr>
              <w:jc w:val="center"/>
            </w:pPr>
            <w:r/>
            <w:r>
              <w:rPr>
                <w:rFonts w:ascii="Times New Roman" w:hAnsi="Times New Roman"/>
                <w:sz w:val="18"/>
              </w:rPr>
              <w:t>−0.033</w:t>
            </w:r>
          </w:p>
        </w:tc>
        <w:tc>
          <w:tcPr>
            <w:tcW w:type="dxa" w:w="2340"/>
          </w:tcPr>
          <w:p>
            <w:pPr>
              <w:jc w:val="center"/>
            </w:pPr>
            <w:r/>
            <w:r>
              <w:rPr>
                <w:rFonts w:ascii="Times New Roman" w:hAnsi="Times New Roman"/>
                <w:sz w:val="18"/>
              </w:rPr>
              <w:t>0.003</w:t>
            </w:r>
          </w:p>
        </w:tc>
        <w:tc>
          <w:tcPr>
            <w:tcW w:type="dxa" w:w="2340"/>
          </w:tcPr>
          <w:p>
            <w:pPr>
              <w:jc w:val="center"/>
            </w:pPr>
            <w:r/>
            <w:r>
              <w:rPr>
                <w:rFonts w:ascii="Times New Roman" w:hAnsi="Times New Roman"/>
                <w:sz w:val="18"/>
              </w:rPr>
              <w:t>90.9%</w:t>
            </w:r>
          </w:p>
        </w:tc>
      </w:tr>
    </w:tbl>
    <w:p/>
    <w:p>
      <w:pPr>
        <w:spacing w:after="120"/>
      </w:pPr>
      <w:r>
        <w:rPr>
          <w:rFonts w:ascii="Times New Roman" w:hAnsi="Times New Roman"/>
          <w:i/>
          <w:sz w:val="18"/>
        </w:rPr>
        <w:t>SMD = standardized mean difference. |SMD| &lt; 0.1 indicates adequate balance. 28,279 matched pairs.</w:t>
      </w:r>
    </w:p>
    <w:p>
      <w:pPr>
        <w:jc w:val="center"/>
      </w:pPr>
      <w:r>
        <w:drawing>
          <wp:inline xmlns:a="http://schemas.openxmlformats.org/drawingml/2006/main" xmlns:pic="http://schemas.openxmlformats.org/drawingml/2006/picture">
            <wp:extent cx="5029200" cy="3092620"/>
            <wp:docPr id="3" name="Picture 3"/>
            <wp:cNvGraphicFramePr>
              <a:graphicFrameLocks noChangeAspect="1"/>
            </wp:cNvGraphicFramePr>
            <a:graphic>
              <a:graphicData uri="http://schemas.openxmlformats.org/drawingml/2006/picture">
                <pic:pic>
                  <pic:nvPicPr>
                    <pic:cNvPr id="0" name="Figure5_LovePlot.png"/>
                    <pic:cNvPicPr/>
                  </pic:nvPicPr>
                  <pic:blipFill>
                    <a:blip r:embed="rId11"/>
                    <a:stretch>
                      <a:fillRect/>
                    </a:stretch>
                  </pic:blipFill>
                  <pic:spPr>
                    <a:xfrm>
                      <a:off x="0" y="0"/>
                      <a:ext cx="5029200" cy="3092620"/>
                    </a:xfrm>
                    <a:prstGeom prst="rect"/>
                  </pic:spPr>
                </pic:pic>
              </a:graphicData>
            </a:graphic>
          </wp:inline>
        </w:drawing>
      </w:r>
    </w:p>
    <w:p>
      <w:pPr>
        <w:spacing w:after="240"/>
      </w:pPr>
      <w:r>
        <w:rPr>
          <w:rFonts w:ascii="Times New Roman" w:hAnsi="Times New Roman"/>
          <w:i/>
          <w:sz w:val="20"/>
        </w:rPr>
        <w:t>Figure 5. Love plot showing absolute SMDs before (red) and after (blue) propensity score matching. Dashed line = 0.1 threshold.</w:t>
      </w:r>
    </w:p>
    <w:p/>
    <w:p>
      <w:pPr>
        <w:jc w:val="center"/>
      </w:pPr>
      <w:r>
        <w:drawing>
          <wp:inline xmlns:a="http://schemas.openxmlformats.org/drawingml/2006/main" xmlns:pic="http://schemas.openxmlformats.org/drawingml/2006/picture">
            <wp:extent cx="5029200" cy="2178944"/>
            <wp:docPr id="4" name="Picture 4"/>
            <wp:cNvGraphicFramePr>
              <a:graphicFrameLocks noChangeAspect="1"/>
            </wp:cNvGraphicFramePr>
            <a:graphic>
              <a:graphicData uri="http://schemas.openxmlformats.org/drawingml/2006/picture">
                <pic:pic>
                  <pic:nvPicPr>
                    <pic:cNvPr id="0" name="Figure6_PS_Distribution.png"/>
                    <pic:cNvPicPr/>
                  </pic:nvPicPr>
                  <pic:blipFill>
                    <a:blip r:embed="rId12"/>
                    <a:stretch>
                      <a:fillRect/>
                    </a:stretch>
                  </pic:blipFill>
                  <pic:spPr>
                    <a:xfrm>
                      <a:off x="0" y="0"/>
                      <a:ext cx="5029200" cy="2178944"/>
                    </a:xfrm>
                    <a:prstGeom prst="rect"/>
                  </pic:spPr>
                </pic:pic>
              </a:graphicData>
            </a:graphic>
          </wp:inline>
        </w:drawing>
      </w:r>
    </w:p>
    <w:p>
      <w:pPr>
        <w:spacing w:after="240"/>
      </w:pPr>
      <w:r>
        <w:rPr>
          <w:rFonts w:ascii="Times New Roman" w:hAnsi="Times New Roman"/>
          <w:i/>
          <w:sz w:val="20"/>
        </w:rPr>
        <w:t>Figure 6. Propensity score distribution for PPI users and non-users before and after matching.</w:t>
      </w:r>
    </w:p>
    <w:p/>
    <w:p>
      <w:pPr>
        <w:spacing w:after="120" w:line="480" w:lineRule="auto"/>
      </w:pPr>
      <w:r>
        <w:rPr>
          <w:rFonts w:ascii="Times New Roman" w:hAnsi="Times New Roman"/>
          <w:b w:val="0"/>
          <w:i w:val="0"/>
          <w:sz w:val="24"/>
        </w:rPr>
        <w:t>In doubly robust logistic regression on the matched cohort (Table 7), PPI use remained independently associated with pneumonia (aOR 1.76, 95% CI 1.69–1.83, p &lt; 0.001), CDI (aOR 2.37, 95% CI 1.95–2.89, p &lt; 0.001), and fever (aOR 1.76, 95% CI 1.67–1.85, p &lt; 0.001). High-dose PPI remained significantly associated with CDI (aOR 1.63, 95% CI 1.21–2.20, p = 0.002) and fever (aOR 1.35, 95% CI 1.22–1.50, p &lt; 0.001).</w:t>
      </w:r>
    </w:p>
    <w:p>
      <w:pPr>
        <w:spacing w:after="120" w:line="480" w:lineRule="auto"/>
      </w:pPr>
      <w:r>
        <w:rPr>
          <w:rFonts w:ascii="Times New Roman" w:hAnsi="Times New Roman"/>
          <w:b w:val="0"/>
          <w:i w:val="0"/>
          <w:sz w:val="24"/>
        </w:rPr>
        <w:t>In the matched Cox proportional hazards model with cluster-robust standard errors, PPI use remained associated with lower 30-day mortality (adjusted HR 0.72, 95% CI 0.67–0.77, p &lt; 0.001) and 7-day mortality (adjusted HR 0.59, 95% CI 0.52–0.66, p &lt; 0.001) (Figure 7). Aspirin use also retained its inverse association with 30-day mortality (HR 0.64, 95% CI 0.58–0.70, p &lt; 0.001).</w:t>
      </w:r>
    </w:p>
    <w:p>
      <w:pPr>
        <w:spacing w:after="120" w:line="480" w:lineRule="auto"/>
      </w:pPr>
      <w:r>
        <w:rPr>
          <w:rFonts w:ascii="Times New Roman" w:hAnsi="Times New Roman"/>
          <w:b/>
          <w:i w:val="0"/>
          <w:sz w:val="24"/>
        </w:rPr>
        <w:t>Table 7. Propensity Score–Matched Cohort: Adjusted Outcome Estimates.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val="clear"/>
          </w:tcPr>
          <w:p>
            <w:pPr>
              <w:jc w:val="center"/>
            </w:pPr>
            <w:r/>
            <w:r>
              <w:rPr>
                <w:rFonts w:ascii="Times New Roman" w:hAnsi="Times New Roman"/>
                <w:b/>
                <w:sz w:val="18"/>
              </w:rPr>
              <w:t>Outcome</w:t>
            </w:r>
          </w:p>
        </w:tc>
        <w:tc>
          <w:tcPr>
            <w:tcW w:type="dxa" w:w="1872"/>
            <w:shd w:fill="D9D9D9" w:val="clear"/>
          </w:tcPr>
          <w:p>
            <w:pPr>
              <w:jc w:val="center"/>
            </w:pPr>
            <w:r/>
            <w:r>
              <w:rPr>
                <w:rFonts w:ascii="Times New Roman" w:hAnsi="Times New Roman"/>
                <w:b/>
                <w:sz w:val="18"/>
              </w:rPr>
              <w:t>Method</w:t>
            </w:r>
          </w:p>
        </w:tc>
        <w:tc>
          <w:tcPr>
            <w:tcW w:type="dxa" w:w="1872"/>
            <w:shd w:fill="D9D9D9" w:val="clear"/>
          </w:tcPr>
          <w:p>
            <w:pPr>
              <w:jc w:val="center"/>
            </w:pPr>
            <w:r/>
            <w:r>
              <w:rPr>
                <w:rFonts w:ascii="Times New Roman" w:hAnsi="Times New Roman"/>
                <w:b/>
                <w:sz w:val="18"/>
              </w:rPr>
              <w:t>PPI Estimate (95% CI)</w:t>
            </w:r>
          </w:p>
        </w:tc>
        <w:tc>
          <w:tcPr>
            <w:tcW w:type="dxa" w:w="1872"/>
            <w:shd w:fill="D9D9D9" w:val="clear"/>
          </w:tcPr>
          <w:p>
            <w:pPr>
              <w:jc w:val="center"/>
            </w:pPr>
            <w:r/>
            <w:r>
              <w:rPr>
                <w:rFonts w:ascii="Times New Roman" w:hAnsi="Times New Roman"/>
                <w:b/>
                <w:sz w:val="18"/>
              </w:rPr>
              <w:t>p-value</w:t>
            </w:r>
          </w:p>
        </w:tc>
        <w:tc>
          <w:tcPr>
            <w:tcW w:type="dxa" w:w="1872"/>
            <w:shd w:fill="D9D9D9" w:val="clear"/>
          </w:tcPr>
          <w:p>
            <w:pPr>
              <w:jc w:val="center"/>
            </w:pPr>
            <w:r/>
            <w:r>
              <w:rPr>
                <w:rFonts w:ascii="Times New Roman" w:hAnsi="Times New Roman"/>
                <w:b/>
                <w:sz w:val="18"/>
              </w:rPr>
              <w:t>Unmatched</w:t>
            </w:r>
          </w:p>
        </w:tc>
      </w:tr>
      <w:tr>
        <w:tc>
          <w:tcPr>
            <w:tcW w:type="dxa" w:w="1872"/>
          </w:tcPr>
          <w:p>
            <w:pPr>
              <w:jc w:val="center"/>
            </w:pPr>
            <w:r/>
            <w:r>
              <w:rPr>
                <w:rFonts w:ascii="Times New Roman" w:hAnsi="Times New Roman"/>
                <w:sz w:val="18"/>
              </w:rPr>
              <w:t>Pneumonia</w:t>
            </w:r>
          </w:p>
        </w:tc>
        <w:tc>
          <w:tcPr>
            <w:tcW w:type="dxa" w:w="1872"/>
          </w:tcPr>
          <w:p>
            <w:pPr>
              <w:jc w:val="center"/>
            </w:pPr>
            <w:r/>
            <w:r>
              <w:rPr>
                <w:rFonts w:ascii="Times New Roman" w:hAnsi="Times New Roman"/>
                <w:sz w:val="18"/>
              </w:rPr>
              <w:t>PSM aOR</w:t>
            </w:r>
          </w:p>
        </w:tc>
        <w:tc>
          <w:tcPr>
            <w:tcW w:type="dxa" w:w="1872"/>
          </w:tcPr>
          <w:p>
            <w:pPr>
              <w:jc w:val="center"/>
            </w:pPr>
            <w:r/>
            <w:r>
              <w:rPr>
                <w:rFonts w:ascii="Times New Roman" w:hAnsi="Times New Roman"/>
                <w:sz w:val="18"/>
              </w:rPr>
              <w:t>1.76 (1.69–1.83)</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2.20 (2.13–2.27)</w:t>
            </w:r>
          </w:p>
        </w:tc>
      </w:tr>
      <w:tr>
        <w:tc>
          <w:tcPr>
            <w:tcW w:type="dxa" w:w="1872"/>
          </w:tcPr>
          <w:p>
            <w:pPr>
              <w:jc w:val="center"/>
            </w:pPr>
            <w:r/>
            <w:r>
              <w:rPr>
                <w:rFonts w:ascii="Times New Roman" w:hAnsi="Times New Roman"/>
                <w:sz w:val="18"/>
              </w:rPr>
              <w:t>CDI</w:t>
            </w:r>
          </w:p>
        </w:tc>
        <w:tc>
          <w:tcPr>
            <w:tcW w:type="dxa" w:w="1872"/>
          </w:tcPr>
          <w:p>
            <w:pPr>
              <w:jc w:val="center"/>
            </w:pPr>
            <w:r/>
            <w:r>
              <w:rPr>
                <w:rFonts w:ascii="Times New Roman" w:hAnsi="Times New Roman"/>
                <w:sz w:val="18"/>
              </w:rPr>
              <w:t>PSM aOR</w:t>
            </w:r>
          </w:p>
        </w:tc>
        <w:tc>
          <w:tcPr>
            <w:tcW w:type="dxa" w:w="1872"/>
          </w:tcPr>
          <w:p>
            <w:pPr>
              <w:jc w:val="center"/>
            </w:pPr>
            <w:r/>
            <w:r>
              <w:rPr>
                <w:rFonts w:ascii="Times New Roman" w:hAnsi="Times New Roman"/>
                <w:sz w:val="18"/>
              </w:rPr>
              <w:t>2.37 (1.95–2.89)</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3.47 (2.94–4.09)</w:t>
            </w:r>
          </w:p>
        </w:tc>
      </w:tr>
      <w:tr>
        <w:tc>
          <w:tcPr>
            <w:tcW w:type="dxa" w:w="1872"/>
          </w:tcPr>
          <w:p>
            <w:pPr>
              <w:jc w:val="center"/>
            </w:pPr>
            <w:r/>
            <w:r>
              <w:rPr>
                <w:rFonts w:ascii="Times New Roman" w:hAnsi="Times New Roman"/>
                <w:sz w:val="18"/>
              </w:rPr>
              <w:t>Fever</w:t>
            </w:r>
          </w:p>
        </w:tc>
        <w:tc>
          <w:tcPr>
            <w:tcW w:type="dxa" w:w="1872"/>
          </w:tcPr>
          <w:p>
            <w:pPr>
              <w:jc w:val="center"/>
            </w:pPr>
            <w:r/>
            <w:r>
              <w:rPr>
                <w:rFonts w:ascii="Times New Roman" w:hAnsi="Times New Roman"/>
                <w:sz w:val="18"/>
              </w:rPr>
              <w:t>PSM aOR</w:t>
            </w:r>
          </w:p>
        </w:tc>
        <w:tc>
          <w:tcPr>
            <w:tcW w:type="dxa" w:w="1872"/>
          </w:tcPr>
          <w:p>
            <w:pPr>
              <w:jc w:val="center"/>
            </w:pPr>
            <w:r/>
            <w:r>
              <w:rPr>
                <w:rFonts w:ascii="Times New Roman" w:hAnsi="Times New Roman"/>
                <w:sz w:val="18"/>
              </w:rPr>
              <w:t>1.76 (1.67–1.85)</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2.47 (2.37–2.58)</w:t>
            </w:r>
          </w:p>
        </w:tc>
      </w:tr>
      <w:tr>
        <w:tc>
          <w:tcPr>
            <w:tcW w:type="dxa" w:w="1872"/>
          </w:tcPr>
          <w:p>
            <w:pPr>
              <w:jc w:val="center"/>
            </w:pPr>
            <w:r/>
            <w:r>
              <w:rPr>
                <w:rFonts w:ascii="Times New Roman" w:hAnsi="Times New Roman"/>
                <w:sz w:val="18"/>
              </w:rPr>
              <w:t>30-day mortality</w:t>
            </w:r>
          </w:p>
        </w:tc>
        <w:tc>
          <w:tcPr>
            <w:tcW w:type="dxa" w:w="1872"/>
          </w:tcPr>
          <w:p>
            <w:pPr>
              <w:jc w:val="center"/>
            </w:pPr>
            <w:r/>
            <w:r>
              <w:rPr>
                <w:rFonts w:ascii="Times New Roman" w:hAnsi="Times New Roman"/>
                <w:sz w:val="18"/>
              </w:rPr>
              <w:t>PSM HR</w:t>
            </w:r>
          </w:p>
        </w:tc>
        <w:tc>
          <w:tcPr>
            <w:tcW w:type="dxa" w:w="1872"/>
          </w:tcPr>
          <w:p>
            <w:pPr>
              <w:jc w:val="center"/>
            </w:pPr>
            <w:r/>
            <w:r>
              <w:rPr>
                <w:rFonts w:ascii="Times New Roman" w:hAnsi="Times New Roman"/>
                <w:sz w:val="18"/>
              </w:rPr>
              <w:t>0.72 (0.67–0.77)</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0.55 (0.51–0.58)</w:t>
            </w:r>
          </w:p>
        </w:tc>
      </w:tr>
      <w:tr>
        <w:tc>
          <w:tcPr>
            <w:tcW w:type="dxa" w:w="1872"/>
          </w:tcPr>
          <w:p>
            <w:pPr>
              <w:jc w:val="center"/>
            </w:pPr>
            <w:r/>
            <w:r>
              <w:rPr>
                <w:rFonts w:ascii="Times New Roman" w:hAnsi="Times New Roman"/>
                <w:sz w:val="18"/>
              </w:rPr>
              <w:t>7-day mortality</w:t>
            </w:r>
          </w:p>
        </w:tc>
        <w:tc>
          <w:tcPr>
            <w:tcW w:type="dxa" w:w="1872"/>
          </w:tcPr>
          <w:p>
            <w:pPr>
              <w:jc w:val="center"/>
            </w:pPr>
            <w:r/>
            <w:r>
              <w:rPr>
                <w:rFonts w:ascii="Times New Roman" w:hAnsi="Times New Roman"/>
                <w:sz w:val="18"/>
              </w:rPr>
              <w:t>PSM HR</w:t>
            </w:r>
          </w:p>
        </w:tc>
        <w:tc>
          <w:tcPr>
            <w:tcW w:type="dxa" w:w="1872"/>
          </w:tcPr>
          <w:p>
            <w:pPr>
              <w:jc w:val="center"/>
            </w:pPr>
            <w:r/>
            <w:r>
              <w:rPr>
                <w:rFonts w:ascii="Times New Roman" w:hAnsi="Times New Roman"/>
                <w:sz w:val="18"/>
              </w:rPr>
              <w:t>0.59 (0.52–0.66)</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0.43 (0.39–0.47)</w:t>
            </w:r>
          </w:p>
        </w:tc>
      </w:tr>
      <w:tr>
        <w:tc>
          <w:tcPr>
            <w:tcW w:type="dxa" w:w="1872"/>
          </w:tcPr>
          <w:p>
            <w:pPr>
              <w:jc w:val="center"/>
            </w:pPr>
            <w:r/>
            <w:r>
              <w:rPr>
                <w:rFonts w:ascii="Times New Roman" w:hAnsi="Times New Roman"/>
                <w:sz w:val="18"/>
              </w:rPr>
              <w:t>Pneumonia</w:t>
            </w:r>
          </w:p>
        </w:tc>
        <w:tc>
          <w:tcPr>
            <w:tcW w:type="dxa" w:w="1872"/>
          </w:tcPr>
          <w:p>
            <w:pPr>
              <w:jc w:val="center"/>
            </w:pPr>
            <w:r/>
            <w:r>
              <w:rPr>
                <w:rFonts w:ascii="Times New Roman" w:hAnsi="Times New Roman"/>
                <w:sz w:val="18"/>
              </w:rPr>
              <w:t>IPTW aOR</w:t>
            </w:r>
          </w:p>
        </w:tc>
        <w:tc>
          <w:tcPr>
            <w:tcW w:type="dxa" w:w="1872"/>
          </w:tcPr>
          <w:p>
            <w:pPr>
              <w:jc w:val="center"/>
            </w:pPr>
            <w:r/>
            <w:r>
              <w:rPr>
                <w:rFonts w:ascii="Times New Roman" w:hAnsi="Times New Roman"/>
                <w:sz w:val="18"/>
              </w:rPr>
              <w:t>1.92 (1.86–1.98)</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w:t>
            </w:r>
          </w:p>
        </w:tc>
      </w:tr>
      <w:tr>
        <w:tc>
          <w:tcPr>
            <w:tcW w:type="dxa" w:w="1872"/>
          </w:tcPr>
          <w:p>
            <w:pPr>
              <w:jc w:val="center"/>
            </w:pPr>
            <w:r/>
            <w:r>
              <w:rPr>
                <w:rFonts w:ascii="Times New Roman" w:hAnsi="Times New Roman"/>
                <w:sz w:val="18"/>
              </w:rPr>
              <w:t>CDI</w:t>
            </w:r>
          </w:p>
        </w:tc>
        <w:tc>
          <w:tcPr>
            <w:tcW w:type="dxa" w:w="1872"/>
          </w:tcPr>
          <w:p>
            <w:pPr>
              <w:jc w:val="center"/>
            </w:pPr>
            <w:r/>
            <w:r>
              <w:rPr>
                <w:rFonts w:ascii="Times New Roman" w:hAnsi="Times New Roman"/>
                <w:sz w:val="18"/>
              </w:rPr>
              <w:t>IPTW aOR</w:t>
            </w:r>
          </w:p>
        </w:tc>
        <w:tc>
          <w:tcPr>
            <w:tcW w:type="dxa" w:w="1872"/>
          </w:tcPr>
          <w:p>
            <w:pPr>
              <w:jc w:val="center"/>
            </w:pPr>
            <w:r/>
            <w:r>
              <w:rPr>
                <w:rFonts w:ascii="Times New Roman" w:hAnsi="Times New Roman"/>
                <w:sz w:val="18"/>
              </w:rPr>
              <w:t>2.90 (2.48–3.39)</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w:t>
            </w:r>
          </w:p>
        </w:tc>
      </w:tr>
      <w:tr>
        <w:tc>
          <w:tcPr>
            <w:tcW w:type="dxa" w:w="1872"/>
          </w:tcPr>
          <w:p>
            <w:pPr>
              <w:jc w:val="center"/>
            </w:pPr>
            <w:r/>
            <w:r>
              <w:rPr>
                <w:rFonts w:ascii="Times New Roman" w:hAnsi="Times New Roman"/>
                <w:sz w:val="18"/>
              </w:rPr>
              <w:t>Fever</w:t>
            </w:r>
          </w:p>
        </w:tc>
        <w:tc>
          <w:tcPr>
            <w:tcW w:type="dxa" w:w="1872"/>
          </w:tcPr>
          <w:p>
            <w:pPr>
              <w:jc w:val="center"/>
            </w:pPr>
            <w:r/>
            <w:r>
              <w:rPr>
                <w:rFonts w:ascii="Times New Roman" w:hAnsi="Times New Roman"/>
                <w:sz w:val="18"/>
              </w:rPr>
              <w:t>IPTW aOR</w:t>
            </w:r>
          </w:p>
        </w:tc>
        <w:tc>
          <w:tcPr>
            <w:tcW w:type="dxa" w:w="1872"/>
          </w:tcPr>
          <w:p>
            <w:pPr>
              <w:jc w:val="center"/>
            </w:pPr>
            <w:r/>
            <w:r>
              <w:rPr>
                <w:rFonts w:ascii="Times New Roman" w:hAnsi="Times New Roman"/>
                <w:sz w:val="18"/>
              </w:rPr>
              <w:t>2.00 (1.92–2.09)</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w:t>
            </w:r>
          </w:p>
        </w:tc>
      </w:tr>
      <w:tr>
        <w:tc>
          <w:tcPr>
            <w:tcW w:type="dxa" w:w="1872"/>
          </w:tcPr>
          <w:p>
            <w:pPr>
              <w:jc w:val="center"/>
            </w:pPr>
            <w:r/>
            <w:r>
              <w:rPr>
                <w:rFonts w:ascii="Times New Roman" w:hAnsi="Times New Roman"/>
                <w:sz w:val="18"/>
              </w:rPr>
              <w:t>30-day mortality</w:t>
            </w:r>
          </w:p>
        </w:tc>
        <w:tc>
          <w:tcPr>
            <w:tcW w:type="dxa" w:w="1872"/>
          </w:tcPr>
          <w:p>
            <w:pPr>
              <w:jc w:val="center"/>
            </w:pPr>
            <w:r/>
            <w:r>
              <w:rPr>
                <w:rFonts w:ascii="Times New Roman" w:hAnsi="Times New Roman"/>
                <w:sz w:val="18"/>
              </w:rPr>
              <w:t>IPTW HR</w:t>
            </w:r>
          </w:p>
        </w:tc>
        <w:tc>
          <w:tcPr>
            <w:tcW w:type="dxa" w:w="1872"/>
          </w:tcPr>
          <w:p>
            <w:pPr>
              <w:jc w:val="center"/>
            </w:pPr>
            <w:r/>
            <w:r>
              <w:rPr>
                <w:rFonts w:ascii="Times New Roman" w:hAnsi="Times New Roman"/>
                <w:sz w:val="18"/>
              </w:rPr>
              <w:t>0.70 (0.65–0.75)</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w:t>
            </w:r>
          </w:p>
        </w:tc>
      </w:tr>
      <w:tr>
        <w:tc>
          <w:tcPr>
            <w:tcW w:type="dxa" w:w="1872"/>
          </w:tcPr>
          <w:p>
            <w:pPr>
              <w:jc w:val="center"/>
            </w:pPr>
            <w:r/>
            <w:r>
              <w:rPr>
                <w:rFonts w:ascii="Times New Roman" w:hAnsi="Times New Roman"/>
                <w:sz w:val="18"/>
              </w:rPr>
              <w:t>7-day mortality</w:t>
            </w:r>
          </w:p>
        </w:tc>
        <w:tc>
          <w:tcPr>
            <w:tcW w:type="dxa" w:w="1872"/>
          </w:tcPr>
          <w:p>
            <w:pPr>
              <w:jc w:val="center"/>
            </w:pPr>
            <w:r/>
            <w:r>
              <w:rPr>
                <w:rFonts w:ascii="Times New Roman" w:hAnsi="Times New Roman"/>
                <w:sz w:val="18"/>
              </w:rPr>
              <w:t>IPTW HR</w:t>
            </w:r>
          </w:p>
        </w:tc>
        <w:tc>
          <w:tcPr>
            <w:tcW w:type="dxa" w:w="1872"/>
          </w:tcPr>
          <w:p>
            <w:pPr>
              <w:jc w:val="center"/>
            </w:pPr>
            <w:r/>
            <w:r>
              <w:rPr>
                <w:rFonts w:ascii="Times New Roman" w:hAnsi="Times New Roman"/>
                <w:sz w:val="18"/>
              </w:rPr>
              <w:t>0.56 (0.50–0.63)</w:t>
            </w:r>
          </w:p>
        </w:tc>
        <w:tc>
          <w:tcPr>
            <w:tcW w:type="dxa" w:w="1872"/>
          </w:tcPr>
          <w:p>
            <w:pPr>
              <w:jc w:val="center"/>
            </w:pPr>
            <w:r/>
            <w:r>
              <w:rPr>
                <w:rFonts w:ascii="Times New Roman" w:hAnsi="Times New Roman"/>
                <w:sz w:val="18"/>
              </w:rPr>
              <w:t>&lt;0.001</w:t>
            </w:r>
          </w:p>
        </w:tc>
        <w:tc>
          <w:tcPr>
            <w:tcW w:type="dxa" w:w="1872"/>
          </w:tcPr>
          <w:p>
            <w:pPr>
              <w:jc w:val="center"/>
            </w:pPr>
            <w:r/>
            <w:r>
              <w:rPr>
                <w:rFonts w:ascii="Times New Roman" w:hAnsi="Times New Roman"/>
                <w:sz w:val="18"/>
              </w:rPr>
              <w:t>—</w:t>
            </w:r>
          </w:p>
        </w:tc>
      </w:tr>
    </w:tbl>
    <w:p/>
    <w:p>
      <w:pPr>
        <w:spacing w:after="120"/>
      </w:pPr>
      <w:r>
        <w:rPr>
          <w:rFonts w:ascii="Times New Roman" w:hAnsi="Times New Roman"/>
          <w:i/>
          <w:sz w:val="18"/>
        </w:rPr>
        <w:t>PSM = propensity score matching; IPTW = inverse probability of treatment weighting. PSM: 28,279 pairs; IPTW: N=96,446.</w:t>
      </w:r>
    </w:p>
    <w:p>
      <w:pPr>
        <w:jc w:val="center"/>
      </w:pPr>
      <w:r>
        <w:drawing>
          <wp:inline xmlns:a="http://schemas.openxmlformats.org/drawingml/2006/main" xmlns:pic="http://schemas.openxmlformats.org/drawingml/2006/picture">
            <wp:extent cx="5029200" cy="3435559"/>
            <wp:docPr id="5" name="Picture 5"/>
            <wp:cNvGraphicFramePr>
              <a:graphicFrameLocks noChangeAspect="1"/>
            </wp:cNvGraphicFramePr>
            <a:graphic>
              <a:graphicData uri="http://schemas.openxmlformats.org/drawingml/2006/picture">
                <pic:pic>
                  <pic:nvPicPr>
                    <pic:cNvPr id="0" name="Figure7_KM_Matched.png"/>
                    <pic:cNvPicPr/>
                  </pic:nvPicPr>
                  <pic:blipFill>
                    <a:blip r:embed="rId13"/>
                    <a:stretch>
                      <a:fillRect/>
                    </a:stretch>
                  </pic:blipFill>
                  <pic:spPr>
                    <a:xfrm>
                      <a:off x="0" y="0"/>
                      <a:ext cx="5029200" cy="3435559"/>
                    </a:xfrm>
                    <a:prstGeom prst="rect"/>
                  </pic:spPr>
                </pic:pic>
              </a:graphicData>
            </a:graphic>
          </wp:inline>
        </w:drawing>
      </w:r>
    </w:p>
    <w:p>
      <w:pPr>
        <w:spacing w:after="240"/>
      </w:pPr>
      <w:r>
        <w:rPr>
          <w:rFonts w:ascii="Times New Roman" w:hAnsi="Times New Roman"/>
          <w:i/>
          <w:sz w:val="20"/>
        </w:rPr>
        <w:t>Figure 7. Kaplan–Meier 30-day survival in the propensity score–matched cohort (28,279 pairs).</w:t>
      </w:r>
    </w:p>
    <w:p/>
    <w:p>
      <w:pPr>
        <w:jc w:val="center"/>
      </w:pPr>
      <w:r>
        <w:drawing>
          <wp:inline xmlns:a="http://schemas.openxmlformats.org/drawingml/2006/main" xmlns:pic="http://schemas.openxmlformats.org/drawingml/2006/picture">
            <wp:extent cx="5029200" cy="2485393"/>
            <wp:docPr id="6" name="Picture 6"/>
            <wp:cNvGraphicFramePr>
              <a:graphicFrameLocks noChangeAspect="1"/>
            </wp:cNvGraphicFramePr>
            <a:graphic>
              <a:graphicData uri="http://schemas.openxmlformats.org/drawingml/2006/picture">
                <pic:pic>
                  <pic:nvPicPr>
                    <pic:cNvPr id="0" name="Figure8_Forest_Matched.png"/>
                    <pic:cNvPicPr/>
                  </pic:nvPicPr>
                  <pic:blipFill>
                    <a:blip r:embed="rId14"/>
                    <a:stretch>
                      <a:fillRect/>
                    </a:stretch>
                  </pic:blipFill>
                  <pic:spPr>
                    <a:xfrm>
                      <a:off x="0" y="0"/>
                      <a:ext cx="5029200" cy="2485393"/>
                    </a:xfrm>
                    <a:prstGeom prst="rect"/>
                  </pic:spPr>
                </pic:pic>
              </a:graphicData>
            </a:graphic>
          </wp:inline>
        </w:drawing>
      </w:r>
    </w:p>
    <w:p>
      <w:pPr>
        <w:spacing w:after="240"/>
      </w:pPr>
      <w:r>
        <w:rPr>
          <w:rFonts w:ascii="Times New Roman" w:hAnsi="Times New Roman"/>
          <w:i/>
          <w:sz w:val="20"/>
        </w:rPr>
        <w:t>Figure 8. Forest plot of adjusted ORs for PPI use and infections in the matched cohort.</w:t>
      </w:r>
    </w:p>
    <w:p/>
    <w:p>
      <w:pPr>
        <w:spacing w:after="120" w:line="480" w:lineRule="auto"/>
      </w:pPr>
      <w:r>
        <w:rPr>
          <w:rFonts w:ascii="Times New Roman" w:hAnsi="Times New Roman"/>
          <w:b w:val="0"/>
          <w:i w:val="0"/>
          <w:sz w:val="24"/>
        </w:rPr>
        <w:t>IPTW sensitivity analysis using the full sample produced directionally consistent results: pneumonia aOR 1.92 (95% CI 1.86–1.98), CDI aOR 2.90 (95% CI 2.48–3.39), fever aOR 2.00 (95% CI 1.92–2.09), 30-day mortality HR 0.70 (95% CI 0.65–0.75), and 7-day mortality HR 0.56 (95% CI 0.50–0.63).</w:t>
      </w:r>
    </w:p>
    <w:p>
      <w:pPr>
        <w:spacing w:after="120" w:line="480" w:lineRule="auto"/>
      </w:pPr>
      <w:r>
        <w:rPr>
          <w:rFonts w:ascii="Times New Roman" w:hAnsi="Times New Roman"/>
          <w:b w:val="0"/>
          <w:i w:val="0"/>
          <w:sz w:val="24"/>
        </w:rPr>
        <w:t>E-values quantifying vulnerability to unmeasured confounding were: pneumonia E-value 2.92 (CI bound 2.77), CDI E-value 4.18 (CI bound 3.32), fever E-value 2.91 (CI bound 2.73), 30-day mortality E-value 2.14 (CI bound 1.91), and 7-day mortality E-value 2.79 (CI bound 2.39).</w:t>
      </w:r>
    </w:p>
    <w:p>
      <w:pPr>
        <w:pStyle w:val="Heading1"/>
      </w:pPr>
      <w:r>
        <w:rPr>
          <w:rFonts w:ascii="Times New Roman" w:hAnsi="Times New Roman"/>
          <w:color w:val="000000"/>
        </w:rPr>
        <w:t>4. Discussion</w:t>
      </w:r>
    </w:p>
    <w:p>
      <w:pPr>
        <w:spacing w:after="120" w:line="480" w:lineRule="auto"/>
      </w:pPr>
      <w:r>
        <w:rPr>
          <w:rFonts w:ascii="Times New Roman" w:hAnsi="Times New Roman"/>
          <w:b w:val="0"/>
          <w:i w:val="0"/>
          <w:sz w:val="24"/>
        </w:rPr>
        <w:t>The current investigation evaluated the impact of chronic PPI therapy on hospital-acquired infections and short-term mortality in a large cohort of hospitalized individuals aged 75 years and older. The findings demonstrated consistent and independent associations between chronic PPI use and elevated risk of hospital-acquired pneumonia, CDI, and fever across all analyzed subgroups. Paradoxically, PPI-treated patients exhibited substantially lower 7-day and 30-day all-cause mortality despite higher infection rates and longer hospital stays.</w:t>
      </w:r>
    </w:p>
    <w:p>
      <w:pPr>
        <w:spacing w:after="120" w:line="480" w:lineRule="auto"/>
      </w:pPr>
      <w:r>
        <w:rPr>
          <w:rFonts w:ascii="Times New Roman" w:hAnsi="Times New Roman"/>
          <w:b w:val="0"/>
          <w:i w:val="0"/>
          <w:sz w:val="24"/>
        </w:rPr>
        <w:t>The finding that PPI use increases the risk of hospital-acquired pneumonia aligns with biological plausibility and prior literature. By raising gastric pH, PPIs promote bacterial overgrowth in the stomach and oropharynx, facilitating micro-aspiration of colonized gastric contents [12]. A meta-analysis by Eom et al. reported a pooled OR of 1.27 (95% CI 1.11–1.46) for pneumonia with PPI use [13], though the current estimate (aOR 2.20) is substantially higher, likely reflecting the older age and greater frailty of the study population. The association between PPI use and CDI is similarly well established [14,15]. PPIs disrupt the normal intestinal microbiome by altering luminal pH, reducing colonization resistance against C. difficile spores. The adjusted OR of 3.47 reinforces this association and was further amplified by high-dose PPI use (aOR 1.55), suggesting a dose–response relationship.</w:t>
      </w:r>
    </w:p>
    <w:p>
      <w:pPr>
        <w:spacing w:after="120" w:line="480" w:lineRule="auto"/>
      </w:pPr>
      <w:r>
        <w:rPr>
          <w:rFonts w:ascii="Times New Roman" w:hAnsi="Times New Roman"/>
          <w:b w:val="0"/>
          <w:i w:val="0"/>
          <w:sz w:val="24"/>
        </w:rPr>
        <w:t>A paradoxical finding emerged: although hospital-acquired infections and LOS were substantially elevated in PPI-treated cohorts, all-cause mortality was significantly reduced (adjusted HR 0.55 at 30 days). This pattern aligns with similar paradoxes observed in other pharmacoepidemiologic studies of this population, including the companion statin analysis from this cohort [16].</w:t>
      </w:r>
    </w:p>
    <w:p>
      <w:pPr>
        <w:spacing w:after="120" w:line="480" w:lineRule="auto"/>
      </w:pPr>
      <w:r>
        <w:rPr>
          <w:rFonts w:ascii="Times New Roman" w:hAnsi="Times New Roman"/>
          <w:b w:val="0"/>
          <w:i w:val="0"/>
          <w:sz w:val="24"/>
        </w:rPr>
        <w:t>Potential explanations for this discrepancy include the following: First, selection bias and healthy-user effect. PPI prescriptions may be preferentially initiated and maintained in patients who are more functionally independent and engaged with the healthcare system. PPI users were younger (81.2 vs. 82.2 years) and more often in the 75–84 age stratum (77.8% vs. 71.7%), supporting this hypothesis. Second, confounding by aspirin co-prescription. The three-fold higher rate of aspirin use among PPI users (35.8% vs. 11.9%) suggests that many PPIs were prescribed for gastroprotection in patients receiving antiplatelet therapy. Aspirin use itself demonstrated a strong inverse association with mortality (adjusted HR 0.53), likely reflecting a cardiovascular prevention population with better baseline health status. Third, residual confounding. Unmeasured confounders such as functional status, frailty indices, polypharmacy burden, nutritional status, and goals-of-care status (e.g., do-not-resuscitate orders) were not available and could substantially influence the mortality association. Fourth, collider bias. Conditioning on hospitalization can introduce collider bias, as PPI users may have been admitted for less severe conditions on average.</w:t>
      </w:r>
    </w:p>
    <w:p>
      <w:pPr>
        <w:spacing w:after="120" w:line="480" w:lineRule="auto"/>
      </w:pPr>
      <w:r>
        <w:rPr>
          <w:rFonts w:ascii="Times New Roman" w:hAnsi="Times New Roman"/>
          <w:b w:val="0"/>
          <w:i w:val="0"/>
          <w:sz w:val="24"/>
        </w:rPr>
        <w:t>The consistency of the inverse mortality association with both aspirin and PPI—two medications more commonly prescribed to ambulatory, medically engaged older adults—strongly suggests systematic differences in baseline health profiles not fully captured by available confounders. The observed mortality benefit should not be interpreted as a protective drug effect.</w:t>
      </w:r>
    </w:p>
    <w:p>
      <w:pPr>
        <w:spacing w:after="120" w:line="480" w:lineRule="auto"/>
      </w:pPr>
      <w:r>
        <w:rPr>
          <w:rFonts w:ascii="Times New Roman" w:hAnsi="Times New Roman"/>
          <w:b w:val="0"/>
          <w:i w:val="0"/>
          <w:sz w:val="24"/>
        </w:rPr>
        <w:t>Propensity score matching, performed to address measured baseline imbalances, provided additional insight. After 1:1 matching on age, sex, CCI, aspirin, statin use, hypertension, and stroke history (28,279 pairs; all SMDs &lt; 0.1), infection associations attenuated but remained highly significant: pneumonia aOR decreased from 2.20 to 1.76, CDI from 3.47 to 2.37, and fever from 2.47 to 1.76. The persistence of these associations after rigorous balancing strengthens the argument for a causal PPI–infection link. For mortality, the HR moved from 0.55 toward the null (HR 0.72 in the matched cohort), indicating that a substantial portion of the apparent mortality benefit was attributable to measurable confounding by indication. However, the persistence of a statistically significant protective association (HR 0.72, p &lt; 0.001) even after PSM suggests that unmeasured confounders—particularly functional status, frailty, and goals-of-care designation—continue to bias the mortality estimate. The E-value of 2.14 for 30-day mortality indicates that an unmeasured confounder associated with both PPI use and mortality by a risk ratio of at least 2.14 could fully explain the residual association. IPTW sensitivity analysis, preserving the full sample, yielded concordant results (30-day mortality HR 0.70), reinforcing the robustness of these findings.</w:t>
      </w:r>
    </w:p>
    <w:p>
      <w:pPr>
        <w:spacing w:after="120" w:line="480" w:lineRule="auto"/>
      </w:pPr>
      <w:r>
        <w:rPr>
          <w:rFonts w:ascii="Times New Roman" w:hAnsi="Times New Roman"/>
          <w:b w:val="0"/>
          <w:i w:val="0"/>
          <w:sz w:val="24"/>
        </w:rPr>
        <w:t>Earlier research demonstrates mixed results regarding PPI effects on mortality in older adults. The OBSEPI study [5] found PPIs associated with longer hospital stays and more infections in multimorbid older patients, consistent with the current infection-related findings. A large US veterans cohort study by Xie et al. [9] demonstrated increased mortality risk with PPI use over long-term follow-up, though that investigation included younger patients and longer observation periods.</w:t>
      </w:r>
    </w:p>
    <w:p>
      <w:pPr>
        <w:pStyle w:val="Heading2"/>
      </w:pPr>
      <w:r>
        <w:rPr>
          <w:rFonts w:ascii="Times New Roman" w:hAnsi="Times New Roman"/>
          <w:color w:val="000000"/>
        </w:rPr>
        <w:t>Strengths and Limitations</w:t>
      </w:r>
    </w:p>
    <w:p>
      <w:pPr>
        <w:spacing w:after="120" w:line="480" w:lineRule="auto"/>
      </w:pPr>
      <w:r>
        <w:rPr>
          <w:rFonts w:ascii="Times New Roman" w:hAnsi="Times New Roman"/>
          <w:b w:val="0"/>
          <w:i w:val="0"/>
          <w:sz w:val="24"/>
        </w:rPr>
        <w:t>Strengths of this study include the large real-world cohort (&gt;106,000 admissions), the extended study period (16 years), comprehensive mortality data, and adjustment for key clinical variables including propensity score matching and IPTW sensitivity analysis.</w:t>
      </w:r>
    </w:p>
    <w:p>
      <w:pPr>
        <w:spacing w:after="120" w:line="480" w:lineRule="auto"/>
      </w:pPr>
      <w:r>
        <w:rPr>
          <w:rFonts w:ascii="Times New Roman" w:hAnsi="Times New Roman"/>
          <w:b w:val="0"/>
          <w:i w:val="0"/>
          <w:sz w:val="24"/>
        </w:rPr>
        <w:t>Limitations include the following: (1) Retrospective design introduces residual confounding and selection bias risks. Although multivariable regression and propensity score matching adjusted for key baseline variables, unmeasured confounding likely persists, as evidenced by the residual inverse mortality association even after PSM. (2) Important lifestyle and clinical factors (smoking, functional status, frailty, nutritional status, goals of care) were unavailable; E-value analysis suggests these unmeasured confounders would need relatively modest associations (risk ratio 2.1–2.8) with both PPI use and mortality to explain the residual findings. (3) The use of admission-listed PPI as the exposure definition does not capture PPI duration, adherence, or appropriateness of the original indication. (4) The analysis treats each admission independently, without accounting for clustering of multiple admissions within the same patient. (5) Single-center design may limit generalizability.</w:t>
      </w:r>
    </w:p>
    <w:p>
      <w:pPr>
        <w:pStyle w:val="Heading1"/>
      </w:pPr>
      <w:r>
        <w:rPr>
          <w:rFonts w:ascii="Times New Roman" w:hAnsi="Times New Roman"/>
          <w:color w:val="000000"/>
        </w:rPr>
        <w:t>5. Conclusions</w:t>
      </w:r>
    </w:p>
    <w:p>
      <w:pPr>
        <w:spacing w:after="120" w:line="480" w:lineRule="auto"/>
      </w:pPr>
      <w:r>
        <w:rPr>
          <w:rFonts w:ascii="Times New Roman" w:hAnsi="Times New Roman"/>
          <w:b w:val="0"/>
          <w:i w:val="0"/>
          <w:sz w:val="24"/>
        </w:rPr>
        <w:t>Study findings demonstrated that chronic PPI therapy in hospitalized patients aged 75 years and older without evidence-based indications independently predicts hospital-acquired pneumonia, CDI, and fever. The paradoxical inverse association with short-term mortality likely reflects confounding by indication and healthy-user bias. These findings reinforce guideline recommendations for periodic reassessment and deprescribing of PPIs in older adults.</w:t>
      </w:r>
    </w:p>
    <w:p>
      <w:r>
        <w:br w:type="page"/>
      </w:r>
    </w:p>
    <w:p>
      <w:pPr>
        <w:pStyle w:val="Heading2"/>
      </w:pPr>
      <w:r>
        <w:rPr>
          <w:rFonts w:ascii="Times New Roman" w:hAnsi="Times New Roman"/>
          <w:color w:val="000000"/>
        </w:rPr>
        <w:t>Acknowledgments</w:t>
      </w:r>
    </w:p>
    <w:p>
      <w:pPr>
        <w:spacing w:after="120" w:line="480" w:lineRule="auto"/>
      </w:pPr>
      <w:r>
        <w:rPr>
          <w:rFonts w:ascii="Times New Roman" w:hAnsi="Times New Roman"/>
          <w:b w:val="0"/>
          <w:i w:val="0"/>
          <w:sz w:val="24"/>
        </w:rPr>
        <w:t>The authors thank Esther Eshkol, institutional medical and scientific copyeditor, for editorial assistance.</w:t>
      </w:r>
    </w:p>
    <w:p>
      <w:pPr>
        <w:pStyle w:val="Heading2"/>
      </w:pPr>
      <w:r>
        <w:rPr>
          <w:rFonts w:ascii="Times New Roman" w:hAnsi="Times New Roman"/>
          <w:color w:val="000000"/>
        </w:rPr>
        <w:t>Institutional Review Board Statement</w:t>
      </w:r>
    </w:p>
    <w:p>
      <w:pPr>
        <w:spacing w:after="120" w:line="480" w:lineRule="auto"/>
      </w:pPr>
      <w:r>
        <w:rPr>
          <w:rFonts w:ascii="Times New Roman" w:hAnsi="Times New Roman"/>
          <w:b w:val="0"/>
          <w:i w:val="0"/>
          <w:sz w:val="24"/>
        </w:rPr>
        <w:t>All study procedures adhered to institutional ethical standards and the 1964 Helsinki declaration. The TASMC Institutional Review Board approved the investigation (Ethical code: TLV-XXXX-XX).</w:t>
      </w:r>
    </w:p>
    <w:p>
      <w:pPr>
        <w:pStyle w:val="Heading2"/>
      </w:pPr>
      <w:r>
        <w:rPr>
          <w:rFonts w:ascii="Times New Roman" w:hAnsi="Times New Roman"/>
          <w:color w:val="000000"/>
        </w:rPr>
        <w:t>Informed Consent Statement</w:t>
      </w:r>
    </w:p>
    <w:p>
      <w:pPr>
        <w:spacing w:after="120" w:line="480" w:lineRule="auto"/>
      </w:pPr>
      <w:r>
        <w:rPr>
          <w:rFonts w:ascii="Times New Roman" w:hAnsi="Times New Roman"/>
          <w:b w:val="0"/>
          <w:i w:val="0"/>
          <w:sz w:val="24"/>
        </w:rPr>
        <w:t>The IRB waived informed consent per institutional policy for anonymized retrospective studies.</w:t>
      </w:r>
    </w:p>
    <w:p>
      <w:pPr>
        <w:pStyle w:val="Heading2"/>
      </w:pPr>
      <w:r>
        <w:rPr>
          <w:rFonts w:ascii="Times New Roman" w:hAnsi="Times New Roman"/>
          <w:color w:val="000000"/>
        </w:rPr>
        <w:t>Data Availability Statement</w:t>
      </w:r>
    </w:p>
    <w:p>
      <w:pPr>
        <w:spacing w:after="120" w:line="480" w:lineRule="auto"/>
      </w:pPr>
      <w:r>
        <w:rPr>
          <w:rFonts w:ascii="Times New Roman" w:hAnsi="Times New Roman"/>
          <w:b w:val="0"/>
          <w:i w:val="0"/>
          <w:sz w:val="24"/>
        </w:rPr>
        <w:t>Data underlying this article will be shared upon reasonable request to the corresponding author.</w:t>
      </w:r>
    </w:p>
    <w:p>
      <w:pPr>
        <w:pStyle w:val="Heading2"/>
      </w:pPr>
      <w:r>
        <w:rPr>
          <w:rFonts w:ascii="Times New Roman" w:hAnsi="Times New Roman"/>
          <w:color w:val="000000"/>
        </w:rPr>
        <w:t>Conflicts of Interest</w:t>
      </w:r>
    </w:p>
    <w:p>
      <w:pPr>
        <w:spacing w:after="120" w:line="480" w:lineRule="auto"/>
      </w:pPr>
      <w:r>
        <w:rPr>
          <w:rFonts w:ascii="Times New Roman" w:hAnsi="Times New Roman"/>
          <w:b w:val="0"/>
          <w:i w:val="0"/>
          <w:sz w:val="24"/>
        </w:rPr>
        <w:t>The authors declare no conflict of interest.</w:t>
      </w:r>
    </w:p>
    <w:p>
      <w:pPr>
        <w:pStyle w:val="Heading2"/>
      </w:pPr>
      <w:r>
        <w:rPr>
          <w:rFonts w:ascii="Times New Roman" w:hAnsi="Times New Roman"/>
          <w:color w:val="000000"/>
        </w:rPr>
        <w:t>Funding Statement</w:t>
      </w:r>
    </w:p>
    <w:p>
      <w:pPr>
        <w:spacing w:after="120" w:line="480" w:lineRule="auto"/>
      </w:pPr>
      <w:r>
        <w:rPr>
          <w:rFonts w:ascii="Times New Roman" w:hAnsi="Times New Roman"/>
          <w:b w:val="0"/>
          <w:i w:val="0"/>
          <w:sz w:val="24"/>
        </w:rPr>
        <w:t>This research received no specific grant from any funding agency in public, commercial, or not-for-profit sectors.</w:t>
      </w:r>
    </w:p>
    <w:p>
      <w:r>
        <w:br w:type="page"/>
      </w:r>
    </w:p>
    <w:p>
      <w:pPr>
        <w:pStyle w:val="Heading1"/>
      </w:pPr>
      <w:r>
        <w:rPr>
          <w:rFonts w:ascii="Times New Roman" w:hAnsi="Times New Roman"/>
          <w:color w:val="000000"/>
        </w:rPr>
        <w:t>References</w:t>
      </w:r>
    </w:p>
    <w:p>
      <w:pPr>
        <w:spacing w:after="60" w:line="360" w:lineRule="auto"/>
      </w:pPr>
      <w:r>
        <w:rPr>
          <w:rFonts w:ascii="Times New Roman" w:hAnsi="Times New Roman"/>
          <w:sz w:val="20"/>
        </w:rPr>
        <w:t>1. Strand DS, Kim D, Peura DA. 25 Years of Proton Pump Inhibitors: A Comprehensive Review. Gut Liver. 2017;11:27–37.</w:t>
      </w:r>
    </w:p>
    <w:p>
      <w:pPr>
        <w:spacing w:after="60" w:line="360" w:lineRule="auto"/>
      </w:pPr>
      <w:r>
        <w:rPr>
          <w:rFonts w:ascii="Times New Roman" w:hAnsi="Times New Roman"/>
          <w:sz w:val="20"/>
        </w:rPr>
        <w:t>2. American Geriatrics Society. 2019 Updated AGS Beers Criteria for Potentially Inappropriate Medication Use in Older Adults. J Am Geriatr Soc. 2019;67:674–694.</w:t>
      </w:r>
    </w:p>
    <w:p>
      <w:pPr>
        <w:spacing w:after="60" w:line="360" w:lineRule="auto"/>
      </w:pPr>
      <w:r>
        <w:rPr>
          <w:rFonts w:ascii="Times New Roman" w:hAnsi="Times New Roman"/>
          <w:sz w:val="20"/>
        </w:rPr>
        <w:t>3. Forgacs I, Loganayagam A. Overprescribing Proton Pump Inhibitors. BMJ. 2008;336:2–3.</w:t>
      </w:r>
    </w:p>
    <w:p>
      <w:pPr>
        <w:spacing w:after="60" w:line="360" w:lineRule="auto"/>
      </w:pPr>
      <w:r>
        <w:rPr>
          <w:rFonts w:ascii="Times New Roman" w:hAnsi="Times New Roman"/>
          <w:sz w:val="20"/>
        </w:rPr>
        <w:t>4. Haastrup PF, Thompson W, Sondergaard J, Jarboel DE. Side Effects of Long-Term Proton Pump Inhibitor Use: A Review. Basic Clin Pharmacol Toxicol. 2018;123:114–121.</w:t>
      </w:r>
    </w:p>
    <w:p>
      <w:pPr>
        <w:spacing w:after="60" w:line="360" w:lineRule="auto"/>
      </w:pPr>
      <w:r>
        <w:rPr>
          <w:rFonts w:ascii="Times New Roman" w:hAnsi="Times New Roman"/>
          <w:sz w:val="20"/>
        </w:rPr>
        <w:t>5. Aubert CE, Blum MR, Gastens V, et al. Prescribing, Deprescribing and Potential Adverse Effects of Proton Pump Inhibitors in Older Patients with Multimorbidity. CMAJ Open. 2023;11:E170–E178.</w:t>
      </w:r>
    </w:p>
    <w:p>
      <w:pPr>
        <w:spacing w:after="60" w:line="360" w:lineRule="auto"/>
      </w:pPr>
      <w:r>
        <w:rPr>
          <w:rFonts w:ascii="Times New Roman" w:hAnsi="Times New Roman"/>
          <w:sz w:val="20"/>
        </w:rPr>
        <w:t>6. Maes ML, Fixen DR, Linnebur SA. Adverse Effects of Proton-Pump Inhibitor Use in Older Adults: A Review of the Evidence. Ther Adv Drug Saf. 2017;8:273–297.</w:t>
      </w:r>
    </w:p>
    <w:p>
      <w:pPr>
        <w:spacing w:after="60" w:line="360" w:lineRule="auto"/>
      </w:pPr>
      <w:r>
        <w:rPr>
          <w:rFonts w:ascii="Times New Roman" w:hAnsi="Times New Roman"/>
          <w:sz w:val="20"/>
        </w:rPr>
        <w:t>7. Fossmark R, Martinsen TC, Waldum HL. Adverse Effects of Proton Pump Inhibitors—Evidence and Plausibility. Int J Mol Sci. 2019;20:5203.</w:t>
      </w:r>
    </w:p>
    <w:p>
      <w:pPr>
        <w:spacing w:after="60" w:line="360" w:lineRule="auto"/>
      </w:pPr>
      <w:r>
        <w:rPr>
          <w:rFonts w:ascii="Times New Roman" w:hAnsi="Times New Roman"/>
          <w:sz w:val="20"/>
        </w:rPr>
        <w:t>8. Ben-Eltriki M, Green CJ, Maclure M, et al. Do Proton Pump Inhibitors Increase Mortality? A Systematic Review. Pharmacol Res Perspect. 2020;8:e00651.</w:t>
      </w:r>
    </w:p>
    <w:p>
      <w:pPr>
        <w:spacing w:after="60" w:line="360" w:lineRule="auto"/>
      </w:pPr>
      <w:r>
        <w:rPr>
          <w:rFonts w:ascii="Times New Roman" w:hAnsi="Times New Roman"/>
          <w:sz w:val="20"/>
        </w:rPr>
        <w:t>9. Xie Y, Bowe B, Li T, et al. Risk of Death among Users of Proton Pump Inhibitors: A Longitudinal Observational Cohort Study. BMJ Open. 2017;7:e015735.</w:t>
      </w:r>
    </w:p>
    <w:p>
      <w:pPr>
        <w:spacing w:after="60" w:line="360" w:lineRule="auto"/>
      </w:pPr>
      <w:r>
        <w:rPr>
          <w:rFonts w:ascii="Times New Roman" w:hAnsi="Times New Roman"/>
          <w:sz w:val="20"/>
        </w:rPr>
        <w:t>10. Maggio M, Corsonello A, Ceda GP, et al. Proton Pump Inhibitors and Risk of 1-Year Mortality and Rehospitalization in Older Patients. JAMA Intern Med. 2013;173:518–523.</w:t>
      </w:r>
    </w:p>
    <w:p>
      <w:pPr>
        <w:spacing w:after="60" w:line="360" w:lineRule="auto"/>
      </w:pPr>
      <w:r>
        <w:rPr>
          <w:rFonts w:ascii="Times New Roman" w:hAnsi="Times New Roman"/>
          <w:sz w:val="20"/>
        </w:rPr>
        <w:t>11. Gharaibeh A, Koppikar S, Bonilla-Escobar FJ. STROBE in the International Journal of Medical Students. Int J Med Stud. 2014;2:36–37.</w:t>
      </w:r>
    </w:p>
    <w:p>
      <w:pPr>
        <w:spacing w:after="60" w:line="360" w:lineRule="auto"/>
      </w:pPr>
      <w:r>
        <w:rPr>
          <w:rFonts w:ascii="Times New Roman" w:hAnsi="Times New Roman"/>
          <w:sz w:val="20"/>
        </w:rPr>
        <w:t>12. Herzig SJ, Howell MD, Ngo LH, Marcantonio ER. Acid-Suppressive Medication Use and the Risk for Hospital-Acquired Pneumonia. JAMA. 2009;301:2120–2128.</w:t>
      </w:r>
    </w:p>
    <w:p>
      <w:pPr>
        <w:spacing w:after="60" w:line="360" w:lineRule="auto"/>
      </w:pPr>
      <w:r>
        <w:rPr>
          <w:rFonts w:ascii="Times New Roman" w:hAnsi="Times New Roman"/>
          <w:sz w:val="20"/>
        </w:rPr>
        <w:t>13. Eom CS, Jeon CY, Lim JW, et al. Use of Acid-Suppressive Drugs and Risk of Pneumonia: A Systematic Review and Meta-Analysis. CMAJ. 2011;183:310–319.</w:t>
      </w:r>
    </w:p>
    <w:p>
      <w:pPr>
        <w:spacing w:after="60" w:line="360" w:lineRule="auto"/>
      </w:pPr>
      <w:r>
        <w:rPr>
          <w:rFonts w:ascii="Times New Roman" w:hAnsi="Times New Roman"/>
          <w:sz w:val="20"/>
        </w:rPr>
        <w:t>14. Tariq R, Singh S, Gupta A, Pardi DS, Khanna S. Association of Gastric Acid Suppression with Recurrent Clostridium Difficile Infection. JAMA Intern Med. 2017;177:784–791.</w:t>
      </w:r>
    </w:p>
    <w:p>
      <w:pPr>
        <w:spacing w:after="60" w:line="360" w:lineRule="auto"/>
      </w:pPr>
      <w:r>
        <w:rPr>
          <w:rFonts w:ascii="Times New Roman" w:hAnsi="Times New Roman"/>
          <w:sz w:val="20"/>
        </w:rPr>
        <w:t>15. Kwok CS, Arthur AK, Anibueze CI, et al. Risk of Clostridium Difficile Infection with Acid Suppressing Drugs and Antibiotics: Meta-Analysis. Am J Gastroenterol. 2012;107:1011–1019.</w:t>
      </w:r>
    </w:p>
    <w:p>
      <w:pPr>
        <w:spacing w:after="60" w:line="360" w:lineRule="auto"/>
      </w:pPr>
      <w:r>
        <w:rPr>
          <w:rFonts w:ascii="Times New Roman" w:hAnsi="Times New Roman"/>
          <w:sz w:val="20"/>
        </w:rPr>
        <w:t>16. Nachmias N, Matsri S, Sharary M, et al. Statin Treatment for Reducing Mortality Risk in Individuals over 75 Years of Age: A Large-Scale Retrospective Analysis. J Clin Med. 2025;14:5739.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