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POC App objective,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Its like a delivery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Features;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Message to the customer with the correct time of delivery arrival</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Optimal Path.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Problem Statement;</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It’s like an order delivery  app where it will be intimated to the customer via a message to the client about their package arrival.</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Ideal scenario. Consider you’re a delivery man having  a </w:t>
      </w:r>
      <w:r w:rsidDel="00000000" w:rsidR="00000000" w:rsidRPr="00000000">
        <w:rPr>
          <w:b w:val="1"/>
          <w:rtl w:val="0"/>
        </w:rPr>
        <w:t xml:space="preserve">n </w:t>
      </w:r>
      <w:r w:rsidDel="00000000" w:rsidR="00000000" w:rsidRPr="00000000">
        <w:rPr>
          <w:rtl w:val="0"/>
        </w:rPr>
        <w:t xml:space="preserve">shipment to delivery which is scattered across different location. Now the app should display the optimal path covering all the order points. Depending on the vehicle size the road should be chosen such that all the deliveries are covered accordingly.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Approach;</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For simplicity purposes we can cover for only one user. With orders of 10, and all the orders will be delivered successfully.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Use Case Diagram;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Mobile Frontend (flutter);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Backend (node js);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DB (Postgresql);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ER Diagram;</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Order Table;</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Order ID (primary Key)</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Order Name</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Order Price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Users Table;</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User ID (Primary Key)</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User Name</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User Address</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User Mobile Number</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Alt Mobile Number</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Driver Table;</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Driver ID (Primary Key)</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Driver Name</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Driver Mobile Number</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Driver Rating</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Earned Tip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Status Table;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Order ID</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User ID</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Driver ID</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Order Status ( Completed | Yet to be Completed | Not Completed) </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