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Figure Reference — Power Density as a Biosignature</w:t>
      </w:r>
    </w:p>
    <w:p>
      <w:r>
        <w:t>Updated 24 June 2026. Brief guide to each PDF in figures/: what it shows, where the data come from, and the equations used. Colors and markers are defined in the figure legends.</w:t>
      </w:r>
    </w:p>
    <w:p>
      <w:pPr>
        <w:pStyle w:val="Heading1"/>
      </w:pPr>
      <w:r>
        <w:t>Regenerating the figures</w:t>
      </w:r>
    </w:p>
    <w:p>
      <w:r>
        <w:t>Open a terminal in the project folder and run:  python main.py</w:t>
        <w:br/>
        <w:t>Requires: pip install -r requirements.txt (once). Outputs: six PDFs in figures/ and processed tables in processed/.</w:t>
      </w:r>
    </w:p>
    <w:p>
      <w:pPr>
        <w:pStyle w:val="Heading1"/>
      </w:pPr>
      <w:r>
        <w:t>Quantity plotted</w:t>
      </w:r>
    </w:p>
    <w:p>
      <w:r>
        <w:t>Every figure is a log–log plot of mass (kg) versus mass-specific power density Φ_m = L / M in W·kg⁻¹. Each point is computed from a published table — nothing is placed by hand.</w:t>
      </w:r>
    </w:p>
    <w:p>
      <w:pPr>
        <w:pStyle w:val="Heading1"/>
      </w:pPr>
      <w:r>
        <w:t>Figures</w:t>
      </w:r>
    </w:p>
    <w:p>
      <w:pPr>
        <w:pStyle w:val="Heading2"/>
      </w:pPr>
      <w:r>
        <w:t>figure_unified_master.pdf</w:t>
      </w:r>
    </w:p>
    <w:p>
      <w:r>
        <w:rPr>
          <w:b/>
        </w:rPr>
        <w:t xml:space="preserve">Purpose. </w:t>
      </w:r>
      <w:r>
        <w:t>Overview of the full power-density continuum — biology, young stellar objects (YSOs), and accreting compact objects on one log–log plot.</w:t>
      </w:r>
    </w:p>
    <w:p>
      <w:r>
        <w:rPr>
          <w:b/>
        </w:rPr>
        <w:t xml:space="preserve">Data source. </w:t>
      </w:r>
      <w:r>
        <w:t>Biology — van Duin et al. (2024) MOESM1 Section I (data/biology/von_duin_2024_erd_moesm1.csv; 805 measurements). YSOs — Manara et al. (2022) PPVII compilation (data/yso/mdots_forclement.dat; 139 systems; Alcalá+2017 &amp; Manara+2017 filter; Somers 2020 SPOTS masses). Compact objects — Vidal (2020) tables (data/compact/Power density data.csv; 130 white dwarfs [Dubus et al. 2018], 30 neutron stars [Galloway et al. 2008], 19 black holes [Coriat et al. 2012]).</w:t>
      </w:r>
    </w:p>
    <w:p>
      <w:r>
        <w:rPr>
          <w:b/>
        </w:rPr>
        <w:t xml:space="preserve">Equations. </w:t>
      </w:r>
      <w:r>
        <w:t>All panels use Φ_m = L / M (W·kg⁻¹, mass in kg). Biology: Φ_m from tabulated empirical ERD. YSOs: Φ_m = L_acc / M★. Compact objects: η = GM/(Rc²), L = η Ṁ c², Φ_m = L/M; tabulated ERD used when available.</w:t>
      </w:r>
    </w:p>
    <w:p>
      <w:r>
        <w:rPr>
          <w:b/>
        </w:rPr>
        <w:t xml:space="preserve">Notes. </w:t>
      </w:r>
      <w:r>
        <w:t>Literature overlays (not data): Chaisson (2001) modern society benchmark (~50 W·kg⁻¹); van Duin (2024) stability limit at 10⁵ W·kg⁻¹. WDs: green = Dubus Table A.2 (general CVs), fuchsia = Table A.3 (nova-like); YSO: open yellow rings on top. No error bars on this panel — see figure_wd_dubus_uncertainties.pdf.</w:t>
      </w:r>
    </w:p>
    <w:p/>
    <w:p>
      <w:pPr>
        <w:pStyle w:val="Heading2"/>
      </w:pPr>
      <w:r>
        <w:t>figure_biology.pdf</w:t>
      </w:r>
    </w:p>
    <w:p>
      <w:r>
        <w:rPr>
          <w:b/>
        </w:rPr>
        <w:t xml:space="preserve">Purpose. </w:t>
      </w:r>
      <w:r>
        <w:t>Zoom on biological systems — empirical energy rate density (ERD) measurements grouped by prokaryotes, unicellular eukaryotes, and multicellular organisms.</w:t>
      </w:r>
    </w:p>
    <w:p>
      <w:r>
        <w:rPr>
          <w:b/>
        </w:rPr>
        <w:t xml:space="preserve">Data source. </w:t>
      </w:r>
      <w:r>
        <w:t>van Duin et al. (2024) MOESM1 Section I — same table as unified (805 measurements; processed copy in processed/processed_von_duin_biology.csv).</w:t>
      </w:r>
    </w:p>
    <w:p>
      <w:r>
        <w:rPr>
          <w:b/>
        </w:rPr>
        <w:t xml:space="preserve">Equations. </w:t>
      </w:r>
      <w:r>
        <w:t>Φ_m taken directly from the published ERD column (already in W·kg⁻¹).</w:t>
      </w:r>
    </w:p>
    <w:p>
      <w:r>
        <w:rPr>
          <w:b/>
        </w:rPr>
        <w:t xml:space="preserve">Notes. </w:t>
      </w:r>
      <w:r>
        <w:t>Literature overlays (not data): Chaisson (2001) modern society benchmark (~50 W·kg⁻¹); van Duin (2024) stability limit at 10⁵ W·kg⁻¹.</w:t>
      </w:r>
    </w:p>
    <w:p/>
    <w:p>
      <w:pPr>
        <w:pStyle w:val="Heading2"/>
      </w:pPr>
      <w:r>
        <w:t>figure_yso.pdf</w:t>
      </w:r>
    </w:p>
    <w:p>
      <w:r>
        <w:rPr>
          <w:b/>
        </w:rPr>
        <w:t xml:space="preserve">Purpose. </w:t>
      </w:r>
      <w:r>
        <w:t>Abiotic control sample — accreting young stars only, without biology or compact objects.</w:t>
      </w:r>
    </w:p>
    <w:p>
      <w:r>
        <w:rPr>
          <w:b/>
        </w:rPr>
        <w:t xml:space="preserve">Data source. </w:t>
      </w:r>
      <w:r>
        <w:t>Manara et al. (2022) PPVII → mdots_forclement.dat (139 systems). Stellar masses from Baraffe+2015 with Somers (2020) SPOTS correction (17% spot coverage).</w:t>
      </w:r>
    </w:p>
    <w:p>
      <w:r>
        <w:rPr>
          <w:b/>
        </w:rPr>
        <w:t xml:space="preserve">Equations. </w:t>
      </w:r>
      <w:r>
        <w:t>Φ_m = L_acc / M★, with L_acc = 10^(log L_acc) × L☉.</w:t>
      </w:r>
    </w:p>
    <w:p>
      <w:r>
        <w:rPr>
          <w:b/>
        </w:rPr>
        <w:t xml:space="preserve">Notes. </w:t>
      </w:r>
      <w:r>
        <w:t>Empirical scatter only; no literature reference overlays.</w:t>
      </w:r>
    </w:p>
    <w:p/>
    <w:p>
      <w:pPr>
        <w:pStyle w:val="Heading2"/>
      </w:pPr>
      <w:r>
        <w:t>figure_compact_objects.pdf</w:t>
      </w:r>
    </w:p>
    <w:p>
      <w:r>
        <w:rPr>
          <w:b/>
        </w:rPr>
        <w:t xml:space="preserve">Purpose. </w:t>
      </w:r>
      <w:r>
        <w:t>Accreting compact objects only — cataclysmic variables (accreting white dwarfs), neutron stars, and transient black holes.</w:t>
      </w:r>
    </w:p>
    <w:p>
      <w:r>
        <w:rPr>
          <w:b/>
        </w:rPr>
        <w:t xml:space="preserve">Data source. </w:t>
      </w:r>
      <w:r>
        <w:t>data/compact/Power density data.csv — 130 WDs (Dubus et al. 2018), 30 NSs (Galloway et al. 2008), 19 BHs (Coriat et al. 2012).</w:t>
      </w:r>
    </w:p>
    <w:p>
      <w:r>
        <w:rPr>
          <w:b/>
        </w:rPr>
        <w:t xml:space="preserve">Equations. </w:t>
      </w:r>
      <w:r>
        <w:t>η_grav = GM/(Rc²); L = η Ṁ c²; Φ_m = L/M. Tabulated ERD overrides the computed value when both are present.</w:t>
      </w:r>
    </w:p>
    <w:p>
      <w:r>
        <w:rPr>
          <w:b/>
        </w:rPr>
        <w:t xml:space="preserve">Notes. </w:t>
      </w:r>
      <w:r>
        <w:t>WD colors: green = Dubus Table A.2 (general CVs), fuchsia = Table A.3 (nova-like). No YSO overlay. van Duin stability line shown; no Chaisson overlays.</w:t>
      </w:r>
    </w:p>
    <w:p/>
    <w:p>
      <w:pPr>
        <w:pStyle w:val="Heading2"/>
      </w:pPr>
      <w:r>
        <w:t>figure_wd_dubus_uncertainties.pdf</w:t>
      </w:r>
    </w:p>
    <w:p>
      <w:r>
        <w:rPr>
          <w:b/>
        </w:rPr>
        <w:t xml:space="preserve">Purpose. </w:t>
      </w:r>
      <w:r>
        <w:t>Supplementary panel — white-dwarf systems with published uncertainty bars from Dubus et al. (2018), kept separate from the main continuum figures.</w:t>
      </w:r>
    </w:p>
    <w:p>
      <w:r>
        <w:rPr>
          <w:b/>
        </w:rPr>
        <w:t xml:space="preserve">Data source. </w:t>
      </w:r>
      <w:r>
        <w:t>WD positions from the compact-object table; uncertainties from Dubus et al. (2018) Tables A.2–A.3 (data/compact/dubus_2018_wd_uncertainties.csv; 130 systems).</w:t>
      </w:r>
    </w:p>
    <w:p>
      <w:r>
        <w:rPr>
          <w:b/>
        </w:rPr>
        <w:t xml:space="preserve">Equations. </w:t>
      </w:r>
      <w:r>
        <w:t>Horizontal errors: primary-star mass M₁ ± σ (Dubus). Vertical errors: asymmetric 68% Monte Carlo interval on Ṁ, propagated to Φ_m at the same accretion efficiency as each plotted point.</w:t>
      </w:r>
    </w:p>
    <w:p>
      <w:r>
        <w:rPr>
          <w:b/>
        </w:rPr>
        <w:t xml:space="preserve">Notes. </w:t>
      </w:r>
      <w:r>
        <w:t>Error bars only on this figure. Green = Dubus Table A.2; fuchsia = Table A.3. No literature reference overlays.</w:t>
      </w:r>
    </w:p>
    <w:p/>
    <w:p>
      <w:pPr>
        <w:pStyle w:val="Heading2"/>
      </w:pPr>
      <w:r>
        <w:t>figure_smbh_seyfert1.pdf</w:t>
      </w:r>
    </w:p>
    <w:p>
      <w:r>
        <w:rPr>
          <w:b/>
        </w:rPr>
        <w:t xml:space="preserve">Purpose. </w:t>
      </w:r>
      <w:r>
        <w:t>Test panel for Seyfert 1 supermassive black holes — separate from the unified master continuum.</w:t>
      </w:r>
    </w:p>
    <w:p>
      <w:r>
        <w:rPr>
          <w:b/>
        </w:rPr>
        <w:t xml:space="preserve">Data source. </w:t>
      </w:r>
      <w:r>
        <w:t>Vidal (2020) Table 5 — 16 Seyfert 1 SMBHs from Meyer-Hofmeister &amp; Meyer (2011), parsed from references/Vidal-2020 PDF into data/compact/vidal_2020_table5_smbh_seyfert1.csv.</w:t>
      </w:r>
    </w:p>
    <w:p>
      <w:r>
        <w:rPr>
          <w:b/>
        </w:rPr>
        <w:t xml:space="preserve">Equations. </w:t>
      </w:r>
      <w:r>
        <w:t>Tabulated ERD (erg·s⁻¹·g⁻¹) at η = 0.1 per Vidal; Φ_m = L/M in W·kg⁻¹. Schwarzschild radius used for the gravitational-efficiency track when computing from Ṁ; tabulated ERD overrides when both are present.</w:t>
      </w:r>
    </w:p>
    <w:p>
      <w:r>
        <w:rPr>
          <w:b/>
        </w:rPr>
        <w:t xml:space="preserve">Notes. </w:t>
      </w:r>
      <w:r>
        <w:t>Not plotted on figure_unified_master.pdf. Chaisson modern society benchmark shown; no error bars (none in source table).</w:t>
      </w:r>
    </w:p>
    <w:p/>
    <w:p>
      <w:r>
        <w:t>For file paths, pipeline details, and code entry points, see README.md and docs/FIGURES.md in the project folder.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