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B86F9" w14:textId="2FEEB266" w:rsidR="00E749DC" w:rsidRPr="0031323C" w:rsidRDefault="00E749DC" w:rsidP="0031323C">
      <w:pPr>
        <w:jc w:val="both"/>
        <w:rPr>
          <w:lang w:val="es-ES_tradnl"/>
        </w:rPr>
      </w:pPr>
      <w:r w:rsidRPr="0031323C">
        <w:rPr>
          <w:lang w:val="es-ES_tradnl"/>
        </w:rPr>
        <w:t>CONSULTA HIPERPARATIROIDISMO CIRUGÍA ENDOCRINA</w:t>
      </w:r>
    </w:p>
    <w:p w14:paraId="4A3BEAE4" w14:textId="77777777" w:rsidR="00E749DC" w:rsidRPr="0031323C" w:rsidRDefault="00E749DC" w:rsidP="0031323C">
      <w:pPr>
        <w:jc w:val="both"/>
        <w:rPr>
          <w:lang w:val="es-ES_tradnl"/>
        </w:rPr>
      </w:pPr>
    </w:p>
    <w:p w14:paraId="1082E117" w14:textId="63F98076" w:rsidR="00E749DC" w:rsidRPr="0031323C" w:rsidRDefault="00E749DC" w:rsidP="0031323C">
      <w:pPr>
        <w:pStyle w:val="Prrafodelista"/>
        <w:numPr>
          <w:ilvl w:val="0"/>
          <w:numId w:val="1"/>
        </w:numPr>
        <w:jc w:val="both"/>
        <w:rPr>
          <w:lang w:val="es-ES_tradnl"/>
        </w:rPr>
      </w:pPr>
      <w:r w:rsidRPr="0031323C">
        <w:rPr>
          <w:lang w:val="es-ES_tradnl"/>
        </w:rPr>
        <w:t>Motivo de consulta</w:t>
      </w:r>
    </w:p>
    <w:p w14:paraId="27165406" w14:textId="77777777" w:rsidR="00716A02" w:rsidRPr="0031323C" w:rsidRDefault="00716A02" w:rsidP="0031323C">
      <w:pPr>
        <w:jc w:val="both"/>
        <w:rPr>
          <w:lang w:val="es-ES_tradnl"/>
        </w:rPr>
      </w:pPr>
    </w:p>
    <w:p w14:paraId="53FC19A5" w14:textId="15E12C92" w:rsidR="00E749DC" w:rsidRPr="0031323C" w:rsidRDefault="00E749DC" w:rsidP="0031323C">
      <w:pPr>
        <w:pStyle w:val="Prrafodelista"/>
        <w:numPr>
          <w:ilvl w:val="0"/>
          <w:numId w:val="1"/>
        </w:numPr>
        <w:jc w:val="both"/>
        <w:rPr>
          <w:lang w:val="es-ES_tradnl"/>
        </w:rPr>
      </w:pPr>
      <w:proofErr w:type="gramStart"/>
      <w:r w:rsidRPr="0031323C">
        <w:rPr>
          <w:lang w:val="es-ES_tradnl"/>
        </w:rPr>
        <w:t>Antecedentes relevantes a recoger</w:t>
      </w:r>
      <w:proofErr w:type="gramEnd"/>
    </w:p>
    <w:p w14:paraId="72AD454B" w14:textId="77777777" w:rsidR="00716A02" w:rsidRPr="0031323C" w:rsidRDefault="00716A02" w:rsidP="0031323C">
      <w:pPr>
        <w:pStyle w:val="Prrafodelista"/>
        <w:jc w:val="both"/>
        <w:rPr>
          <w:lang w:val="es-ES_tradnl"/>
        </w:rPr>
      </w:pPr>
    </w:p>
    <w:p w14:paraId="76BF96DA" w14:textId="58CA5FCC" w:rsidR="00E749DC" w:rsidRPr="0031323C" w:rsidRDefault="00E749DC" w:rsidP="0031323C">
      <w:pPr>
        <w:pStyle w:val="Prrafodelista"/>
        <w:numPr>
          <w:ilvl w:val="0"/>
          <w:numId w:val="2"/>
        </w:numPr>
        <w:jc w:val="both"/>
        <w:rPr>
          <w:lang w:val="es-ES_tradnl"/>
        </w:rPr>
      </w:pPr>
      <w:r w:rsidRPr="0031323C">
        <w:rPr>
          <w:rFonts w:cs="AppleSystemUIFont"/>
          <w:kern w:val="0"/>
          <w:lang w:val="es-ES_tradnl"/>
        </w:rPr>
        <w:t>Personales: edad, sexo, menopausia, antecedentes de litiasis renal, fracturas por fragilidad, osteoporosis, enfermedad renal crónica, pancreatitis, úlcera péptica, enfermedad cardiovascular (HTA, aterosclerosis).</w:t>
      </w:r>
    </w:p>
    <w:p w14:paraId="758E6DFB" w14:textId="45BA69E8" w:rsidR="00E749DC" w:rsidRPr="0031323C" w:rsidRDefault="00E749DC" w:rsidP="0031323C">
      <w:pPr>
        <w:pStyle w:val="Prrafodelista"/>
        <w:numPr>
          <w:ilvl w:val="0"/>
          <w:numId w:val="2"/>
        </w:numPr>
        <w:jc w:val="both"/>
        <w:rPr>
          <w:lang w:val="es-ES_tradnl"/>
        </w:rPr>
      </w:pPr>
      <w:r w:rsidRPr="0031323C">
        <w:rPr>
          <w:rFonts w:cs="AppleSystemUIFont"/>
          <w:kern w:val="0"/>
          <w:lang w:val="es-ES_tradnl"/>
        </w:rPr>
        <w:t xml:space="preserve">Familiares: hipercalcemia en familiares de primer grado, neoplasia endocrina múltiple (MEN 1 o 2A), síndrome de hiperparatiroidismo-tumor mandibular, hipercalcemia </w:t>
      </w:r>
      <w:proofErr w:type="spellStart"/>
      <w:r w:rsidRPr="0031323C">
        <w:rPr>
          <w:rFonts w:cs="AppleSystemUIFont"/>
          <w:kern w:val="0"/>
          <w:lang w:val="es-ES_tradnl"/>
        </w:rPr>
        <w:t>hipocalciúrica</w:t>
      </w:r>
      <w:proofErr w:type="spellEnd"/>
      <w:r w:rsidRPr="0031323C">
        <w:rPr>
          <w:rFonts w:cs="AppleSystemUIFont"/>
          <w:kern w:val="0"/>
          <w:lang w:val="es-ES_tradnl"/>
        </w:rPr>
        <w:t xml:space="preserve"> familiar (FHH).</w:t>
      </w:r>
    </w:p>
    <w:p w14:paraId="11E7994C" w14:textId="7F0B2EAB" w:rsidR="00E749DC" w:rsidRPr="0031323C" w:rsidRDefault="00E749DC" w:rsidP="0031323C">
      <w:pPr>
        <w:pStyle w:val="Prrafodelista"/>
        <w:numPr>
          <w:ilvl w:val="0"/>
          <w:numId w:val="2"/>
        </w:numPr>
        <w:jc w:val="both"/>
        <w:rPr>
          <w:lang w:val="es-ES_tradnl"/>
        </w:rPr>
      </w:pPr>
      <w:r w:rsidRPr="0031323C">
        <w:rPr>
          <w:rFonts w:cs="AppleSystemUIFont"/>
          <w:kern w:val="0"/>
          <w:lang w:val="es-ES_tradnl"/>
        </w:rPr>
        <w:t>Fármacos y suplementos: litio (puede mimetizar un HPTP), tiazidas, suplementos de calcio y vitamina D, denosumab, teriparatida.</w:t>
      </w:r>
    </w:p>
    <w:p w14:paraId="61565681" w14:textId="15AB50C0" w:rsidR="00E749DC" w:rsidRPr="0031323C" w:rsidRDefault="00E749DC" w:rsidP="0031323C">
      <w:pPr>
        <w:pStyle w:val="Prrafodelista"/>
        <w:numPr>
          <w:ilvl w:val="0"/>
          <w:numId w:val="2"/>
        </w:numPr>
        <w:jc w:val="both"/>
        <w:rPr>
          <w:lang w:val="es-ES_tradnl"/>
        </w:rPr>
      </w:pPr>
      <w:r w:rsidRPr="0031323C">
        <w:rPr>
          <w:rFonts w:cs="AppleSystemUIFont"/>
          <w:kern w:val="0"/>
          <w:lang w:val="es-ES_tradnl"/>
        </w:rPr>
        <w:t>Antecedente de irradiación cervical (factor de riesgo para adenoma paratiroideo).</w:t>
      </w:r>
    </w:p>
    <w:p w14:paraId="6A75B9D8" w14:textId="77777777" w:rsidR="00716A02" w:rsidRPr="0031323C" w:rsidRDefault="00716A02" w:rsidP="0031323C">
      <w:pPr>
        <w:pStyle w:val="Prrafodelista"/>
        <w:ind w:left="1800"/>
        <w:jc w:val="both"/>
        <w:rPr>
          <w:lang w:val="es-ES_tradnl"/>
        </w:rPr>
      </w:pPr>
    </w:p>
    <w:p w14:paraId="045A8162" w14:textId="6132E677" w:rsidR="00E749DC" w:rsidRPr="0031323C" w:rsidRDefault="00E749DC" w:rsidP="0031323C">
      <w:pPr>
        <w:pStyle w:val="Prrafodelista"/>
        <w:numPr>
          <w:ilvl w:val="0"/>
          <w:numId w:val="1"/>
        </w:numPr>
        <w:jc w:val="both"/>
        <w:rPr>
          <w:lang w:val="es-ES_tradnl"/>
        </w:rPr>
      </w:pPr>
      <w:r w:rsidRPr="0031323C">
        <w:rPr>
          <w:lang w:val="es-ES_tradnl"/>
        </w:rPr>
        <w:t>Anamnesis</w:t>
      </w:r>
    </w:p>
    <w:p w14:paraId="4E46F175" w14:textId="77777777" w:rsidR="00716A02" w:rsidRPr="0031323C" w:rsidRDefault="00716A02" w:rsidP="0031323C">
      <w:pPr>
        <w:pStyle w:val="Prrafodelista"/>
        <w:jc w:val="both"/>
        <w:rPr>
          <w:lang w:val="es-ES_tradnl"/>
        </w:rPr>
      </w:pPr>
    </w:p>
    <w:p w14:paraId="01A8F094" w14:textId="7F09F80B" w:rsidR="00E749DC" w:rsidRPr="0031323C" w:rsidRDefault="00E749DC" w:rsidP="0031323C">
      <w:pPr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Aunque hoy la mayoría de los pacientes se presentan de forma asintomática o con síntomas inespecíficos, la presentación clásica se resume en:</w:t>
      </w:r>
    </w:p>
    <w:p w14:paraId="3E40B6E6" w14:textId="77777777" w:rsidR="00716A02" w:rsidRPr="0031323C" w:rsidRDefault="00716A02" w:rsidP="0031323C">
      <w:pPr>
        <w:jc w:val="both"/>
        <w:rPr>
          <w:rFonts w:cs="AppleSystemUIFont"/>
          <w:kern w:val="0"/>
          <w:lang w:val="es-ES_tradnl"/>
        </w:rPr>
      </w:pPr>
    </w:p>
    <w:p w14:paraId="3D726DA9" w14:textId="1292B578" w:rsidR="00E749DC" w:rsidRPr="0031323C" w:rsidRDefault="00716A02" w:rsidP="0031323C">
      <w:pPr>
        <w:pStyle w:val="Prrafodelista"/>
        <w:numPr>
          <w:ilvl w:val="0"/>
          <w:numId w:val="2"/>
        </w:numPr>
        <w:jc w:val="both"/>
        <w:rPr>
          <w:lang w:val="es-ES_tradnl"/>
        </w:rPr>
      </w:pPr>
      <w:r w:rsidRPr="0031323C">
        <w:rPr>
          <w:rFonts w:cs="AppleSystemUIFont"/>
          <w:kern w:val="0"/>
          <w:lang w:val="es-ES_tradnl"/>
        </w:rPr>
        <w:t>Óseo: dolor óseo, artralgias, debilidad muscular proximal, fracturas por fragilidad.</w:t>
      </w:r>
    </w:p>
    <w:p w14:paraId="2AA16310" w14:textId="4902834A" w:rsidR="00716A02" w:rsidRPr="0031323C" w:rsidRDefault="00716A02" w:rsidP="0031323C">
      <w:pPr>
        <w:pStyle w:val="Prrafodelista"/>
        <w:numPr>
          <w:ilvl w:val="0"/>
          <w:numId w:val="2"/>
        </w:numPr>
        <w:jc w:val="both"/>
        <w:rPr>
          <w:lang w:val="es-ES_tradnl"/>
        </w:rPr>
      </w:pPr>
      <w:r w:rsidRPr="0031323C">
        <w:rPr>
          <w:rFonts w:cs="AppleSystemUIFont"/>
          <w:kern w:val="0"/>
          <w:lang w:val="es-ES_tradnl"/>
        </w:rPr>
        <w:t>Renal: cólico nefrítico, litiasis recurrente, poliuria, polidipsia.</w:t>
      </w:r>
    </w:p>
    <w:p w14:paraId="4CBDA9D8" w14:textId="3D600021" w:rsidR="00716A02" w:rsidRPr="0031323C" w:rsidRDefault="00716A02" w:rsidP="0031323C">
      <w:pPr>
        <w:pStyle w:val="Prrafodelista"/>
        <w:numPr>
          <w:ilvl w:val="0"/>
          <w:numId w:val="2"/>
        </w:numPr>
        <w:jc w:val="both"/>
        <w:rPr>
          <w:lang w:val="es-ES_tradnl"/>
        </w:rPr>
      </w:pPr>
      <w:r w:rsidRPr="0031323C">
        <w:rPr>
          <w:rFonts w:cs="AppleSystemUIFont"/>
          <w:kern w:val="0"/>
          <w:lang w:val="es-ES_tradnl"/>
        </w:rPr>
        <w:t>Gastrointestinal: náuseas, vómitos, estreñimiento, dolor abdominal vago, reflujo gastroesofágico.</w:t>
      </w:r>
    </w:p>
    <w:p w14:paraId="23BE05DB" w14:textId="3D094AA6" w:rsidR="00716A02" w:rsidRPr="0031323C" w:rsidRDefault="00716A02" w:rsidP="0031323C">
      <w:pPr>
        <w:pStyle w:val="Prrafodelista"/>
        <w:numPr>
          <w:ilvl w:val="0"/>
          <w:numId w:val="2"/>
        </w:numPr>
        <w:jc w:val="both"/>
        <w:rPr>
          <w:lang w:val="es-ES_tradnl"/>
        </w:rPr>
      </w:pPr>
      <w:r w:rsidRPr="0031323C">
        <w:rPr>
          <w:rFonts w:cs="AppleSystemUIFont"/>
          <w:kern w:val="0"/>
          <w:lang w:val="es-ES_tradnl"/>
        </w:rPr>
        <w:t>Neuropsiquiátrico: fatiga, "niebla mental", dificultad de concentración, alteraciones del sueño, irritabilidad, ansiedad, depresión, disminución de la libido.</w:t>
      </w:r>
    </w:p>
    <w:p w14:paraId="763EFAEB" w14:textId="77777777" w:rsidR="00716A02" w:rsidRPr="0031323C" w:rsidRDefault="00716A02" w:rsidP="0031323C">
      <w:pPr>
        <w:jc w:val="both"/>
        <w:rPr>
          <w:lang w:val="es-ES_tradnl"/>
        </w:rPr>
      </w:pPr>
    </w:p>
    <w:p w14:paraId="1AFEE75D" w14:textId="24C6C4F4" w:rsidR="00716A02" w:rsidRPr="0031323C" w:rsidRDefault="00716A02" w:rsidP="0031323C">
      <w:pPr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Es importante interrogar activamente por estos síntomas, ya que muchos pacientes los atribuyen al envejecimiento y no los refieren espontáneamente</w:t>
      </w:r>
    </w:p>
    <w:p w14:paraId="1F40F2C2" w14:textId="77777777" w:rsidR="00716A02" w:rsidRPr="0031323C" w:rsidRDefault="00716A02" w:rsidP="0031323C">
      <w:pPr>
        <w:jc w:val="both"/>
        <w:rPr>
          <w:rFonts w:cs="AppleSystemUIFont"/>
          <w:kern w:val="0"/>
          <w:lang w:val="es-ES_tradnl"/>
        </w:rPr>
      </w:pPr>
    </w:p>
    <w:p w14:paraId="3C1DBD72" w14:textId="70423C1F" w:rsidR="00716A02" w:rsidRPr="0031323C" w:rsidRDefault="00716A02" w:rsidP="0031323C">
      <w:pPr>
        <w:pStyle w:val="Prrafodelista"/>
        <w:numPr>
          <w:ilvl w:val="0"/>
          <w:numId w:val="1"/>
        </w:numPr>
        <w:jc w:val="both"/>
        <w:rPr>
          <w:lang w:val="es-ES_tradnl"/>
        </w:rPr>
      </w:pPr>
      <w:r w:rsidRPr="0031323C">
        <w:rPr>
          <w:lang w:val="es-ES_tradnl"/>
        </w:rPr>
        <w:t>Exploración física</w:t>
      </w:r>
    </w:p>
    <w:p w14:paraId="5B44AB91" w14:textId="77777777" w:rsidR="00716A02" w:rsidRPr="0031323C" w:rsidRDefault="00716A02" w:rsidP="0031323C">
      <w:pPr>
        <w:jc w:val="both"/>
        <w:rPr>
          <w:lang w:val="es-ES_tradnl"/>
        </w:rPr>
      </w:pPr>
    </w:p>
    <w:p w14:paraId="18ED8286" w14:textId="646AC678" w:rsidR="00716A02" w:rsidRPr="0031323C" w:rsidRDefault="00716A02" w:rsidP="0031323C">
      <w:pPr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La exploración suele ser normal en la hipercalcemia leve.</w:t>
      </w:r>
    </w:p>
    <w:p w14:paraId="0623F934" w14:textId="77777777" w:rsidR="00716A02" w:rsidRPr="0031323C" w:rsidRDefault="00716A02" w:rsidP="0031323C">
      <w:pPr>
        <w:autoSpaceDE w:val="0"/>
        <w:autoSpaceDN w:val="0"/>
        <w:adjustRightInd w:val="0"/>
        <w:ind w:left="1416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- General: estado de hidratación, signos de deshidratación en hipercalcemia grave.</w:t>
      </w:r>
    </w:p>
    <w:p w14:paraId="2D1BEBE0" w14:textId="77777777" w:rsidR="00716A02" w:rsidRPr="0031323C" w:rsidRDefault="00716A02" w:rsidP="0031323C">
      <w:pPr>
        <w:autoSpaceDE w:val="0"/>
        <w:autoSpaceDN w:val="0"/>
        <w:adjustRightInd w:val="0"/>
        <w:ind w:left="1416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- Cuello: palpación tiroidea y cervical (un nódulo paratiroideo palpable es excepcional y debe hacer sospechar carcinoma paratiroideo).</w:t>
      </w:r>
    </w:p>
    <w:p w14:paraId="2334BBC1" w14:textId="77777777" w:rsidR="00716A02" w:rsidRPr="0031323C" w:rsidRDefault="00716A02" w:rsidP="0031323C">
      <w:pPr>
        <w:autoSpaceDE w:val="0"/>
        <w:autoSpaceDN w:val="0"/>
        <w:adjustRightInd w:val="0"/>
        <w:ind w:left="1416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lastRenderedPageBreak/>
        <w:t>- Musculoesquelético: debilidad muscular proximal (dificultad para levantarse de una silla), dolor a la palpación ósea, deformidades esqueléticas (raro en la actualidad).</w:t>
      </w:r>
    </w:p>
    <w:p w14:paraId="3913AA9D" w14:textId="77777777" w:rsidR="00716A02" w:rsidRPr="0031323C" w:rsidRDefault="00716A02" w:rsidP="0031323C">
      <w:pPr>
        <w:autoSpaceDE w:val="0"/>
        <w:autoSpaceDN w:val="0"/>
        <w:adjustRightInd w:val="0"/>
        <w:ind w:left="1416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- Abdomen: dolor a la palpación en flancos (litiasis), dolor epigástrico.</w:t>
      </w:r>
    </w:p>
    <w:p w14:paraId="42851829" w14:textId="77777777" w:rsidR="00716A02" w:rsidRPr="0031323C" w:rsidRDefault="00716A02" w:rsidP="0031323C">
      <w:pPr>
        <w:autoSpaceDE w:val="0"/>
        <w:autoSpaceDN w:val="0"/>
        <w:adjustRightInd w:val="0"/>
        <w:ind w:left="1416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- Neurológico: estado cognitivo, reflejos (hiporreflexia en hipercalcemia grave).</w:t>
      </w:r>
    </w:p>
    <w:p w14:paraId="06FCAF8B" w14:textId="77777777" w:rsidR="00716A02" w:rsidRPr="0031323C" w:rsidRDefault="00716A02" w:rsidP="0031323C">
      <w:pPr>
        <w:autoSpaceDE w:val="0"/>
        <w:autoSpaceDN w:val="0"/>
        <w:adjustRightInd w:val="0"/>
        <w:ind w:left="1416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- Cardiovascular: tensión arterial, frecuencia cardíaca (acortamiento del QT en ECG).</w:t>
      </w:r>
    </w:p>
    <w:p w14:paraId="736497C8" w14:textId="07203FDD" w:rsidR="00716A02" w:rsidRPr="0031323C" w:rsidRDefault="00716A02" w:rsidP="0031323C">
      <w:pPr>
        <w:ind w:left="1416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 xml:space="preserve">- </w:t>
      </w:r>
      <w:proofErr w:type="spellStart"/>
      <w:r w:rsidRPr="0031323C">
        <w:rPr>
          <w:rFonts w:cs="AppleSystemUIFont"/>
          <w:kern w:val="0"/>
          <w:lang w:val="es-ES_tradnl"/>
        </w:rPr>
        <w:t>Linfadenopatías</w:t>
      </w:r>
      <w:proofErr w:type="spellEnd"/>
      <w:r w:rsidRPr="0031323C">
        <w:rPr>
          <w:rFonts w:cs="AppleSystemUIFont"/>
          <w:kern w:val="0"/>
          <w:lang w:val="es-ES_tradnl"/>
        </w:rPr>
        <w:t xml:space="preserve"> u otros hallazgos que sugieran etiología alternativa de hipercalcemia.</w:t>
      </w:r>
    </w:p>
    <w:p w14:paraId="04C3B768" w14:textId="77777777" w:rsidR="00716A02" w:rsidRPr="0031323C" w:rsidRDefault="00716A02" w:rsidP="0031323C">
      <w:pPr>
        <w:jc w:val="both"/>
        <w:rPr>
          <w:rFonts w:cs="AppleSystemUIFont"/>
          <w:kern w:val="0"/>
          <w:lang w:val="es-ES_tradnl"/>
        </w:rPr>
      </w:pPr>
    </w:p>
    <w:p w14:paraId="6A2C4AD5" w14:textId="78FA40FB" w:rsidR="00716A02" w:rsidRPr="0031323C" w:rsidRDefault="00716A02" w:rsidP="0031323C">
      <w:pPr>
        <w:pStyle w:val="Prrafodelista"/>
        <w:numPr>
          <w:ilvl w:val="0"/>
          <w:numId w:val="1"/>
        </w:numPr>
        <w:jc w:val="both"/>
        <w:rPr>
          <w:lang w:val="es-ES_tradnl"/>
        </w:rPr>
      </w:pPr>
      <w:r w:rsidRPr="0031323C">
        <w:rPr>
          <w:lang w:val="es-ES_tradnl"/>
        </w:rPr>
        <w:t>Pruebas complementarias</w:t>
      </w:r>
    </w:p>
    <w:p w14:paraId="7F2C9DD4" w14:textId="77777777" w:rsidR="00716A02" w:rsidRPr="0031323C" w:rsidRDefault="00716A02" w:rsidP="0031323C">
      <w:pPr>
        <w:jc w:val="both"/>
        <w:rPr>
          <w:lang w:val="es-ES_tradnl"/>
        </w:rPr>
      </w:pPr>
    </w:p>
    <w:p w14:paraId="1FD947BE" w14:textId="6405C9F7" w:rsidR="00716A02" w:rsidRPr="0031323C" w:rsidRDefault="00716A02" w:rsidP="0031323C">
      <w:pPr>
        <w:autoSpaceDE w:val="0"/>
        <w:autoSpaceDN w:val="0"/>
        <w:adjustRightInd w:val="0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Analítica (confirmar diagnóstico bioquímico):</w:t>
      </w:r>
    </w:p>
    <w:p w14:paraId="6DA21911" w14:textId="77777777" w:rsidR="00716A02" w:rsidRPr="0031323C" w:rsidRDefault="00716A02" w:rsidP="0031323C">
      <w:pPr>
        <w:autoSpaceDE w:val="0"/>
        <w:autoSpaceDN w:val="0"/>
        <w:adjustRightInd w:val="0"/>
        <w:jc w:val="both"/>
        <w:rPr>
          <w:rFonts w:cs="AppleSystemUIFont"/>
          <w:kern w:val="0"/>
          <w:lang w:val="es-ES_tradnl"/>
        </w:rPr>
      </w:pPr>
    </w:p>
    <w:p w14:paraId="7EA8813B" w14:textId="36CD1236" w:rsidR="00716A02" w:rsidRPr="0031323C" w:rsidRDefault="00716A02" w:rsidP="0031323C">
      <w:pPr>
        <w:autoSpaceDE w:val="0"/>
        <w:autoSpaceDN w:val="0"/>
        <w:adjustRightInd w:val="0"/>
        <w:ind w:left="1416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- Calcio sérico total (corregido por albúmina)</w:t>
      </w:r>
      <w:r w:rsidR="00380F17">
        <w:rPr>
          <w:rFonts w:cs="AppleSystemUIFont"/>
          <w:kern w:val="0"/>
          <w:lang w:val="es-ES_tradnl"/>
        </w:rPr>
        <w:t xml:space="preserve"> que estará elevado</w:t>
      </w:r>
      <w:r w:rsidRPr="0031323C">
        <w:rPr>
          <w:rFonts w:cs="AppleSystemUIFont"/>
          <w:kern w:val="0"/>
          <w:lang w:val="es-ES_tradnl"/>
        </w:rPr>
        <w:t>.</w:t>
      </w:r>
    </w:p>
    <w:p w14:paraId="2172AF65" w14:textId="4F6C07B1" w:rsidR="00716A02" w:rsidRPr="0031323C" w:rsidRDefault="00716A02" w:rsidP="0031323C">
      <w:pPr>
        <w:autoSpaceDE w:val="0"/>
        <w:autoSpaceDN w:val="0"/>
        <w:adjustRightInd w:val="0"/>
        <w:ind w:left="1416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- PTH</w:t>
      </w:r>
      <w:r w:rsidR="00380F17">
        <w:rPr>
          <w:rFonts w:cs="AppleSystemUIFont"/>
          <w:kern w:val="0"/>
          <w:lang w:val="es-ES_tradnl"/>
        </w:rPr>
        <w:t xml:space="preserve"> (elevada o inapropiadamente normal)</w:t>
      </w:r>
      <w:r w:rsidRPr="0031323C">
        <w:rPr>
          <w:rFonts w:cs="AppleSystemUIFont"/>
          <w:kern w:val="0"/>
          <w:lang w:val="es-ES_tradnl"/>
        </w:rPr>
        <w:t>.</w:t>
      </w:r>
    </w:p>
    <w:p w14:paraId="47BF6C04" w14:textId="41AC064A" w:rsidR="00716A02" w:rsidRPr="0031323C" w:rsidRDefault="00716A02" w:rsidP="0031323C">
      <w:pPr>
        <w:autoSpaceDE w:val="0"/>
        <w:autoSpaceDN w:val="0"/>
        <w:adjustRightInd w:val="0"/>
        <w:ind w:left="1416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- Creatinina sérica y filtrado glomerular estimado.</w:t>
      </w:r>
    </w:p>
    <w:p w14:paraId="159FA362" w14:textId="2B554ADC" w:rsidR="00716A02" w:rsidRPr="0031323C" w:rsidRDefault="00716A02" w:rsidP="0031323C">
      <w:pPr>
        <w:autoSpaceDE w:val="0"/>
        <w:autoSpaceDN w:val="0"/>
        <w:adjustRightInd w:val="0"/>
        <w:ind w:left="1416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- 25-hidroxivitamina D</w:t>
      </w:r>
      <w:r w:rsidR="0031323C" w:rsidRPr="0031323C">
        <w:rPr>
          <w:rFonts w:cs="AppleSystemUIFont"/>
          <w:kern w:val="0"/>
          <w:lang w:val="es-ES_tradnl"/>
        </w:rPr>
        <w:t xml:space="preserve"> (deficiencia de vitamina D puede elevar PTH)</w:t>
      </w:r>
    </w:p>
    <w:p w14:paraId="065A7CFE" w14:textId="11D9586B" w:rsidR="00716A02" w:rsidRPr="0031323C" w:rsidRDefault="00716A02" w:rsidP="0031323C">
      <w:pPr>
        <w:ind w:left="1416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- Fósforo sérico (típicamente bajo en HPTP).</w:t>
      </w:r>
    </w:p>
    <w:p w14:paraId="3CD95508" w14:textId="0225B1BE" w:rsidR="00716A02" w:rsidRPr="0031323C" w:rsidRDefault="00716A02" w:rsidP="0031323C">
      <w:pPr>
        <w:autoSpaceDE w:val="0"/>
        <w:autoSpaceDN w:val="0"/>
        <w:adjustRightInd w:val="0"/>
        <w:ind w:left="1416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 xml:space="preserve">- Calcio en orina de 24 horas y creatinina → calcular el cociente aclaramiento de calcio/aclaramiento de creatinina para descartar hipercalcemia </w:t>
      </w:r>
      <w:proofErr w:type="spellStart"/>
      <w:r w:rsidRPr="0031323C">
        <w:rPr>
          <w:rFonts w:cs="AppleSystemUIFont"/>
          <w:kern w:val="0"/>
          <w:lang w:val="es-ES_tradnl"/>
        </w:rPr>
        <w:t>hipocalciurica</w:t>
      </w:r>
      <w:proofErr w:type="spellEnd"/>
      <w:r w:rsidRPr="0031323C">
        <w:rPr>
          <w:rFonts w:cs="AppleSystemUIFont"/>
          <w:kern w:val="0"/>
          <w:lang w:val="es-ES_tradnl"/>
        </w:rPr>
        <w:t xml:space="preserve"> familiar. </w:t>
      </w:r>
    </w:p>
    <w:p w14:paraId="27357CF0" w14:textId="77777777" w:rsidR="0031323C" w:rsidRPr="0031323C" w:rsidRDefault="0031323C" w:rsidP="0031323C">
      <w:pPr>
        <w:autoSpaceDE w:val="0"/>
        <w:autoSpaceDN w:val="0"/>
        <w:adjustRightInd w:val="0"/>
        <w:ind w:left="1416"/>
        <w:jc w:val="both"/>
        <w:rPr>
          <w:rFonts w:cs="AppleSystemUIFont"/>
          <w:kern w:val="0"/>
          <w:lang w:val="es-ES_tradnl"/>
        </w:rPr>
      </w:pPr>
    </w:p>
    <w:p w14:paraId="226F67F9" w14:textId="77777777" w:rsidR="00716A02" w:rsidRPr="0031323C" w:rsidRDefault="00716A02" w:rsidP="0031323C">
      <w:pPr>
        <w:autoSpaceDE w:val="0"/>
        <w:autoSpaceDN w:val="0"/>
        <w:adjustRightInd w:val="0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Evaluación de órgano diana:</w:t>
      </w:r>
    </w:p>
    <w:p w14:paraId="26F478AD" w14:textId="77777777" w:rsidR="00716A02" w:rsidRPr="0031323C" w:rsidRDefault="00716A02" w:rsidP="0031323C">
      <w:pPr>
        <w:autoSpaceDE w:val="0"/>
        <w:autoSpaceDN w:val="0"/>
        <w:adjustRightInd w:val="0"/>
        <w:jc w:val="both"/>
        <w:rPr>
          <w:rFonts w:cs="AppleSystemUIFont"/>
          <w:kern w:val="0"/>
          <w:lang w:val="es-ES_tradnl"/>
        </w:rPr>
      </w:pPr>
    </w:p>
    <w:p w14:paraId="0BC647B0" w14:textId="31C41441" w:rsidR="00716A02" w:rsidRPr="0031323C" w:rsidRDefault="00716A02" w:rsidP="0031323C">
      <w:pPr>
        <w:autoSpaceDE w:val="0"/>
        <w:autoSpaceDN w:val="0"/>
        <w:adjustRightInd w:val="0"/>
        <w:ind w:left="1416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- Densitometría ósea (DXA) en columna lumbar, cadera y tercio distal del radio (sitio cortical más afectado por PTH).</w:t>
      </w:r>
    </w:p>
    <w:p w14:paraId="50B8DF50" w14:textId="7A7FCB86" w:rsidR="00716A02" w:rsidRPr="0031323C" w:rsidRDefault="00716A02" w:rsidP="0031323C">
      <w:pPr>
        <w:autoSpaceDE w:val="0"/>
        <w:autoSpaceDN w:val="0"/>
        <w:adjustRightInd w:val="0"/>
        <w:ind w:left="1416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- Ecografía renal.</w:t>
      </w:r>
    </w:p>
    <w:p w14:paraId="5F5BD8A0" w14:textId="1D03938D" w:rsidR="00716A02" w:rsidRPr="0031323C" w:rsidRDefault="00716A02" w:rsidP="0031323C">
      <w:pPr>
        <w:autoSpaceDE w:val="0"/>
        <w:autoSpaceDN w:val="0"/>
        <w:adjustRightInd w:val="0"/>
        <w:ind w:left="1416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- Radiografía de columna o valoración de fractura vertebral (VFA) para descartar fracturas vertebrales asintomáticas.</w:t>
      </w:r>
    </w:p>
    <w:p w14:paraId="619266C9" w14:textId="77777777" w:rsidR="00716A02" w:rsidRPr="0031323C" w:rsidRDefault="00716A02" w:rsidP="0031323C">
      <w:pPr>
        <w:autoSpaceDE w:val="0"/>
        <w:autoSpaceDN w:val="0"/>
        <w:adjustRightInd w:val="0"/>
        <w:jc w:val="both"/>
        <w:rPr>
          <w:rFonts w:cs="AppleSystemUIFont"/>
          <w:kern w:val="0"/>
          <w:lang w:val="es-ES_tradnl"/>
        </w:rPr>
      </w:pPr>
    </w:p>
    <w:p w14:paraId="5AB03F33" w14:textId="77777777" w:rsidR="00380F17" w:rsidRPr="00380F17" w:rsidRDefault="00716A02" w:rsidP="00380F17">
      <w:pPr>
        <w:autoSpaceDE w:val="0"/>
        <w:autoSpaceDN w:val="0"/>
        <w:adjustRightInd w:val="0"/>
        <w:jc w:val="both"/>
        <w:rPr>
          <w:rFonts w:cs="AppleSystemUIFont"/>
          <w:kern w:val="0"/>
        </w:rPr>
      </w:pPr>
      <w:r w:rsidRPr="0031323C">
        <w:rPr>
          <w:rFonts w:cs="AppleSystemUIFont"/>
          <w:kern w:val="0"/>
          <w:lang w:val="es-ES_tradnl"/>
        </w:rPr>
        <w:t xml:space="preserve">Pruebas de imagen de localización (solo si se plantea cirugía): La imagen de localización no es necesaria para el diagnóstico (que es bioquímico: elevación PTH), sino para planificar la cirugía </w:t>
      </w:r>
      <w:r w:rsidR="00BF5EC3" w:rsidRPr="0031323C">
        <w:rPr>
          <w:rFonts w:cs="AppleSystemUIFont"/>
          <w:kern w:val="0"/>
          <w:lang w:val="es-ES_tradnl"/>
        </w:rPr>
        <w:t>mínimamente</w:t>
      </w:r>
      <w:r w:rsidRPr="0031323C">
        <w:rPr>
          <w:rFonts w:cs="AppleSystemUIFont"/>
          <w:kern w:val="0"/>
          <w:lang w:val="es-ES_tradnl"/>
        </w:rPr>
        <w:t xml:space="preserve"> </w:t>
      </w:r>
      <w:r w:rsidR="00380F17">
        <w:rPr>
          <w:rFonts w:cs="AppleSystemUIFont"/>
          <w:kern w:val="0"/>
          <w:lang w:val="es-ES_tradnl"/>
        </w:rPr>
        <w:t xml:space="preserve">dirigida. </w:t>
      </w:r>
      <w:r w:rsidR="00380F17" w:rsidRPr="00380F17">
        <w:rPr>
          <w:rFonts w:cs="AppleSystemUIFont"/>
          <w:kern w:val="0"/>
        </w:rPr>
        <w:t>Para plantear cirugía mínimamente invasiva/dirigida suele requerirse localización concordante, idealmente con dos pruebas. Si las pruebas son negativas o discordantes, se plantea exploración cervical bilateral según criterio quirúrgico.</w:t>
      </w:r>
    </w:p>
    <w:p w14:paraId="2A88A1AB" w14:textId="77777777" w:rsidR="00716A02" w:rsidRPr="0031323C" w:rsidRDefault="00716A02" w:rsidP="0031323C">
      <w:pPr>
        <w:autoSpaceDE w:val="0"/>
        <w:autoSpaceDN w:val="0"/>
        <w:adjustRightInd w:val="0"/>
        <w:jc w:val="both"/>
        <w:rPr>
          <w:rFonts w:cs="AppleSystemUIFont"/>
          <w:kern w:val="0"/>
          <w:lang w:val="es-ES_tradnl"/>
        </w:rPr>
      </w:pPr>
    </w:p>
    <w:p w14:paraId="56AED804" w14:textId="2D5CBB75" w:rsidR="00716A02" w:rsidRPr="0031323C" w:rsidRDefault="00716A02" w:rsidP="0031323C">
      <w:pPr>
        <w:autoSpaceDE w:val="0"/>
        <w:autoSpaceDN w:val="0"/>
        <w:adjustRightInd w:val="0"/>
        <w:ind w:left="1416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 xml:space="preserve">- Ecografía cervical + gammagrafía con Tc-99m </w:t>
      </w:r>
      <w:proofErr w:type="spellStart"/>
      <w:r w:rsidRPr="0031323C">
        <w:rPr>
          <w:rFonts w:cs="AppleSystemUIFont"/>
          <w:kern w:val="0"/>
          <w:lang w:val="es-ES_tradnl"/>
        </w:rPr>
        <w:t>sestamibi</w:t>
      </w:r>
      <w:proofErr w:type="spellEnd"/>
      <w:r w:rsidRPr="0031323C">
        <w:rPr>
          <w:rFonts w:cs="AppleSystemUIFont"/>
          <w:kern w:val="0"/>
          <w:lang w:val="es-ES_tradnl"/>
        </w:rPr>
        <w:t xml:space="preserve"> (SPECT/CT) como primera línea.</w:t>
      </w:r>
    </w:p>
    <w:p w14:paraId="0CA1E274" w14:textId="6A1AB92B" w:rsidR="00716A02" w:rsidRPr="0031323C" w:rsidRDefault="00716A02" w:rsidP="0031323C">
      <w:pPr>
        <w:autoSpaceDE w:val="0"/>
        <w:autoSpaceDN w:val="0"/>
        <w:adjustRightInd w:val="0"/>
        <w:ind w:left="1416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- PET/TC con 18F-fluorocolina como segunda línea si las anteriores son negativas o discordantes.</w:t>
      </w:r>
    </w:p>
    <w:p w14:paraId="7B2CDAA9" w14:textId="77777777" w:rsidR="00716A02" w:rsidRPr="0031323C" w:rsidRDefault="00716A02" w:rsidP="0031323C">
      <w:pPr>
        <w:autoSpaceDE w:val="0"/>
        <w:autoSpaceDN w:val="0"/>
        <w:adjustRightInd w:val="0"/>
        <w:jc w:val="both"/>
        <w:rPr>
          <w:rFonts w:cs="AppleSystemUIFont"/>
          <w:kern w:val="0"/>
          <w:lang w:val="es-ES_tradnl"/>
        </w:rPr>
      </w:pPr>
    </w:p>
    <w:p w14:paraId="4BF31956" w14:textId="7786C1E6" w:rsidR="00BF5EC3" w:rsidRPr="0031323C" w:rsidRDefault="00716A02" w:rsidP="0031323C">
      <w:pPr>
        <w:autoSpaceDE w:val="0"/>
        <w:autoSpaceDN w:val="0"/>
        <w:adjustRightInd w:val="0"/>
        <w:jc w:val="both"/>
        <w:rPr>
          <w:rFonts w:cs="AppleSystemUIFont"/>
          <w:kern w:val="0"/>
        </w:rPr>
      </w:pPr>
      <w:r w:rsidRPr="0031323C">
        <w:rPr>
          <w:rFonts w:cs="AppleSystemUIFont"/>
          <w:kern w:val="0"/>
          <w:lang w:val="es-ES_tradnl"/>
        </w:rPr>
        <w:t>Estudio genético</w:t>
      </w:r>
      <w:r w:rsidR="00BF5EC3" w:rsidRPr="0031323C">
        <w:rPr>
          <w:rFonts w:cs="AppleSystemUIFont"/>
          <w:kern w:val="0"/>
          <w:lang w:val="es-ES_tradnl"/>
        </w:rPr>
        <w:t xml:space="preserve">: </w:t>
      </w:r>
      <w:r w:rsidR="00BF5EC3" w:rsidRPr="0031323C">
        <w:rPr>
          <w:rFonts w:cs="AppleSystemUIFont"/>
          <w:kern w:val="0"/>
        </w:rPr>
        <w:t xml:space="preserve">Se considerará estudio genético si el paciente es </w:t>
      </w:r>
      <w:r w:rsidR="00FA1B7A">
        <w:rPr>
          <w:rFonts w:cs="AppleSystemUIFont"/>
          <w:kern w:val="0"/>
        </w:rPr>
        <w:t>&lt;50 años</w:t>
      </w:r>
      <w:r w:rsidR="00BF5EC3" w:rsidRPr="0031323C">
        <w:rPr>
          <w:rFonts w:cs="AppleSystemUIFont"/>
          <w:kern w:val="0"/>
        </w:rPr>
        <w:t xml:space="preserve">, tiene antecedentes familiares de hipercalcemia/hiperparatiroidismo, calciuria muy baja </w:t>
      </w:r>
      <w:r w:rsidR="00BF5EC3" w:rsidRPr="0031323C">
        <w:rPr>
          <w:rFonts w:cs="AppleSystemUIFont"/>
          <w:kern w:val="0"/>
        </w:rPr>
        <w:lastRenderedPageBreak/>
        <w:t xml:space="preserve">sugestiva de hipercalcemia </w:t>
      </w:r>
      <w:proofErr w:type="spellStart"/>
      <w:r w:rsidR="00BF5EC3" w:rsidRPr="0031323C">
        <w:rPr>
          <w:rFonts w:cs="AppleSystemUIFont"/>
          <w:kern w:val="0"/>
        </w:rPr>
        <w:t>hipocalciurica</w:t>
      </w:r>
      <w:proofErr w:type="spellEnd"/>
      <w:r w:rsidR="00BF5EC3" w:rsidRPr="0031323C">
        <w:rPr>
          <w:rFonts w:cs="AppleSystemUIFont"/>
          <w:kern w:val="0"/>
        </w:rPr>
        <w:t xml:space="preserve"> familiar, enfermedad </w:t>
      </w:r>
      <w:proofErr w:type="spellStart"/>
      <w:r w:rsidR="00BF5EC3" w:rsidRPr="0031323C">
        <w:rPr>
          <w:rFonts w:cs="AppleSystemUIFont"/>
          <w:kern w:val="0"/>
        </w:rPr>
        <w:t>multiglandular</w:t>
      </w:r>
      <w:proofErr w:type="spellEnd"/>
      <w:r w:rsidR="00BF5EC3" w:rsidRPr="0031323C">
        <w:rPr>
          <w:rFonts w:cs="AppleSystemUIFont"/>
          <w:kern w:val="0"/>
        </w:rPr>
        <w:t>, recidiva/persistencia tras cirugía o datos clínicos de síndromes endocrinos familiares como MEN1/MEN2A.</w:t>
      </w:r>
    </w:p>
    <w:p w14:paraId="5F98A602" w14:textId="77777777" w:rsidR="00BF5EC3" w:rsidRPr="0031323C" w:rsidRDefault="00BF5EC3" w:rsidP="0031323C">
      <w:pPr>
        <w:autoSpaceDE w:val="0"/>
        <w:autoSpaceDN w:val="0"/>
        <w:adjustRightInd w:val="0"/>
        <w:jc w:val="both"/>
        <w:rPr>
          <w:rFonts w:cs="AppleSystemUIFont"/>
          <w:kern w:val="0"/>
        </w:rPr>
      </w:pPr>
    </w:p>
    <w:p w14:paraId="7F1AE327" w14:textId="0C174157" w:rsidR="00BF5EC3" w:rsidRPr="0031323C" w:rsidRDefault="00BF5EC3" w:rsidP="0031323C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AppleSystemUIFont"/>
          <w:kern w:val="0"/>
        </w:rPr>
      </w:pPr>
      <w:r w:rsidRPr="0031323C">
        <w:rPr>
          <w:rFonts w:cs="AppleSystemUIFont"/>
          <w:kern w:val="0"/>
        </w:rPr>
        <w:t>Posibilidades diagnósticas</w:t>
      </w:r>
    </w:p>
    <w:p w14:paraId="70E424B3" w14:textId="77777777" w:rsidR="00BF5EC3" w:rsidRPr="0031323C" w:rsidRDefault="00BF5EC3" w:rsidP="0031323C">
      <w:pPr>
        <w:autoSpaceDE w:val="0"/>
        <w:autoSpaceDN w:val="0"/>
        <w:adjustRightInd w:val="0"/>
        <w:jc w:val="both"/>
        <w:rPr>
          <w:rFonts w:cs="AppleSystemUIFont"/>
          <w:kern w:val="0"/>
        </w:rPr>
      </w:pPr>
    </w:p>
    <w:p w14:paraId="22305036" w14:textId="0E13F0DC" w:rsidR="00BF5EC3" w:rsidRPr="0031323C" w:rsidRDefault="00BF5EC3" w:rsidP="0031323C">
      <w:pPr>
        <w:autoSpaceDE w:val="0"/>
        <w:autoSpaceDN w:val="0"/>
        <w:adjustRightInd w:val="0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Una vez confirmada la hipercalcemia con PTH no suprimida, el diagnóstico diferencial se estructura según la dependencia de PTH:</w:t>
      </w:r>
    </w:p>
    <w:p w14:paraId="3281FC10" w14:textId="77777777" w:rsidR="00BF5EC3" w:rsidRPr="0031323C" w:rsidRDefault="00BF5EC3" w:rsidP="0031323C">
      <w:pPr>
        <w:autoSpaceDE w:val="0"/>
        <w:autoSpaceDN w:val="0"/>
        <w:adjustRightInd w:val="0"/>
        <w:jc w:val="both"/>
        <w:rPr>
          <w:rFonts w:cs="AppleSystemUIFont"/>
          <w:kern w:val="0"/>
          <w:lang w:val="es-ES_tradnl"/>
        </w:rPr>
      </w:pPr>
    </w:p>
    <w:p w14:paraId="54784A9C" w14:textId="2CA71A43" w:rsidR="00BF5EC3" w:rsidRPr="0031323C" w:rsidRDefault="00BF5EC3" w:rsidP="0031323C">
      <w:pPr>
        <w:autoSpaceDE w:val="0"/>
        <w:autoSpaceDN w:val="0"/>
        <w:adjustRightInd w:val="0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PTH elevada o inapropiadamente normal (PTH-dependiente):</w:t>
      </w:r>
    </w:p>
    <w:p w14:paraId="25D31C4A" w14:textId="04547A94" w:rsidR="00BF5EC3" w:rsidRPr="0031323C" w:rsidRDefault="00BF5EC3" w:rsidP="0031323C">
      <w:pPr>
        <w:autoSpaceDE w:val="0"/>
        <w:autoSpaceDN w:val="0"/>
        <w:adjustRightInd w:val="0"/>
        <w:ind w:left="708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- Hiperparatiroidismo primario (causa más frecuente de hipercalcemia ambulatoria; ~90% por adenoma único).</w:t>
      </w:r>
    </w:p>
    <w:p w14:paraId="2EF0FFA7" w14:textId="4748CC1E" w:rsidR="00BF5EC3" w:rsidRPr="0031323C" w:rsidRDefault="00BF5EC3" w:rsidP="0031323C">
      <w:pPr>
        <w:autoSpaceDE w:val="0"/>
        <w:autoSpaceDN w:val="0"/>
        <w:adjustRightInd w:val="0"/>
        <w:ind w:left="708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 xml:space="preserve">- Hipercalcemia </w:t>
      </w:r>
      <w:proofErr w:type="spellStart"/>
      <w:r w:rsidRPr="0031323C">
        <w:rPr>
          <w:rFonts w:cs="AppleSystemUIFont"/>
          <w:kern w:val="0"/>
          <w:lang w:val="es-ES_tradnl"/>
        </w:rPr>
        <w:t>hipocalciúrica</w:t>
      </w:r>
      <w:proofErr w:type="spellEnd"/>
      <w:r w:rsidRPr="0031323C">
        <w:rPr>
          <w:rFonts w:cs="AppleSystemUIFont"/>
          <w:kern w:val="0"/>
          <w:lang w:val="es-ES_tradnl"/>
        </w:rPr>
        <w:t xml:space="preserve"> familiar.</w:t>
      </w:r>
    </w:p>
    <w:p w14:paraId="6E8C690E" w14:textId="51E8BD84" w:rsidR="00BF5EC3" w:rsidRPr="0031323C" w:rsidRDefault="00BF5EC3" w:rsidP="0031323C">
      <w:pPr>
        <w:autoSpaceDE w:val="0"/>
        <w:autoSpaceDN w:val="0"/>
        <w:adjustRightInd w:val="0"/>
        <w:ind w:left="708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- Hiperparatiroidismo terciario — en contexto de ERC avanzada o post-trasplante renal.</w:t>
      </w:r>
    </w:p>
    <w:p w14:paraId="1BA7318E" w14:textId="77806781" w:rsidR="00BF5EC3" w:rsidRPr="0031323C" w:rsidRDefault="00BF5EC3" w:rsidP="0031323C">
      <w:pPr>
        <w:autoSpaceDE w:val="0"/>
        <w:autoSpaceDN w:val="0"/>
        <w:adjustRightInd w:val="0"/>
        <w:ind w:left="708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- Uso de litio — puede causar un cuadro indistinguible del HPTP.</w:t>
      </w:r>
    </w:p>
    <w:p w14:paraId="7824C49D" w14:textId="1E1BD42A" w:rsidR="00BF5EC3" w:rsidRPr="0031323C" w:rsidRDefault="00BF5EC3" w:rsidP="0031323C">
      <w:pPr>
        <w:autoSpaceDE w:val="0"/>
        <w:autoSpaceDN w:val="0"/>
        <w:adjustRightInd w:val="0"/>
        <w:ind w:left="708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- Síndromes hereditarios: MEN 1, MEN 2A, síndrome hiperparatiroidismo-tumor mandibular</w:t>
      </w:r>
    </w:p>
    <w:p w14:paraId="3597A56F" w14:textId="77777777" w:rsidR="00BF5EC3" w:rsidRPr="0031323C" w:rsidRDefault="00BF5EC3" w:rsidP="0031323C">
      <w:pPr>
        <w:autoSpaceDE w:val="0"/>
        <w:autoSpaceDN w:val="0"/>
        <w:adjustRightInd w:val="0"/>
        <w:jc w:val="both"/>
        <w:rPr>
          <w:rFonts w:cs="AppleSystemUIFont"/>
          <w:kern w:val="0"/>
          <w:lang w:val="es-ES_tradnl"/>
        </w:rPr>
      </w:pPr>
    </w:p>
    <w:p w14:paraId="26251BFE" w14:textId="77777777" w:rsidR="00BF5EC3" w:rsidRPr="0031323C" w:rsidRDefault="00BF5EC3" w:rsidP="0031323C">
      <w:pPr>
        <w:autoSpaceDE w:val="0"/>
        <w:autoSpaceDN w:val="0"/>
        <w:adjustRightInd w:val="0"/>
        <w:jc w:val="both"/>
        <w:rPr>
          <w:rFonts w:cs="AppleSystemUIFont"/>
          <w:kern w:val="0"/>
          <w:lang w:val="es-ES_tradnl"/>
        </w:rPr>
      </w:pPr>
    </w:p>
    <w:p w14:paraId="044CCE07" w14:textId="768038B9" w:rsidR="00BF5EC3" w:rsidRPr="0031323C" w:rsidRDefault="00BF5EC3" w:rsidP="0031323C">
      <w:pPr>
        <w:autoSpaceDE w:val="0"/>
        <w:autoSpaceDN w:val="0"/>
        <w:adjustRightInd w:val="0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Hiperparatiroidismo secundario (PTH elevada con calcio normal o bajo):</w:t>
      </w:r>
    </w:p>
    <w:p w14:paraId="1188913A" w14:textId="64B45DD2" w:rsidR="00BF5EC3" w:rsidRPr="0031323C" w:rsidRDefault="00BF5EC3" w:rsidP="0031323C">
      <w:pPr>
        <w:autoSpaceDE w:val="0"/>
        <w:autoSpaceDN w:val="0"/>
        <w:adjustRightInd w:val="0"/>
        <w:ind w:left="708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 xml:space="preserve">- Déficit de vitamina D, malabsorción intestinal de calcio, enfermedad renal crónica. Debe excluirse antes de diagnosticar un HPTP </w:t>
      </w:r>
      <w:proofErr w:type="spellStart"/>
      <w:r w:rsidRPr="0031323C">
        <w:rPr>
          <w:rFonts w:cs="AppleSystemUIFont"/>
          <w:kern w:val="0"/>
          <w:lang w:val="es-ES_tradnl"/>
        </w:rPr>
        <w:t>normocalcémico</w:t>
      </w:r>
      <w:proofErr w:type="spellEnd"/>
      <w:r w:rsidRPr="0031323C">
        <w:rPr>
          <w:rFonts w:cs="AppleSystemUIFont"/>
          <w:kern w:val="0"/>
          <w:lang w:val="es-ES_tradnl"/>
        </w:rPr>
        <w:t>.</w:t>
      </w:r>
    </w:p>
    <w:p w14:paraId="7F00D204" w14:textId="77777777" w:rsidR="00BF5EC3" w:rsidRPr="0031323C" w:rsidRDefault="00BF5EC3" w:rsidP="0031323C">
      <w:pPr>
        <w:autoSpaceDE w:val="0"/>
        <w:autoSpaceDN w:val="0"/>
        <w:adjustRightInd w:val="0"/>
        <w:ind w:left="708"/>
        <w:jc w:val="both"/>
        <w:rPr>
          <w:rFonts w:cs="AppleSystemUIFont"/>
          <w:kern w:val="0"/>
        </w:rPr>
      </w:pPr>
    </w:p>
    <w:p w14:paraId="7DB599AB" w14:textId="176848C9" w:rsidR="00BF5EC3" w:rsidRPr="0031323C" w:rsidRDefault="00BF5EC3" w:rsidP="0031323C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AppleSystemUIFont"/>
          <w:kern w:val="0"/>
        </w:rPr>
      </w:pPr>
      <w:r w:rsidRPr="0031323C">
        <w:rPr>
          <w:rFonts w:cs="AppleSystemUIFont"/>
          <w:kern w:val="0"/>
        </w:rPr>
        <w:t>Decisión terapéutica</w:t>
      </w:r>
    </w:p>
    <w:p w14:paraId="5E552B0A" w14:textId="77777777" w:rsidR="00BF5EC3" w:rsidRPr="0031323C" w:rsidRDefault="00BF5EC3" w:rsidP="0031323C">
      <w:pPr>
        <w:autoSpaceDE w:val="0"/>
        <w:autoSpaceDN w:val="0"/>
        <w:adjustRightInd w:val="0"/>
        <w:jc w:val="both"/>
        <w:rPr>
          <w:rFonts w:cs="AppleSystemUIFont"/>
          <w:kern w:val="0"/>
        </w:rPr>
      </w:pPr>
    </w:p>
    <w:p w14:paraId="4894C8F1" w14:textId="7D88973B" w:rsidR="00BF5EC3" w:rsidRPr="0031323C" w:rsidRDefault="00BF5EC3" w:rsidP="0031323C">
      <w:pPr>
        <w:autoSpaceDE w:val="0"/>
        <w:autoSpaceDN w:val="0"/>
        <w:adjustRightInd w:val="0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 xml:space="preserve">La </w:t>
      </w:r>
      <w:proofErr w:type="spellStart"/>
      <w:r w:rsidRPr="0031323C">
        <w:rPr>
          <w:rFonts w:cs="AppleSystemUIFont"/>
          <w:kern w:val="0"/>
          <w:lang w:val="es-ES_tradnl"/>
        </w:rPr>
        <w:t>paratiroidectomía</w:t>
      </w:r>
      <w:proofErr w:type="spellEnd"/>
      <w:r w:rsidRPr="0031323C">
        <w:rPr>
          <w:rFonts w:cs="AppleSystemUIFont"/>
          <w:kern w:val="0"/>
          <w:lang w:val="es-ES_tradnl"/>
        </w:rPr>
        <w:t xml:space="preserve"> es el único tratamiento curativo.  Está indicada en todo paciente sintomático y en asintomáticos que cumplan al menos uno de los siguientes criterios:</w:t>
      </w:r>
    </w:p>
    <w:p w14:paraId="0EEDA34A" w14:textId="77777777" w:rsidR="00BF5EC3" w:rsidRPr="0031323C" w:rsidRDefault="00BF5EC3" w:rsidP="0031323C">
      <w:pPr>
        <w:autoSpaceDE w:val="0"/>
        <w:autoSpaceDN w:val="0"/>
        <w:adjustRightInd w:val="0"/>
        <w:jc w:val="both"/>
        <w:rPr>
          <w:rFonts w:cs="AppleSystemUIFont"/>
          <w:kern w:val="0"/>
          <w:lang w:val="es-ES_tradnl"/>
        </w:rPr>
      </w:pPr>
    </w:p>
    <w:p w14:paraId="4D9E0A46" w14:textId="77777777" w:rsidR="00BF5EC3" w:rsidRPr="0031323C" w:rsidRDefault="00BF5EC3" w:rsidP="0031323C">
      <w:pPr>
        <w:autoSpaceDE w:val="0"/>
        <w:autoSpaceDN w:val="0"/>
        <w:adjustRightInd w:val="0"/>
        <w:ind w:left="708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1. Calcio sérico &gt;1 mg/</w:t>
      </w:r>
      <w:proofErr w:type="spellStart"/>
      <w:r w:rsidRPr="0031323C">
        <w:rPr>
          <w:rFonts w:cs="AppleSystemUIFont"/>
          <w:kern w:val="0"/>
          <w:lang w:val="es-ES_tradnl"/>
        </w:rPr>
        <w:t>dL</w:t>
      </w:r>
      <w:proofErr w:type="spellEnd"/>
      <w:r w:rsidRPr="0031323C">
        <w:rPr>
          <w:rFonts w:cs="AppleSystemUIFont"/>
          <w:kern w:val="0"/>
          <w:lang w:val="es-ES_tradnl"/>
        </w:rPr>
        <w:t xml:space="preserve"> por encima del límite superior de la normalidad.</w:t>
      </w:r>
    </w:p>
    <w:p w14:paraId="42FD08B4" w14:textId="77777777" w:rsidR="00BF5EC3" w:rsidRPr="0031323C" w:rsidRDefault="00BF5EC3" w:rsidP="0031323C">
      <w:pPr>
        <w:autoSpaceDE w:val="0"/>
        <w:autoSpaceDN w:val="0"/>
        <w:adjustRightInd w:val="0"/>
        <w:ind w:left="708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2. T-score ≤ −2,5 en columna, cadera o radio distal.</w:t>
      </w:r>
    </w:p>
    <w:p w14:paraId="0043C31A" w14:textId="77777777" w:rsidR="00BF5EC3" w:rsidRPr="0031323C" w:rsidRDefault="00BF5EC3" w:rsidP="0031323C">
      <w:pPr>
        <w:autoSpaceDE w:val="0"/>
        <w:autoSpaceDN w:val="0"/>
        <w:adjustRightInd w:val="0"/>
        <w:ind w:left="708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>3. Fractura vertebral en imagen.</w:t>
      </w:r>
    </w:p>
    <w:p w14:paraId="42A06A87" w14:textId="7E0B9963" w:rsidR="00BF5EC3" w:rsidRDefault="00BF5EC3" w:rsidP="0031323C">
      <w:pPr>
        <w:autoSpaceDE w:val="0"/>
        <w:autoSpaceDN w:val="0"/>
        <w:adjustRightInd w:val="0"/>
        <w:ind w:left="708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 xml:space="preserve">4. </w:t>
      </w:r>
      <w:r w:rsidR="0052190C">
        <w:rPr>
          <w:rFonts w:cs="AppleSystemUIFont"/>
          <w:kern w:val="0"/>
          <w:lang w:val="es-ES_tradnl"/>
        </w:rPr>
        <w:t xml:space="preserve">Filtrado glomerular </w:t>
      </w:r>
      <w:r w:rsidRPr="0031323C">
        <w:rPr>
          <w:rFonts w:cs="AppleSystemUIFont"/>
          <w:kern w:val="0"/>
          <w:lang w:val="es-ES_tradnl"/>
        </w:rPr>
        <w:t xml:space="preserve"> </w:t>
      </w:r>
      <w:r w:rsidR="0052190C">
        <w:rPr>
          <w:rFonts w:cs="AppleSystemUIFont"/>
          <w:kern w:val="0"/>
          <w:lang w:val="es-ES_tradnl"/>
        </w:rPr>
        <w:t>&lt;60ml/min.</w:t>
      </w:r>
    </w:p>
    <w:p w14:paraId="31B0DFFD" w14:textId="58081D62" w:rsidR="00380F17" w:rsidRDefault="00380F17" w:rsidP="0031323C">
      <w:pPr>
        <w:autoSpaceDE w:val="0"/>
        <w:autoSpaceDN w:val="0"/>
        <w:adjustRightInd w:val="0"/>
        <w:ind w:left="708"/>
        <w:jc w:val="both"/>
        <w:rPr>
          <w:rFonts w:cs="AppleSystemUIFont"/>
          <w:kern w:val="0"/>
          <w:lang w:val="es-ES_tradnl"/>
        </w:rPr>
      </w:pPr>
      <w:r>
        <w:rPr>
          <w:rFonts w:cs="AppleSystemUIFont"/>
          <w:kern w:val="0"/>
          <w:lang w:val="es-ES_tradnl"/>
        </w:rPr>
        <w:t>5. Hipercalciuria &gt;250mg/día en mujeres o &gt;300mg/día en hombres.</w:t>
      </w:r>
    </w:p>
    <w:p w14:paraId="4B083608" w14:textId="2193F3EC" w:rsidR="00380F17" w:rsidRPr="0031323C" w:rsidRDefault="00380F17" w:rsidP="0031323C">
      <w:pPr>
        <w:autoSpaceDE w:val="0"/>
        <w:autoSpaceDN w:val="0"/>
        <w:adjustRightInd w:val="0"/>
        <w:ind w:left="708"/>
        <w:jc w:val="both"/>
        <w:rPr>
          <w:rFonts w:cs="AppleSystemUIFont"/>
          <w:kern w:val="0"/>
          <w:lang w:val="es-ES_tradnl"/>
        </w:rPr>
      </w:pPr>
      <w:r>
        <w:rPr>
          <w:rFonts w:cs="AppleSystemUIFont"/>
          <w:kern w:val="0"/>
          <w:lang w:val="es-ES_tradnl"/>
        </w:rPr>
        <w:t xml:space="preserve">6. Litiasis renal o </w:t>
      </w:r>
      <w:proofErr w:type="spellStart"/>
      <w:r>
        <w:rPr>
          <w:rFonts w:cs="AppleSystemUIFont"/>
          <w:kern w:val="0"/>
          <w:lang w:val="es-ES_tradnl"/>
        </w:rPr>
        <w:t>nefrocalcinosis</w:t>
      </w:r>
      <w:proofErr w:type="spellEnd"/>
      <w:r>
        <w:rPr>
          <w:rFonts w:cs="AppleSystemUIFont"/>
          <w:kern w:val="0"/>
          <w:lang w:val="es-ES_tradnl"/>
        </w:rPr>
        <w:t xml:space="preserve"> en pruebas de imagen. </w:t>
      </w:r>
    </w:p>
    <w:p w14:paraId="2BB23F1E" w14:textId="0F157F8B" w:rsidR="00BF5EC3" w:rsidRPr="0031323C" w:rsidRDefault="00BF5EC3" w:rsidP="0031323C">
      <w:pPr>
        <w:autoSpaceDE w:val="0"/>
        <w:autoSpaceDN w:val="0"/>
        <w:adjustRightInd w:val="0"/>
        <w:ind w:left="708"/>
        <w:jc w:val="both"/>
        <w:rPr>
          <w:rFonts w:cs="AppleSystemUIFont"/>
          <w:kern w:val="0"/>
          <w:lang w:val="es-ES_tradnl"/>
        </w:rPr>
      </w:pPr>
      <w:r w:rsidRPr="0031323C">
        <w:rPr>
          <w:rFonts w:cs="AppleSystemUIFont"/>
          <w:kern w:val="0"/>
          <w:lang w:val="es-ES_tradnl"/>
        </w:rPr>
        <w:t xml:space="preserve">7. Edad </w:t>
      </w:r>
      <w:r w:rsidR="0031323C" w:rsidRPr="0031323C">
        <w:rPr>
          <w:rFonts w:cs="AppleSystemUIFont"/>
          <w:kern w:val="0"/>
          <w:lang w:val="es-ES_tradnl"/>
        </w:rPr>
        <w:t>&lt;50 años</w:t>
      </w:r>
    </w:p>
    <w:p w14:paraId="5A2A1CF3" w14:textId="77777777" w:rsidR="0031323C" w:rsidRPr="0031323C" w:rsidRDefault="0031323C" w:rsidP="0031323C">
      <w:pPr>
        <w:autoSpaceDE w:val="0"/>
        <w:autoSpaceDN w:val="0"/>
        <w:adjustRightInd w:val="0"/>
        <w:jc w:val="both"/>
        <w:rPr>
          <w:rFonts w:cs="AppleSystemUIFont"/>
          <w:kern w:val="0"/>
          <w:lang w:val="es-ES_tradnl"/>
        </w:rPr>
      </w:pPr>
    </w:p>
    <w:p w14:paraId="16402D3B" w14:textId="68E2AABA" w:rsidR="0031323C" w:rsidRPr="0031323C" w:rsidRDefault="0031323C" w:rsidP="0031323C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AppleSystemUIFont"/>
          <w:kern w:val="0"/>
        </w:rPr>
      </w:pPr>
      <w:r w:rsidRPr="0031323C">
        <w:rPr>
          <w:rFonts w:cs="AppleSystemUIFont"/>
          <w:kern w:val="0"/>
        </w:rPr>
        <w:t>Que solicitar si se decide cirugía:</w:t>
      </w:r>
    </w:p>
    <w:p w14:paraId="15BD4E9F" w14:textId="0EDBA9F7" w:rsidR="0031323C" w:rsidRPr="0031323C" w:rsidRDefault="0031323C" w:rsidP="0031323C">
      <w:pPr>
        <w:autoSpaceDE w:val="0"/>
        <w:autoSpaceDN w:val="0"/>
        <w:adjustRightInd w:val="0"/>
        <w:jc w:val="both"/>
        <w:rPr>
          <w:rFonts w:cs="AppleSystemUIFont"/>
          <w:kern w:val="0"/>
        </w:rPr>
      </w:pPr>
    </w:p>
    <w:p w14:paraId="30F7EAAD" w14:textId="77777777" w:rsidR="00380F17" w:rsidRDefault="00380F17" w:rsidP="0031323C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cs="AppleSystemUIFont"/>
          <w:kern w:val="0"/>
        </w:rPr>
      </w:pPr>
      <w:r>
        <w:rPr>
          <w:rFonts w:cs="AppleSystemUIFont"/>
          <w:kern w:val="0"/>
        </w:rPr>
        <w:t>Si hay cirugía cervical previa, disfonía, sospecha de carcinoma p</w:t>
      </w:r>
    </w:p>
    <w:p w14:paraId="4C231C90" w14:textId="7FA9DD86" w:rsidR="0031323C" w:rsidRPr="0031323C" w:rsidRDefault="00380F17" w:rsidP="00380F17">
      <w:pPr>
        <w:pStyle w:val="Prrafodelista"/>
        <w:autoSpaceDE w:val="0"/>
        <w:autoSpaceDN w:val="0"/>
        <w:adjustRightInd w:val="0"/>
        <w:ind w:left="1800"/>
        <w:jc w:val="both"/>
        <w:rPr>
          <w:rFonts w:cs="AppleSystemUIFont"/>
          <w:kern w:val="0"/>
        </w:rPr>
      </w:pPr>
      <w:r>
        <w:rPr>
          <w:rFonts w:cs="AppleSystemUIFont"/>
          <w:kern w:val="0"/>
        </w:rPr>
        <w:t xml:space="preserve">De paratiroides o sospecha de invasión local, bocio asociado, </w:t>
      </w:r>
      <w:r w:rsidR="0031323C" w:rsidRPr="0031323C">
        <w:rPr>
          <w:rFonts w:cs="AppleSystemUIFont"/>
          <w:kern w:val="0"/>
        </w:rPr>
        <w:t xml:space="preserve">Si es no localizado (menos de dos pruebas de localización positivas, o discordantes) hay que realizar exploración cervical bilateral, por lo que previamente habrá que comprobar adecuada movilidad de cuerdas vocales. Solicitando </w:t>
      </w:r>
      <w:proofErr w:type="spellStart"/>
      <w:r w:rsidR="0031323C" w:rsidRPr="0031323C">
        <w:rPr>
          <w:rFonts w:cs="AppleSystemUIFont"/>
          <w:kern w:val="0"/>
        </w:rPr>
        <w:t>fibroscopia</w:t>
      </w:r>
      <w:proofErr w:type="spellEnd"/>
      <w:r w:rsidR="0031323C" w:rsidRPr="0031323C">
        <w:rPr>
          <w:rFonts w:cs="AppleSystemUIFont"/>
          <w:kern w:val="0"/>
        </w:rPr>
        <w:t xml:space="preserve"> laríngea por otorrinolaringología.</w:t>
      </w:r>
    </w:p>
    <w:p w14:paraId="3BA8AB4C" w14:textId="40B24BB9" w:rsidR="0031323C" w:rsidRPr="0031323C" w:rsidRDefault="0031323C" w:rsidP="0031323C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cs="AppleSystemUIFont"/>
          <w:kern w:val="0"/>
        </w:rPr>
      </w:pPr>
      <w:r w:rsidRPr="0031323C">
        <w:rPr>
          <w:rFonts w:cs="AppleSystemUIFont"/>
          <w:kern w:val="0"/>
        </w:rPr>
        <w:lastRenderedPageBreak/>
        <w:t>Consulta de preanestesia.</w:t>
      </w:r>
    </w:p>
    <w:p w14:paraId="616A02FC" w14:textId="010D93EF" w:rsidR="0031323C" w:rsidRDefault="0031323C" w:rsidP="0031323C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cs="AppleSystemUIFont"/>
          <w:kern w:val="0"/>
        </w:rPr>
      </w:pPr>
      <w:r w:rsidRPr="0031323C">
        <w:rPr>
          <w:rFonts w:cs="AppleSystemUIFont"/>
          <w:kern w:val="0"/>
        </w:rPr>
        <w:t xml:space="preserve">Cuando vuelva el paciente con el visto bueno de anestesia habrá que incluir al paciente en lista de </w:t>
      </w:r>
      <w:proofErr w:type="spellStart"/>
      <w:r w:rsidRPr="0031323C">
        <w:rPr>
          <w:rFonts w:cs="AppleSystemUIFont"/>
          <w:kern w:val="0"/>
        </w:rPr>
        <w:t>esperea</w:t>
      </w:r>
      <w:proofErr w:type="spellEnd"/>
      <w:r w:rsidRPr="0031323C">
        <w:rPr>
          <w:rFonts w:cs="AppleSystemUIFont"/>
          <w:kern w:val="0"/>
        </w:rPr>
        <w:t xml:space="preserve"> quirúrgica.</w:t>
      </w:r>
    </w:p>
    <w:p w14:paraId="08592BFD" w14:textId="017D58C1" w:rsidR="00380F17" w:rsidRDefault="00380F17" w:rsidP="0031323C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cs="AppleSystemUIFont"/>
          <w:kern w:val="0"/>
        </w:rPr>
      </w:pPr>
      <w:r>
        <w:rPr>
          <w:rFonts w:cs="AppleSystemUIFont"/>
          <w:kern w:val="0"/>
        </w:rPr>
        <w:t>Explicar la cirugía</w:t>
      </w:r>
    </w:p>
    <w:p w14:paraId="055DC09A" w14:textId="0594DA95" w:rsidR="00380F17" w:rsidRPr="0031323C" w:rsidRDefault="00380F17" w:rsidP="0031323C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cs="AppleSystemUIFont"/>
          <w:kern w:val="0"/>
        </w:rPr>
      </w:pPr>
      <w:r>
        <w:rPr>
          <w:rFonts w:cs="AppleSystemUIFont"/>
          <w:kern w:val="0"/>
        </w:rPr>
        <w:t>Firmar consentimiento informado de cirugía.</w:t>
      </w:r>
    </w:p>
    <w:sectPr w:rsidR="00380F17" w:rsidRPr="003132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E1F7D"/>
    <w:multiLevelType w:val="hybridMultilevel"/>
    <w:tmpl w:val="CC624A56"/>
    <w:lvl w:ilvl="0" w:tplc="5F720450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92E6AD9"/>
    <w:multiLevelType w:val="hybridMultilevel"/>
    <w:tmpl w:val="E85EE25C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626033">
    <w:abstractNumId w:val="1"/>
  </w:num>
  <w:num w:numId="2" w16cid:durableId="981084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9DC"/>
    <w:rsid w:val="00040A1F"/>
    <w:rsid w:val="0031323C"/>
    <w:rsid w:val="00380F17"/>
    <w:rsid w:val="0052190C"/>
    <w:rsid w:val="006D75F5"/>
    <w:rsid w:val="00716A02"/>
    <w:rsid w:val="00AE0164"/>
    <w:rsid w:val="00BF5EC3"/>
    <w:rsid w:val="00E15512"/>
    <w:rsid w:val="00E749DC"/>
    <w:rsid w:val="00FA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D689DC"/>
  <w15:chartTrackingRefBased/>
  <w15:docId w15:val="{5B3A1515-3E01-D349-8539-674450FCC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A02"/>
  </w:style>
  <w:style w:type="paragraph" w:styleId="Ttulo1">
    <w:name w:val="heading 1"/>
    <w:basedOn w:val="Normal"/>
    <w:next w:val="Normal"/>
    <w:link w:val="Ttulo1Car"/>
    <w:uiPriority w:val="9"/>
    <w:qFormat/>
    <w:rsid w:val="00E74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4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4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4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4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49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49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49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49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4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4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4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49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49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49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49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49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49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49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4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49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4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49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49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49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49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4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49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4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928</Words>
  <Characters>5104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HERNANDEZ KAKAURIDZE</dc:creator>
  <cp:keywords/>
  <dc:description/>
  <cp:lastModifiedBy>SERGIO HERNANDEZ KAKAURIDZE</cp:lastModifiedBy>
  <cp:revision>2</cp:revision>
  <dcterms:created xsi:type="dcterms:W3CDTF">2026-05-26T08:39:00Z</dcterms:created>
  <dcterms:modified xsi:type="dcterms:W3CDTF">2026-05-26T20:23:00Z</dcterms:modified>
</cp:coreProperties>
</file>