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color w:val="1B2631"/>
          <w:sz w:val="40"/>
          <w:szCs w:val="40"/>
        </w:rPr>
        <w:t>Instructivo de Despliegue a Producción</w:t>
      </w:r>
    </w:p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color w:val="2E4053"/>
          <w:sz w:val="28"/>
          <w:szCs w:val="28"/>
        </w:rPr>
        <w:t>Sistema de Registro Único de Femicidios (RUFEM)</w:t>
      </w:r>
    </w:p>
    <w:p>
      <w:pPr>
        <w:pStyle w:val="Normal"/>
        <w:spacing w:before="0" w:after="400"/>
        <w:jc w:val="center"/>
        <w:rPr/>
      </w:pPr>
      <w:r>
        <w:rPr>
          <w:rFonts w:eastAsia="Calibri" w:cs="Calibri" w:ascii="Calibri" w:hAnsi="Calibri"/>
          <w:i/>
          <w:iCs/>
          <w:color w:val="5D6D7E"/>
          <w:sz w:val="20"/>
          <w:szCs w:val="20"/>
        </w:rPr>
        <w:t>Versión 1.0 — Agosto 2026</w:t>
      </w:r>
    </w:p>
    <w:p>
      <w:pPr>
        <w:pStyle w:val="Heading1"/>
        <w:spacing w:before="320" w:after="160"/>
        <w:rPr/>
      </w:pPr>
      <w:r>
        <w:rPr/>
        <w:t>1. Objetivo del documento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Este instructivo describe el procedimiento para desplegar en el ambiente de producción el Sistema de Registro Único de Femicidios (RUFEM), y detalla puntualmente las variables de entorno que el equipo de infraestructura debe configurar, en respuesta a lo solicitado para dar de alta el ambiente autorizado.</w:t>
      </w:r>
    </w:p>
    <w:p>
      <w:pPr>
        <w:pStyle w:val="Heading1"/>
        <w:spacing w:before="320" w:after="160"/>
        <w:rPr/>
      </w:pPr>
      <w:r>
        <w:rPr/>
        <w:t>2. Descripción del sistema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RUFEM tiene como objetivo el registro, sistematización y análisis de información vinculada a la muerte violenta de mujeres, con el fin de establecer la ruta crítica del caso. Su alcance incluye a la Secretaría de Estado de Igualdad y Diversidad (SMGyD) y a otros organismos vinculados con la temática (MPA, CAJ, PGCSJ, entre otros). Los usuarios que acceden al sistema son el personal designado por cada organismo correspondiente, autenticado a través del SSO institucional (CAS).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Aplicación desarrollada en Symfony 6.4 (PHP), con persistencia en MySQL. El repositorio de código fuente es: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https://github.com/lucialeitessanchez/SUIMVM</w:t>
      </w:r>
    </w:p>
    <w:p>
      <w:pPr>
        <w:pStyle w:val="Heading1"/>
        <w:spacing w:before="320" w:after="160"/>
        <w:rPr/>
      </w:pPr>
      <w:r>
        <w:rPr/>
        <w:t>3. Arquitectura de despliegue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El sistema se compone de cuatro nodos, según el diagrama de despliegue adjunto en doc/:</w:t>
      </w:r>
    </w:p>
    <w:p>
      <w:pPr>
        <w:pStyle w:val="ListParagraph"/>
        <w:numPr>
          <w:ilvl w:val="0"/>
          <w:numId w:val="5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Cliente Web: navegador (Chrome, Firefox, Edge), accede vía HTTPS.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Servidor de Aplicaciones: Apache + PHP, ejecuta la aplicación Symfony (controladores, servicios, entidades Doctrine, vistas Twig).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Servidor de Base de Datos: MySQL, base de datos migyd_rufem.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Servidor de Archivos: almacenamiento de archivos adjuntos (documentos, imágenes).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Servidor de Autenticación: CAS institucional (sso.santafe.gob.ar), usado por el servidor de aplicaciones para validar credenciales.</w:t>
      </w:r>
    </w:p>
    <w:p>
      <w:pPr>
        <w:pStyle w:val="Heading1"/>
        <w:spacing w:before="320" w:after="160"/>
        <w:rPr/>
      </w:pPr>
      <w:r>
        <w:rPr/>
        <w:t>4. Requisitos del servidor de aplicaciones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PHP 8.1 o superior, con extensiones ctype e iconv habilitadas.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Extensión PDO MySQL (pdo_mysql) habilitada.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Composer 2.x instalado.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Servidor web Apache (o Nginx + PHP-FPM) con el docroot apuntando al directorio public/ de la aplicación, no a la raíz del proyecto.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Conectividad de red saliente hacia el servidor MySQL de producción, hacia sso.santafe.gob.ar (puerto 443, CAS) y hacia el servidor SMTP correo.santafe.gov.ar (puerto 587).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Permisos de escritura para el usuario del servidor web sobre los directorios var/ (caché y logs de Symfony) y var/uploads/archivos (archivos adjuntos).</w:t>
      </w:r>
    </w:p>
    <w:p>
      <w:pPr>
        <w:pStyle w:val="Heading1"/>
        <w:spacing w:before="320" w:after="160"/>
        <w:rPr/>
      </w:pPr>
      <w:r>
        <w:rPr/>
        <w:t>5. Variables de entorno requeridas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La aplicación se configura íntegramente por variables de entorno, siguiendo el estándar de Symfony. Estas son las variables que deben definirse en producción (nombres, no valores — los valores de producción no deben figurar en el repositorio de código):</w:t>
      </w:r>
    </w:p>
    <w:tbl>
      <w:tblPr>
        <w:tblW w:w="9350" w:type="dxa"/>
        <w:jc w:val="left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2200"/>
        <w:gridCol w:w="4649"/>
        <w:gridCol w:w="2501"/>
      </w:tblGrid>
      <w:tr>
        <w:trPr>
          <w:tblHeader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E4053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E4053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E4053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Formato / ejemplo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APP_ENV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Entorno de ejecución de la aplicación.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prod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APP_SECRET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Secreto interno de Symfony, usado para CSRF y firmas internas. Debe ser un valor propio de producción, no reutilizado de otros ambientes.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cadena hexadecimal aleatoria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TRUSTED_PROXIES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Rangos de IP de los proxies/balanceadores desde donde llega el tráfico, para que Symfony resuelva correctamente IP de origen y esquema HTTPS.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127.0.0.0/8,10.0.0.0/8,...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DATABASE_URL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Cadena de conexión a la base de datos MySQL de producción (migyd_rufem).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mysql://usuario:password@host:3306/migyd_rufem?serverVersion=8.0&amp;charset=utf8mb4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MESSENGER_TRANSPORT_DSN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Transporte de Symfony Messenger para el envío asíncrono de mensajes/notificaciones.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doctrine://default?auto_setup=0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MAILER_DSN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Servidor SMTP para el envío de correos de la aplicación.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smtp://usuario:password@correo.santafe.gov.ar:587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Estas seis variables son las únicas que la aplicación requiere para funcionar en producción; no hay otras dependencias de configuración externas al margen de las descriptas.</w:t>
      </w:r>
    </w:p>
    <w:p>
      <w:pPr>
        <w:pStyle w:val="Heading1"/>
        <w:spacing w:before="320" w:after="160"/>
        <w:rPr/>
      </w:pPr>
      <w:r>
        <w:rPr/>
        <w:t>6. Procedimiento de configuración del entorno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Siguiendo el mismo criterio utilizado en otros proyectos (archivo de configuración por ambiente que se "pisa" sobre el archivo activo), el procedimiento para este sistema es el siguiente:</w:t>
      </w:r>
    </w:p>
    <w:p>
      <w:pPr>
        <w:pStyle w:val="ListParagraph"/>
        <w:numPr>
          <w:ilvl w:val="0"/>
          <w:numId w:val="6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Ubicar en el proyecto el archivo de configuración de producción. En el repositorio actual figura como ".env.prod".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Completar en ".env.prod" (o directamente en un archivo ".env.local",  los valores reales de producción para las seis variables listadas en la sección 5, provistos por el equipo de infraestructura.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Renombrar ese archivo a ".env" en el directorio raíz de la aplicación.</w:t>
      </w:r>
    </w:p>
    <w:p>
      <w:pPr>
        <w:pStyle w:val="ListParagraph"/>
        <w:numPr>
          <w:ilvl w:val="0"/>
          <w:numId w:val="2"/>
        </w:numPr>
        <w:spacing w:before="0" w:after="120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Eliminar cualquier otro archivo ".env*" que exista en el directorio (".env" original del repositorio, ".env.test", etc.), de forma que quede un único archivo ".env" activo con los valores de producción.</w:t>
      </w:r>
    </w:p>
    <w:p>
      <w:pPr>
        <w:pStyle w:val="Heading1"/>
        <w:spacing w:before="320" w:after="160"/>
        <w:rPr/>
      </w:pPr>
      <w:r>
        <w:rPr/>
        <w:t>7. Pasos de instalación en el servidor</w:t>
      </w:r>
    </w:p>
    <w:p>
      <w:pPr>
        <w:pStyle w:val="ListParagraph"/>
        <w:numPr>
          <w:ilvl w:val="0"/>
          <w:numId w:val="7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Obtener el código fuente de la rama master del repositorio en el servidor de aplicaciones.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git clone https://github.com/lucialeitessanchez/SUIMVM.git cd SUIMVM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Configurar el archivo de entorno según el procedimiento de la sección 6.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Instalar las dependencias de PHP sin paquetes de desarrollo.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composer install --no-dev --optimize-autoloader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Compilar los assets del frontend (JS/CSS gestionados por Symfony AssetMapper, no requiere Node.js/npm).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php bin/console asset-map:compile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Ejecutar las migraciones de base de datos para dejar el esquema actualizado.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php bin/console doctrine:migrations:migrate --no-interaction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Limpiar y precalentar la caché de producción.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php bin/console cache:clear --env=prod --no-debug php bin/console cache:warmup --env=prod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Asignar permisos de escritura al usuario del servidor web sobre var/ y var/uploads/archivos.</w:t>
      </w:r>
    </w:p>
    <w:p>
      <w:pPr>
        <w:pStyle w:val="Normal"/>
        <w:shd w:val="clear" w:fill="F2F2F2"/>
        <w:spacing w:before="0" w:after="160"/>
        <w:rPr/>
      </w:pPr>
      <w:r>
        <w:rPr>
          <w:rFonts w:eastAsia="Consolas" w:cs="Consolas" w:ascii="Consolas" w:hAnsi="Consolas"/>
          <w:sz w:val="20"/>
          <w:szCs w:val="20"/>
        </w:rPr>
        <w:t>chown -R www-data:www-data var/ chmod -R u+rwX,go+rX,go-w var/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Configurar el virtual host de Apache apuntando el DocumentRoot al directorio public/ del proyecto, con AllowOverride/mod_rewrite habilitado.</w:t>
      </w:r>
    </w:p>
    <w:p>
      <w:pPr>
        <w:pStyle w:val="ListParagraph"/>
        <w:numPr>
          <w:ilvl w:val="0"/>
          <w:numId w:val="3"/>
        </w:numPr>
        <w:spacing w:before="0" w:after="120"/>
        <w:rPr/>
      </w:pPr>
      <w:r>
        <w:rPr>
          <w:rFonts w:eastAsia="Calibri" w:cs="Calibri" w:ascii="Calibri" w:hAnsi="Calibri"/>
          <w:sz w:val="22"/>
          <w:szCs w:val="22"/>
        </w:rPr>
        <w:t>Verificar en config/packages/cas.yaml que service_base_url corresponda al dominio real de producción y que debug esté en false.</w:t>
      </w:r>
    </w:p>
    <w:p>
      <w:pPr>
        <w:pStyle w:val="Heading1"/>
        <w:spacing w:before="320" w:after="160"/>
        <w:rPr/>
      </w:pPr>
      <w:r>
        <w:rPr/>
        <w:t>8. Verificación posterior al despliegue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La aplicación carga correctamente sobre HTTPS y redirige a la pantalla de autenticación CAS.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El login contra el SSO institucional (sso.santafe.gob.ar) funciona y redirige de vuelta a la aplicación.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La aplicación puede leer y escribir en la base de datos migyd_rufem (por ejemplo, ingresando a una pantalla que liste datos existentes).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La carga de un archivo adjunto se guarda correctamente en el servidor de archivos.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El envío de un correo de prueba (si aplica algún flujo que lo dispare) llega correctamente.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 w:ascii="Calibri" w:hAnsi="Calibri"/>
          <w:sz w:val="22"/>
          <w:szCs w:val="22"/>
        </w:rPr>
        <w:t>Los logs de producción (var/log/prod.log) no muestran errores al recorrer las pantallas principales.</w:t>
      </w:r>
    </w:p>
    <w:p>
      <w:pPr>
        <w:pStyle w:val="Heading1"/>
        <w:spacing w:before="320" w:after="160"/>
        <w:rPr/>
      </w:pPr>
      <w:r>
        <w:rPr/>
        <w:t>9. Contacto</w:t>
      </w:r>
    </w:p>
    <w:p>
      <w:pPr>
        <w:pStyle w:val="Normal"/>
        <w:spacing w:before="0" w:after="160"/>
        <w:rPr/>
      </w:pPr>
      <w:r>
        <w:rPr>
          <w:rFonts w:eastAsia="Calibri" w:cs="Calibri" w:ascii="Calibri" w:hAnsi="Calibri"/>
          <w:sz w:val="22"/>
          <w:szCs w:val="22"/>
        </w:rPr>
        <w:t>Ante cualquier duda sobre este instructivo o sobre el comportamiento esperado de la aplicación, contactar al equipo de desarrollo de RUFEM.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2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20" w:hanging="2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20" w:hanging="2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s-ES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s-E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s-E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4</Pages>
  <Words>937</Words>
  <Characters>5650</Characters>
  <CharactersWithSpaces>6476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2026-08-18T10:52:07Z</dcterms:created>
  <dc:creator>Un-named</dc:creator>
  <dc:description/>
  <dc:language>es-ES</dc:language>
  <cp:lastModifiedBy/>
  <dcterms:modified xsi:type="dcterms:W3CDTF">2026-08-18T07:58:33Z</dcterms:modified>
  <cp:revision>2</cp:revision>
  <dc:subject/>
  <dc:title/>
</cp:coreProperties>
</file>