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5D924" w14:textId="5D240602" w:rsidR="00F46F3D" w:rsidRPr="00B808D3" w:rsidRDefault="00571D5E" w:rsidP="00B808D3">
      <w:pPr>
        <w:tabs>
          <w:tab w:val="left" w:pos="3150"/>
        </w:tabs>
        <w:rPr>
          <w:sz w:val="32"/>
          <w:szCs w:val="32"/>
        </w:rPr>
      </w:pPr>
      <w:r w:rsidRPr="00B808D3">
        <w:rPr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8B81FF8" wp14:editId="2D0F5981">
                <wp:simplePos x="0" y="0"/>
                <wp:positionH relativeFrom="column">
                  <wp:posOffset>-1202055</wp:posOffset>
                </wp:positionH>
                <wp:positionV relativeFrom="paragraph">
                  <wp:posOffset>-247015</wp:posOffset>
                </wp:positionV>
                <wp:extent cx="7650480" cy="1758950"/>
                <wp:effectExtent l="0" t="0" r="7620" b="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50480" cy="175895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99C014" id="Rectangle 3" o:spid="_x0000_s1026" style="position:absolute;margin-left:-94.65pt;margin-top:-19.45pt;width:602.4pt;height:138.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" fillcolor="#f2f2f2" stroked="f" strokeweight="1pt"/>
            </w:pict>
          </mc:Fallback>
        </mc:AlternateContent>
      </w:r>
      <w:r w:rsidR="00F46F3D" w:rsidRPr="00B808D3">
        <w:rPr>
          <w:sz w:val="32"/>
          <w:szCs w:val="32"/>
        </w:rPr>
        <w:t>Datos del estudiante</w:t>
      </w:r>
    </w:p>
    <w:p w14:paraId="13D5827F" w14:textId="52F09D00" w:rsidR="00571D5E" w:rsidRPr="002B3658" w:rsidRDefault="00571D5E" w:rsidP="00B808D3">
      <w:pPr>
        <w:ind w:left="2836" w:hanging="2836"/>
      </w:pPr>
      <w:r w:rsidRPr="00A232E5">
        <w:rPr>
          <w:b/>
          <w:bCs/>
        </w:rPr>
        <w:t>Nombre y apellidos</w:t>
      </w:r>
      <w:r w:rsidRPr="002B3658">
        <w:tab/>
      </w:r>
      <w:r w:rsidR="00B808D3">
        <w:t>Lidia Conde Matos</w:t>
      </w:r>
      <w:r w:rsidR="00B808D3">
        <w:t xml:space="preserve">, </w:t>
      </w:r>
      <w:r w:rsidR="00B808D3">
        <w:t>Lucia Martinez Garrido</w:t>
      </w:r>
      <w:r w:rsidR="00B808D3">
        <w:t xml:space="preserve">, </w:t>
      </w:r>
      <w:r w:rsidR="00B808D3">
        <w:t>Miguel Grande Falceto</w:t>
      </w:r>
      <w:r w:rsidR="00B808D3">
        <w:t xml:space="preserve">, </w:t>
      </w:r>
      <w:r w:rsidR="00B808D3">
        <w:t xml:space="preserve">Paula Andrea Sanchez </w:t>
      </w:r>
      <w:r w:rsidR="00B808D3">
        <w:t>A</w:t>
      </w:r>
      <w:r w:rsidR="00B808D3">
        <w:t>lvarez</w:t>
      </w:r>
      <w:r w:rsidR="00B808D3">
        <w:t xml:space="preserve">, </w:t>
      </w:r>
      <w:r w:rsidR="00B808D3">
        <w:rPr>
          <w:bCs/>
          <w:iCs/>
        </w:rPr>
        <w:t>Elena Martinez Garrido</w:t>
      </w:r>
      <w:r w:rsidR="00B808D3">
        <w:rPr>
          <w:bCs/>
          <w:iCs/>
        </w:rPr>
        <w:t>.</w:t>
      </w:r>
      <w:r>
        <w:t xml:space="preserve"> </w:t>
      </w:r>
    </w:p>
    <w:p w14:paraId="3979FC5A" w14:textId="755FB084" w:rsidR="00571D5E" w:rsidRDefault="00571D5E" w:rsidP="005C4BE9">
      <w:pPr>
        <w:rPr>
          <w:rFonts w:ascii="Roboto" w:hAnsi="Roboto"/>
        </w:rPr>
      </w:pPr>
      <w:r w:rsidRPr="00A232E5">
        <w:rPr>
          <w:b/>
          <w:bCs/>
        </w:rPr>
        <w:t>Fecha de entrega</w:t>
      </w:r>
      <w:r w:rsidRPr="00F665D6">
        <w:tab/>
      </w:r>
      <w:r>
        <w:tab/>
      </w:r>
      <w:r w:rsidR="00B808D3">
        <w:t>01/02/2026</w:t>
      </w:r>
    </w:p>
    <w:p w14:paraId="6E8B0772" w14:textId="77777777" w:rsidR="00A232E5" w:rsidRPr="00A232E5" w:rsidRDefault="00A232E5" w:rsidP="005C4BE9">
      <w:pPr>
        <w:rPr>
          <w:rFonts w:ascii="Roboto" w:hAnsi="Roboto"/>
        </w:rPr>
      </w:pPr>
    </w:p>
    <w:p w14:paraId="4F17B007" w14:textId="47596230" w:rsidR="00E54A6A" w:rsidRPr="009E1674" w:rsidRDefault="00E54A6A" w:rsidP="005C4BE9">
      <w:pPr>
        <w:rPr>
          <w:sz w:val="40"/>
          <w:szCs w:val="40"/>
        </w:rPr>
      </w:pPr>
      <w:r w:rsidRPr="00E54A6A">
        <w:rPr>
          <w:sz w:val="40"/>
          <w:szCs w:val="40"/>
        </w:rPr>
        <w:t>Actividad 3 (grupal): Anotación e interpretación de variantes</w:t>
      </w:r>
    </w:p>
    <w:p w14:paraId="7361E96D" w14:textId="1054FED9" w:rsidR="00FB6677" w:rsidRDefault="00FB6677" w:rsidP="009E1674">
      <w:pPr>
        <w:pStyle w:val="TtuloApartado3"/>
      </w:pPr>
      <w:r w:rsidRPr="005241B8">
        <w:t>Objetivos</w:t>
      </w:r>
      <w:r w:rsidRPr="0015347F">
        <w:t xml:space="preserve"> </w:t>
      </w:r>
    </w:p>
    <w:p w14:paraId="0A02B680" w14:textId="77777777" w:rsidR="001136C4" w:rsidRDefault="001136C4" w:rsidP="001136C4">
      <w:r>
        <w:t>A partir de una muestra de raspado bucal de varios miembros de la familia Simpson y otros familiares (figura 1), se realiza un análisis de exoma completo en busca de las patologías hereditarias que pudieran padecer. El laboratorio envía los archivos .vcf y el genetista debe realizar la anotación de variantes para encontrar las mutaciones.</w:t>
      </w:r>
    </w:p>
    <w:p w14:paraId="05C10E88" w14:textId="77777777" w:rsidR="00FB6677" w:rsidRDefault="00FB6677" w:rsidP="00FB6677"/>
    <w:p w14:paraId="0E7AE07B" w14:textId="0ECBFDC1" w:rsidR="00457E0B" w:rsidRDefault="00457E0B" w:rsidP="00457E0B">
      <w:pPr>
        <w:jc w:val="center"/>
      </w:pPr>
      <w:r>
        <w:rPr>
          <w:noProof/>
        </w:rPr>
        <w:drawing>
          <wp:inline distT="0" distB="0" distL="0" distR="0" wp14:anchorId="66960778" wp14:editId="666033DB">
            <wp:extent cx="3390900" cy="1822365"/>
            <wp:effectExtent l="0" t="0" r="0" b="6985"/>
            <wp:docPr id="3688162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01" cy="18276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4AB96B" w14:textId="5828CDA2" w:rsidR="00457E0B" w:rsidRDefault="00616F01" w:rsidP="00616F01">
      <w:pPr>
        <w:pStyle w:val="Piedefoto-tabla"/>
      </w:pPr>
      <w:r w:rsidRPr="00616F01">
        <w:t>Figura 1. Familiares a los que se les ha realizado un exoma completo a partir de raspado bucal.</w:t>
      </w:r>
    </w:p>
    <w:p w14:paraId="5510E2B2" w14:textId="77777777" w:rsidR="00457E0B" w:rsidRDefault="00457E0B" w:rsidP="00FB6677"/>
    <w:p w14:paraId="48F8563E" w14:textId="42A916F1" w:rsidR="009E1674" w:rsidRDefault="00CB730E" w:rsidP="00FB6677">
      <w:r>
        <w:t>Con esta actividad podréis en práctica los conocimientos adquiridos sobre cómo realizar una anotación de variantes a partir de unos archivos .vcf y cómo interpretarlos.</w:t>
      </w:r>
    </w:p>
    <w:p w14:paraId="564AD21A" w14:textId="77777777" w:rsidR="000374E2" w:rsidRDefault="000374E2" w:rsidP="00FB6677"/>
    <w:p w14:paraId="46CDB431" w14:textId="77777777" w:rsidR="00327020" w:rsidRDefault="00327020" w:rsidP="00FB6677"/>
    <w:p w14:paraId="3133313E" w14:textId="77777777" w:rsidR="00327020" w:rsidRDefault="00327020" w:rsidP="00FB6677"/>
    <w:p w14:paraId="378BA692" w14:textId="77777777" w:rsidR="00327020" w:rsidRDefault="00327020" w:rsidP="00FB6677"/>
    <w:p w14:paraId="5FF1F0CB" w14:textId="27C19576" w:rsidR="00FB6677" w:rsidRDefault="00FB6677" w:rsidP="009E1674">
      <w:pPr>
        <w:pStyle w:val="TtuloApartado3"/>
      </w:pPr>
      <w:r w:rsidRPr="005241B8">
        <w:lastRenderedPageBreak/>
        <w:t>Pautas de elaboración</w:t>
      </w:r>
    </w:p>
    <w:p w14:paraId="017100C7" w14:textId="77777777" w:rsidR="009B66AE" w:rsidRDefault="009B66AE" w:rsidP="009B66AE">
      <w:r>
        <w:t>Los estudiantes estaréis distribuidos por grupos tal y como se habrá publicado en el foro de la asignatura. Observa el territorio y el equipo de tu grupo. Cada grupo tendréis que trabajar solamente con dos .vcf según la tabla 1.</w:t>
      </w:r>
    </w:p>
    <w:p w14:paraId="6CAB85B8" w14:textId="77777777" w:rsidR="00FB6677" w:rsidRDefault="00FB6677" w:rsidP="00FB6677"/>
    <w:p w14:paraId="37974D6A" w14:textId="4255F52E" w:rsidR="009B66AE" w:rsidRDefault="00BD5A16" w:rsidP="00BD5A16">
      <w:pPr>
        <w:jc w:val="center"/>
      </w:pPr>
      <w:commentRangeStart w:id="0"/>
      <w:r w:rsidRPr="009E1674">
        <w:rPr>
          <w:noProof/>
          <w:highlight w:val="yellow"/>
        </w:rPr>
        <w:drawing>
          <wp:inline distT="0" distB="0" distL="0" distR="0" wp14:anchorId="06A35600" wp14:editId="4D8354B8">
            <wp:extent cx="4373880" cy="2232660"/>
            <wp:effectExtent l="0" t="0" r="7620" b="0"/>
            <wp:docPr id="6377094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2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commentRangeEnd w:id="0"/>
      <w:r w:rsidR="009E1674">
        <w:rPr>
          <w:rStyle w:val="Refdecomentario"/>
        </w:rPr>
        <w:commentReference w:id="0"/>
      </w:r>
    </w:p>
    <w:p w14:paraId="3FB0032F" w14:textId="77777777" w:rsidR="009763CD" w:rsidRPr="009763CD" w:rsidRDefault="009763CD" w:rsidP="009763CD">
      <w:pPr>
        <w:pStyle w:val="Piedefoto-tabla"/>
      </w:pPr>
      <w:r w:rsidRPr="009763CD">
        <w:t>Tabla 1. Archivos asignados por grupos de trabajo.</w:t>
      </w:r>
    </w:p>
    <w:p w14:paraId="04CF0C3E" w14:textId="77777777" w:rsidR="009B66AE" w:rsidRDefault="009B66AE" w:rsidP="00FB6677"/>
    <w:p w14:paraId="7EF1CA99" w14:textId="77777777" w:rsidR="00DD75F9" w:rsidRPr="00DD75F9" w:rsidRDefault="00DD75F9" w:rsidP="00DD75F9">
      <w:r w:rsidRPr="00DD75F9">
        <w:t xml:space="preserve">A partir de los archivos .vcf deberéis anotar las variantes mediante </w:t>
      </w:r>
      <w:r w:rsidRPr="00DD75F9">
        <w:rPr>
          <w:i/>
          <w:iCs/>
        </w:rPr>
        <w:t>Variant Effect Predictor</w:t>
      </w:r>
      <w:r w:rsidRPr="00DD75F9">
        <w:t xml:space="preserve"> utilizando como referencia el ensamblado hg38.</w:t>
      </w:r>
    </w:p>
    <w:p w14:paraId="1CF6411A" w14:textId="77777777" w:rsidR="00DD75F9" w:rsidRPr="00DD75F9" w:rsidRDefault="00DD75F9" w:rsidP="00DD75F9"/>
    <w:p w14:paraId="709B555E" w14:textId="0D060C58" w:rsidR="009079FA" w:rsidRDefault="009079FA" w:rsidP="00DD75F9">
      <w:pPr>
        <w:pStyle w:val="Cuadroenlace"/>
      </w:pPr>
      <w:hyperlink r:id="rId17" w:history="1">
        <w:r w:rsidRPr="00197580">
          <w:rPr>
            <w:rStyle w:val="Hipervnculo"/>
          </w:rPr>
          <w:t>https://www.ensembl.org/Tools/VEP</w:t>
        </w:r>
      </w:hyperlink>
    </w:p>
    <w:p w14:paraId="723163FD" w14:textId="77777777" w:rsidR="00DD75F9" w:rsidRPr="00DD75F9" w:rsidRDefault="00DD75F9" w:rsidP="00DD75F9"/>
    <w:p w14:paraId="054CBCC1" w14:textId="0C9E2171" w:rsidR="00DD75F9" w:rsidRPr="00DD75F9" w:rsidRDefault="00DD75F9" w:rsidP="00DD75F9">
      <w:r w:rsidRPr="00DD75F9">
        <w:t>En primer lugar, cargamos en VEP el fichero vcf proporcionado junto al enunciado de la actividad y se selecciona Ensembl como base de datos para la anotación de variantes. Marca las casillas de la nomenclatura HGVS, Global Minor Allele Frequency del Proyecto 1000 Genomas y de GnomAD y las puntuaciones de las predicciones de SIFT y PolyPhen. Descarga el informe obtenido.</w:t>
      </w:r>
    </w:p>
    <w:p w14:paraId="222E8B7F" w14:textId="23167174" w:rsidR="004B1328" w:rsidRDefault="00DD75F9" w:rsidP="00DD75F9">
      <w:r w:rsidRPr="00DD75F9">
        <w:t xml:space="preserve">A partir del informe de VEP y con ayuda de otras herramientas </w:t>
      </w:r>
      <w:r w:rsidRPr="00DD75F9">
        <w:rPr>
          <w:i/>
          <w:iCs/>
        </w:rPr>
        <w:t>online</w:t>
      </w:r>
      <w:r w:rsidRPr="00DD75F9">
        <w:t>, recaba la siguiente información:</w:t>
      </w:r>
    </w:p>
    <w:p w14:paraId="71183D6F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b/>
          <w:bCs/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 xml:space="preserve">Bart: </w:t>
      </w:r>
    </w:p>
    <w:p w14:paraId="49F9D125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chr1</w:t>
      </w:r>
      <w:r w:rsidRPr="009E1674">
        <w:rPr>
          <w:color w:val="5B9BD5" w:themeColor="accent1"/>
          <w:lang w:val="en-GB"/>
        </w:rPr>
        <w:sym w:font="Wingdings" w:char="F0E0"/>
      </w:r>
      <w:proofErr w:type="gramStart"/>
      <w:r w:rsidRPr="009E1674">
        <w:rPr>
          <w:color w:val="5B9BD5" w:themeColor="accent1"/>
          <w:lang w:val="en-GB"/>
        </w:rPr>
        <w:t>LEPR(</w:t>
      </w:r>
      <w:proofErr w:type="gramEnd"/>
      <w:r w:rsidRPr="009E1674">
        <w:rPr>
          <w:color w:val="5B9BD5" w:themeColor="accent1"/>
          <w:lang w:val="en-GB"/>
        </w:rPr>
        <w:t xml:space="preserve">leptin receptor, transcript variant 1 (from RefSeq NM_002303.6))/S597 </w:t>
      </w:r>
    </w:p>
    <w:p w14:paraId="2197CA6A" w14:textId="1FA4F592" w:rsidR="004B1328" w:rsidRPr="009E1674" w:rsidRDefault="004B1328" w:rsidP="009E1674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lastRenderedPageBreak/>
        <w:t>chr17</w:t>
      </w:r>
      <w:r w:rsidRPr="009E1674">
        <w:rPr>
          <w:color w:val="5B9BD5" w:themeColor="accent1"/>
          <w:lang w:val="en-GB"/>
        </w:rPr>
        <w:sym w:font="Wingdings" w:char="F0E0"/>
      </w:r>
      <w:r w:rsidRPr="009E1674">
        <w:rPr>
          <w:color w:val="5B9BD5" w:themeColor="accent1"/>
          <w:lang w:val="en-GB"/>
        </w:rPr>
        <w:t xml:space="preserve"> TP53(tumor protein p53, transcript variant 14 (from RefSeq NR_176326.1))/P72</w:t>
      </w:r>
    </w:p>
    <w:p w14:paraId="573D0039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>Homer</w:t>
      </w:r>
      <w:r w:rsidRPr="009E1674">
        <w:rPr>
          <w:color w:val="5B9BD5" w:themeColor="accent1"/>
          <w:lang w:val="en-GB"/>
        </w:rPr>
        <w:t>:</w:t>
      </w:r>
    </w:p>
    <w:p w14:paraId="5A3E81FE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chr18</w:t>
      </w:r>
      <w:r w:rsidRPr="009E1674">
        <w:rPr>
          <w:color w:val="5B9BD5" w:themeColor="accent1"/>
          <w:lang w:val="en-GB"/>
        </w:rPr>
        <w:sym w:font="Wingdings" w:char="F0E0"/>
      </w:r>
      <w:r w:rsidRPr="009E1674">
        <w:rPr>
          <w:color w:val="5B9BD5" w:themeColor="accent1"/>
          <w:lang w:val="en-GB"/>
        </w:rPr>
        <w:t xml:space="preserve"> MC4</w:t>
      </w:r>
      <w:proofErr w:type="gramStart"/>
      <w:r w:rsidRPr="009E1674">
        <w:rPr>
          <w:color w:val="5B9BD5" w:themeColor="accent1"/>
          <w:lang w:val="en-GB"/>
        </w:rPr>
        <w:t>R(</w:t>
      </w:r>
      <w:proofErr w:type="gramEnd"/>
      <w:r w:rsidRPr="009E1674">
        <w:rPr>
          <w:color w:val="5B9BD5" w:themeColor="accent1"/>
          <w:lang w:val="en-GB"/>
        </w:rPr>
        <w:t>melanocortin 4 receptor (from RefSeq NM_005912.3))/P272</w:t>
      </w:r>
    </w:p>
    <w:p w14:paraId="2B0DCDB5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 xml:space="preserve"> chrX</w:t>
      </w:r>
      <w:r w:rsidRPr="009E1674">
        <w:rPr>
          <w:color w:val="5B9BD5" w:themeColor="accent1"/>
          <w:lang w:val="en-GB"/>
        </w:rPr>
        <w:sym w:font="Wingdings" w:char="F0E0"/>
      </w:r>
      <w:r w:rsidRPr="009E1674">
        <w:rPr>
          <w:color w:val="5B9BD5" w:themeColor="accent1"/>
          <w:lang w:val="en-GB"/>
        </w:rPr>
        <w:t>MED12(mediator complex subunit 12 (from RefSeq NM_005120.3))/A210</w:t>
      </w:r>
    </w:p>
    <w:p w14:paraId="4B9969D3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chr1</w:t>
      </w:r>
      <w:r w:rsidRPr="009E1674">
        <w:rPr>
          <w:color w:val="5B9BD5" w:themeColor="accent1"/>
          <w:lang w:val="en-GB"/>
        </w:rPr>
        <w:sym w:font="Wingdings" w:char="F0E0"/>
      </w:r>
      <w:proofErr w:type="gramStart"/>
      <w:r w:rsidRPr="009E1674">
        <w:rPr>
          <w:color w:val="5B9BD5" w:themeColor="accent1"/>
          <w:lang w:val="en-GB"/>
        </w:rPr>
        <w:t>LEPR(</w:t>
      </w:r>
      <w:proofErr w:type="gramEnd"/>
      <w:r w:rsidRPr="009E1674">
        <w:rPr>
          <w:color w:val="5B9BD5" w:themeColor="accent1"/>
          <w:lang w:val="en-GB"/>
        </w:rPr>
        <w:t>leptin receptor, transcript variant 1 (from RefSeq NM_002303.6))/K109</w:t>
      </w:r>
    </w:p>
    <w:p w14:paraId="577DB205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 xml:space="preserve"> chr17</w:t>
      </w:r>
      <w:r w:rsidRPr="009E1674">
        <w:rPr>
          <w:color w:val="5B9BD5" w:themeColor="accent1"/>
          <w:lang w:val="en-GB"/>
        </w:rPr>
        <w:sym w:font="Wingdings" w:char="F0E0"/>
      </w:r>
      <w:r w:rsidRPr="009E1674">
        <w:rPr>
          <w:color w:val="5B9BD5" w:themeColor="accent1"/>
          <w:lang w:val="en-GB"/>
        </w:rPr>
        <w:t xml:space="preserve"> TP53(tumor protein p53, transcript variant 14 (from RefSeq NR_176326.1))/P72</w:t>
      </w:r>
    </w:p>
    <w:p w14:paraId="0C235903" w14:textId="77777777" w:rsidR="004B1328" w:rsidRDefault="004B1328" w:rsidP="004B1328">
      <w:pPr>
        <w:pStyle w:val="Vietaprimernivel"/>
        <w:numPr>
          <w:ilvl w:val="0"/>
          <w:numId w:val="0"/>
        </w:numPr>
        <w:ind w:left="284"/>
        <w:rPr>
          <w:lang w:val="en-GB"/>
        </w:rPr>
      </w:pPr>
    </w:p>
    <w:p w14:paraId="431A90D8" w14:textId="77777777" w:rsidR="004B1328" w:rsidRDefault="004B1328" w:rsidP="004B1328">
      <w:pPr>
        <w:pStyle w:val="Vietaprimernivel"/>
        <w:numPr>
          <w:ilvl w:val="0"/>
          <w:numId w:val="0"/>
        </w:numPr>
        <w:ind w:left="284"/>
        <w:rPr>
          <w:lang w:val="en-GB"/>
        </w:rPr>
      </w:pPr>
      <w:hyperlink r:id="rId18" w:history="1">
        <w:r w:rsidRPr="004D18C7">
          <w:rPr>
            <w:rStyle w:val="Hipervnculo"/>
            <w:lang w:val="en-GB"/>
          </w:rPr>
          <w:t>https://genome.ucsc.edu/cgi-bin/hgTracks?db=hg38&amp;lastVirtModeType=default&amp;lastVirtModeExtraState=&amp;virtModeType=default&amp;virtMode=0&amp;nonVirtPosition=&amp;position=chr7%3A155799529%2D155812871&amp;hgsid=3585865419_RQI20bwQLsevtT26LBrjb4iNHAJG</w:t>
        </w:r>
      </w:hyperlink>
    </w:p>
    <w:p w14:paraId="2DB993D2" w14:textId="7668A4D6" w:rsidR="002D6940" w:rsidRDefault="004B1328" w:rsidP="00411CF9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or mention in the text that you used the "UCSC Genome Browser".</w:t>
      </w:r>
    </w:p>
    <w:p w14:paraId="3C5C5463" w14:textId="77777777" w:rsidR="00411CF9" w:rsidRPr="00411CF9" w:rsidRDefault="00411CF9" w:rsidP="00411CF9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</w:p>
    <w:p w14:paraId="6FA316ED" w14:textId="6B42795A" w:rsidR="004B1328" w:rsidRPr="009E1674" w:rsidRDefault="00DD75F9" w:rsidP="009E1674">
      <w:pPr>
        <w:pStyle w:val="Vietaprimernivel"/>
      </w:pPr>
      <w:r w:rsidRPr="00DD75F9">
        <w:t xml:space="preserve">El </w:t>
      </w:r>
      <w:r w:rsidRPr="00DD75F9">
        <w:rPr>
          <w:b/>
          <w:bCs/>
        </w:rPr>
        <w:t>gen afectado</w:t>
      </w:r>
      <w:r w:rsidRPr="00DD75F9">
        <w:t xml:space="preserve"> y las </w:t>
      </w:r>
      <w:r w:rsidRPr="00DD75F9">
        <w:rPr>
          <w:b/>
          <w:bCs/>
        </w:rPr>
        <w:t>coordenadas</w:t>
      </w:r>
      <w:r w:rsidRPr="00DD75F9">
        <w:t xml:space="preserve"> asociadas a la/s variante/s detectada/s según hg38.</w:t>
      </w:r>
    </w:p>
    <w:p w14:paraId="38B55B2D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b/>
          <w:bCs/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 xml:space="preserve">Bart: </w:t>
      </w:r>
    </w:p>
    <w:p w14:paraId="322C2274" w14:textId="4F514045" w:rsidR="004B1328" w:rsidRPr="009E1674" w:rsidRDefault="004B1328" w:rsidP="004B1328">
      <w:pPr>
        <w:pStyle w:val="Vietaprimernivel"/>
        <w:numPr>
          <w:ilvl w:val="0"/>
          <w:numId w:val="46"/>
        </w:numPr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LEPR (</w:t>
      </w:r>
      <w:r w:rsidRPr="009E1674">
        <w:rPr>
          <w:rStyle w:val="positiondisplay"/>
          <w:color w:val="5B9BD5" w:themeColor="accent1"/>
          <w:lang w:val="en-GB"/>
        </w:rPr>
        <w:t>chr1:65,609,984</w:t>
      </w:r>
      <w:r w:rsidRPr="009E1674">
        <w:rPr>
          <w:color w:val="5B9BD5" w:themeColor="accent1"/>
          <w:lang w:val="en-GB"/>
        </w:rPr>
        <w:t>)</w:t>
      </w:r>
    </w:p>
    <w:p w14:paraId="04F670F0" w14:textId="5525A12C" w:rsidR="004B1328" w:rsidRPr="009E1674" w:rsidRDefault="004B1328" w:rsidP="009E1674">
      <w:pPr>
        <w:pStyle w:val="Vietaprimernivel"/>
        <w:numPr>
          <w:ilvl w:val="0"/>
          <w:numId w:val="46"/>
        </w:numPr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TP53 (</w:t>
      </w:r>
      <w:r w:rsidRPr="009E1674">
        <w:rPr>
          <w:rStyle w:val="positiondisplay"/>
          <w:color w:val="5B9BD5" w:themeColor="accent1"/>
        </w:rPr>
        <w:t>chr17:7,676,154</w:t>
      </w:r>
    </w:p>
    <w:p w14:paraId="5E239B03" w14:textId="77777777" w:rsidR="004B1328" w:rsidRPr="009E1674" w:rsidRDefault="004B1328" w:rsidP="004B1328">
      <w:pPr>
        <w:pStyle w:val="Vietaprimernivel"/>
        <w:numPr>
          <w:ilvl w:val="0"/>
          <w:numId w:val="0"/>
        </w:numPr>
        <w:ind w:left="284"/>
        <w:rPr>
          <w:b/>
          <w:bCs/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 xml:space="preserve">Homer: </w:t>
      </w:r>
    </w:p>
    <w:p w14:paraId="2C9D900B" w14:textId="1CD3D812" w:rsidR="004B1328" w:rsidRPr="009E1674" w:rsidRDefault="004B1328" w:rsidP="004B1328">
      <w:pPr>
        <w:pStyle w:val="Vietaprimernivel"/>
        <w:numPr>
          <w:ilvl w:val="0"/>
          <w:numId w:val="47"/>
        </w:numPr>
        <w:rPr>
          <w:color w:val="5B9BD5" w:themeColor="accent1"/>
          <w:lang w:val="en-GB"/>
        </w:rPr>
      </w:pPr>
      <w:proofErr w:type="gramStart"/>
      <w:r w:rsidRPr="009E1674">
        <w:rPr>
          <w:color w:val="5B9BD5" w:themeColor="accent1"/>
          <w:lang w:val="en-GB"/>
        </w:rPr>
        <w:t>LEPR(</w:t>
      </w:r>
      <w:proofErr w:type="gramEnd"/>
      <w:r w:rsidRPr="009E1674">
        <w:rPr>
          <w:rStyle w:val="positiondisplay"/>
          <w:color w:val="5B9BD5" w:themeColor="accent1"/>
          <w:lang w:val="en-GB"/>
        </w:rPr>
        <w:t>chr1:65,609,984</w:t>
      </w:r>
      <w:r w:rsidRPr="009E1674">
        <w:rPr>
          <w:color w:val="5B9BD5" w:themeColor="accent1"/>
          <w:lang w:val="en-GB"/>
        </w:rPr>
        <w:t>)</w:t>
      </w:r>
    </w:p>
    <w:p w14:paraId="2B4F116E" w14:textId="0CCB0548" w:rsidR="004B1328" w:rsidRPr="009E1674" w:rsidRDefault="004B1328" w:rsidP="004B1328">
      <w:pPr>
        <w:pStyle w:val="Vietaprimernivel"/>
        <w:numPr>
          <w:ilvl w:val="0"/>
          <w:numId w:val="47"/>
        </w:numPr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MC4R</w:t>
      </w:r>
      <w:r w:rsidR="00601320" w:rsidRPr="009E1674">
        <w:rPr>
          <w:color w:val="5B9BD5" w:themeColor="accent1"/>
          <w:lang w:val="en-GB"/>
        </w:rPr>
        <w:t xml:space="preserve"> (</w:t>
      </w:r>
      <w:r w:rsidR="00601320" w:rsidRPr="009E1674">
        <w:rPr>
          <w:rStyle w:val="positiondisplay"/>
          <w:color w:val="5B9BD5" w:themeColor="accent1"/>
        </w:rPr>
        <w:t>chr18:60,371,535)</w:t>
      </w:r>
    </w:p>
    <w:p w14:paraId="0FA6FE19" w14:textId="367C03F1" w:rsidR="004B1328" w:rsidRPr="009E1674" w:rsidRDefault="004B1328" w:rsidP="004B1328">
      <w:pPr>
        <w:pStyle w:val="Vietaprimernivel"/>
        <w:numPr>
          <w:ilvl w:val="0"/>
          <w:numId w:val="47"/>
        </w:numPr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 xml:space="preserve">MED12 </w:t>
      </w:r>
      <w:r w:rsidR="00601320" w:rsidRPr="009E1674">
        <w:rPr>
          <w:color w:val="5B9BD5" w:themeColor="accent1"/>
          <w:lang w:val="en-GB"/>
        </w:rPr>
        <w:t>(</w:t>
      </w:r>
      <w:r w:rsidR="00601320" w:rsidRPr="009E1674">
        <w:rPr>
          <w:rStyle w:val="positiondisplay"/>
          <w:color w:val="5B9BD5" w:themeColor="accent1"/>
        </w:rPr>
        <w:t>chrX:71,121,046)</w:t>
      </w:r>
    </w:p>
    <w:p w14:paraId="3A026DF5" w14:textId="4E16108C" w:rsidR="00DD75F9" w:rsidRDefault="004B1328" w:rsidP="00DD75F9">
      <w:pPr>
        <w:pStyle w:val="Vietaprimernivel"/>
        <w:numPr>
          <w:ilvl w:val="0"/>
          <w:numId w:val="47"/>
        </w:numPr>
        <w:rPr>
          <w:color w:val="5B9BD5" w:themeColor="accent1"/>
          <w:lang w:val="en-GB"/>
        </w:rPr>
      </w:pPr>
      <w:r w:rsidRPr="009E1674">
        <w:rPr>
          <w:color w:val="5B9BD5" w:themeColor="accent1"/>
          <w:lang w:val="en-GB"/>
        </w:rPr>
        <w:t>TP53(</w:t>
      </w:r>
      <w:r w:rsidRPr="009E1674">
        <w:rPr>
          <w:rStyle w:val="positiondisplay"/>
          <w:color w:val="5B9BD5" w:themeColor="accent1"/>
        </w:rPr>
        <w:t>chr17:7,676,154</w:t>
      </w:r>
      <w:r w:rsidRPr="009E1674">
        <w:rPr>
          <w:color w:val="5B9BD5" w:themeColor="accent1"/>
          <w:lang w:val="en-GB"/>
        </w:rPr>
        <w:t>)</w:t>
      </w:r>
    </w:p>
    <w:p w14:paraId="4C45C588" w14:textId="77777777" w:rsidR="00411CF9" w:rsidRPr="000374E2" w:rsidRDefault="00411CF9" w:rsidP="00411CF9">
      <w:pPr>
        <w:pStyle w:val="Vietaprimernivel"/>
        <w:numPr>
          <w:ilvl w:val="0"/>
          <w:numId w:val="0"/>
        </w:numPr>
        <w:ind w:left="1004"/>
        <w:rPr>
          <w:color w:val="5B9BD5" w:themeColor="accent1"/>
          <w:lang w:val="en-GB"/>
        </w:rPr>
      </w:pPr>
    </w:p>
    <w:p w14:paraId="290C73CC" w14:textId="5053B2CD" w:rsidR="006A5E33" w:rsidRDefault="00DD75F9" w:rsidP="009E1674">
      <w:pPr>
        <w:pStyle w:val="Vietaprimernivel"/>
      </w:pPr>
      <w:r w:rsidRPr="00DD75F9">
        <w:rPr>
          <w:b/>
          <w:bCs/>
        </w:rPr>
        <w:t xml:space="preserve">La nomenclatura de la variante en c. </w:t>
      </w:r>
      <w:r w:rsidRPr="00DD75F9">
        <w:t xml:space="preserve">(indicando el </w:t>
      </w:r>
      <w:r w:rsidRPr="00DD75F9">
        <w:rPr>
          <w:b/>
          <w:bCs/>
        </w:rPr>
        <w:t>número del transcrito</w:t>
      </w:r>
      <w:r w:rsidRPr="00DD75F9">
        <w:t xml:space="preserve"> del NCBI o de Ensembl),</w:t>
      </w:r>
      <w:r w:rsidRPr="00DD75F9">
        <w:rPr>
          <w:b/>
          <w:bCs/>
        </w:rPr>
        <w:t xml:space="preserve"> tipo</w:t>
      </w:r>
      <w:r w:rsidRPr="00DD75F9">
        <w:t xml:space="preserve"> de </w:t>
      </w:r>
      <w:r w:rsidRPr="00DD75F9">
        <w:rPr>
          <w:b/>
          <w:bCs/>
        </w:rPr>
        <w:t>variante</w:t>
      </w:r>
      <w:r w:rsidRPr="00DD75F9">
        <w:t xml:space="preserve"> identificada (SNP, deleción, inserción o </w:t>
      </w:r>
      <w:r w:rsidRPr="00DD75F9">
        <w:rPr>
          <w:i/>
          <w:iCs/>
        </w:rPr>
        <w:t>indel</w:t>
      </w:r>
      <w:r w:rsidRPr="00DD75F9">
        <w:t xml:space="preserve">) y si el individuo es </w:t>
      </w:r>
      <w:r w:rsidRPr="00DD75F9">
        <w:rPr>
          <w:b/>
          <w:bCs/>
        </w:rPr>
        <w:t>homocigoto,</w:t>
      </w:r>
      <w:r w:rsidRPr="00DD75F9">
        <w:t xml:space="preserve"> </w:t>
      </w:r>
      <w:r w:rsidRPr="00DD75F9">
        <w:rPr>
          <w:b/>
          <w:bCs/>
        </w:rPr>
        <w:t xml:space="preserve">heterocigoto o hemicigoto. </w:t>
      </w:r>
      <w:r w:rsidRPr="00DD75F9">
        <w:t>Además, debéis indicar la</w:t>
      </w:r>
      <w:r w:rsidRPr="00DD75F9">
        <w:rPr>
          <w:b/>
          <w:bCs/>
        </w:rPr>
        <w:t xml:space="preserve"> </w:t>
      </w:r>
      <w:r w:rsidRPr="00DD75F9">
        <w:rPr>
          <w:b/>
          <w:bCs/>
        </w:rPr>
        <w:lastRenderedPageBreak/>
        <w:t xml:space="preserve">frecuencia alélica </w:t>
      </w:r>
      <w:r w:rsidRPr="00DD75F9">
        <w:t xml:space="preserve">de las variantes en la población en general (según gnomAD y Proyecto 1000 Genomas) y si se tratan de </w:t>
      </w:r>
      <w:r w:rsidRPr="00DD75F9">
        <w:rPr>
          <w:b/>
          <w:bCs/>
        </w:rPr>
        <w:t>mutaciones o polimorfismos</w:t>
      </w:r>
      <w:r w:rsidRPr="00DD75F9">
        <w:t>.</w:t>
      </w:r>
    </w:p>
    <w:p w14:paraId="65FA3ADF" w14:textId="77777777" w:rsidR="00411CF9" w:rsidRPr="009E1674" w:rsidRDefault="00411CF9" w:rsidP="00411CF9">
      <w:pPr>
        <w:pStyle w:val="Vietaprimernivel"/>
        <w:numPr>
          <w:ilvl w:val="0"/>
          <w:numId w:val="0"/>
        </w:numPr>
        <w:ind w:left="284"/>
      </w:pPr>
    </w:p>
    <w:p w14:paraId="56180E2E" w14:textId="13C226BF" w:rsidR="00CF5047" w:rsidRPr="009E1674" w:rsidRDefault="00CF5047" w:rsidP="00CF5047">
      <w:pPr>
        <w:pStyle w:val="Vietaprimernivel"/>
        <w:numPr>
          <w:ilvl w:val="0"/>
          <w:numId w:val="0"/>
        </w:numPr>
        <w:ind w:left="284"/>
        <w:rPr>
          <w:color w:val="5B9BD5" w:themeColor="accent1"/>
        </w:rPr>
      </w:pPr>
      <w:r w:rsidRPr="009E1674">
        <w:rPr>
          <w:rStyle w:val="positiondisplay"/>
          <w:b/>
          <w:bCs/>
          <w:color w:val="5B9BD5" w:themeColor="accent1"/>
        </w:rPr>
        <w:t>chr1</w:t>
      </w:r>
      <w:r w:rsidRPr="009E1674">
        <w:rPr>
          <w:rStyle w:val="positiondisplay"/>
          <w:color w:val="5B9BD5" w:themeColor="accent1"/>
        </w:rPr>
        <w:t>:</w:t>
      </w:r>
      <w:r w:rsidRPr="009E1674">
        <w:rPr>
          <w:color w:val="5B9BD5" w:themeColor="accent1"/>
        </w:rPr>
        <w:t xml:space="preserve"> </w:t>
      </w:r>
      <w:r w:rsidR="00470F22" w:rsidRPr="009E1674">
        <w:rPr>
          <w:color w:val="5B9BD5" w:themeColor="accent1"/>
        </w:rPr>
        <w:t xml:space="preserve">ENSG00000116678 </w:t>
      </w:r>
      <w:r w:rsidRPr="009E1674">
        <w:rPr>
          <w:color w:val="5B9BD5" w:themeColor="accent1"/>
        </w:rPr>
        <w:t>(NM_002303.6</w:t>
      </w:r>
      <w:proofErr w:type="gramStart"/>
      <w:r w:rsidRPr="009E1674">
        <w:rPr>
          <w:color w:val="5B9BD5" w:themeColor="accent1"/>
        </w:rPr>
        <w:t>);</w:t>
      </w:r>
      <w:r w:rsidRPr="009E1674">
        <w:rPr>
          <w:rStyle w:val="positiondisplay"/>
          <w:color w:val="5B9BD5" w:themeColor="accent1"/>
        </w:rPr>
        <w:t>c.</w:t>
      </w:r>
      <w:proofErr w:type="gramEnd"/>
      <w:r w:rsidRPr="009E1674">
        <w:rPr>
          <w:rStyle w:val="positiondisplay"/>
          <w:color w:val="5B9BD5" w:themeColor="accent1"/>
        </w:rPr>
        <w:t xml:space="preserve">326A&gt;G; </w:t>
      </w:r>
      <w:proofErr w:type="gramStart"/>
      <w:r w:rsidRPr="009E1674">
        <w:rPr>
          <w:rStyle w:val="positiondisplay"/>
          <w:color w:val="5B9BD5" w:themeColor="accent1"/>
        </w:rPr>
        <w:t>Variante:SNP</w:t>
      </w:r>
      <w:proofErr w:type="gramEnd"/>
      <w:r w:rsidR="00BE0B3B" w:rsidRPr="009E1674">
        <w:rPr>
          <w:rStyle w:val="positiondisplay"/>
          <w:color w:val="5B9BD5" w:themeColor="accent1"/>
        </w:rPr>
        <w:t xml:space="preserve">; </w:t>
      </w:r>
      <w:r w:rsidR="00C14AC2" w:rsidRPr="009E1674">
        <w:rPr>
          <w:rStyle w:val="positiondisplay"/>
          <w:color w:val="5B9BD5" w:themeColor="accent1"/>
        </w:rPr>
        <w:t xml:space="preserve">Heterocigoto; </w:t>
      </w:r>
      <w:r w:rsidR="00BE0B3B" w:rsidRPr="009E1674">
        <w:rPr>
          <w:rStyle w:val="positiondisplay"/>
          <w:color w:val="5B9BD5" w:themeColor="accent1"/>
        </w:rPr>
        <w:t>Frecuencia alélica: 2745 (benigno)</w:t>
      </w:r>
      <w:r w:rsidR="00C14AC2" w:rsidRPr="009E1674">
        <w:rPr>
          <w:rStyle w:val="positiondisplay"/>
          <w:color w:val="5B9BD5" w:themeColor="accent1"/>
        </w:rPr>
        <w:t>; polimorfismo</w:t>
      </w:r>
    </w:p>
    <w:p w14:paraId="03AEB0FE" w14:textId="5C5F721C" w:rsidR="00BE0B3B" w:rsidRPr="009E1674" w:rsidRDefault="001263A0" w:rsidP="00BE0B3B">
      <w:pPr>
        <w:pStyle w:val="Vietaprimernivel"/>
        <w:numPr>
          <w:ilvl w:val="0"/>
          <w:numId w:val="0"/>
        </w:numPr>
        <w:ind w:left="284"/>
        <w:rPr>
          <w:rStyle w:val="positiondisplay"/>
          <w:color w:val="5B9BD5" w:themeColor="accent1"/>
        </w:rPr>
      </w:pPr>
      <w:r w:rsidRPr="009E1674">
        <w:rPr>
          <w:b/>
          <w:bCs/>
          <w:color w:val="5B9BD5" w:themeColor="accent1"/>
        </w:rPr>
        <w:t>Chr17</w:t>
      </w:r>
      <w:r w:rsidR="00D76020" w:rsidRPr="009E1674">
        <w:rPr>
          <w:color w:val="5B9BD5" w:themeColor="accent1"/>
        </w:rPr>
        <w:t>:</w:t>
      </w:r>
      <w:r w:rsidR="00CF5047" w:rsidRPr="009E1674">
        <w:rPr>
          <w:color w:val="5B9BD5" w:themeColor="accent1"/>
        </w:rPr>
        <w:t xml:space="preserve"> c.215C&gt;T; Variante: </w:t>
      </w:r>
      <w:proofErr w:type="gramStart"/>
      <w:r w:rsidR="00CF5047" w:rsidRPr="009E1674">
        <w:rPr>
          <w:color w:val="5B9BD5" w:themeColor="accent1"/>
        </w:rPr>
        <w:t xml:space="preserve">SNP; </w:t>
      </w:r>
      <w:r w:rsidR="00D76020" w:rsidRPr="009E1674">
        <w:rPr>
          <w:color w:val="5B9BD5" w:themeColor="accent1"/>
        </w:rPr>
        <w:t xml:space="preserve"> </w:t>
      </w:r>
      <w:r w:rsidR="006A5E33" w:rsidRPr="009E1674">
        <w:rPr>
          <w:color w:val="5B9BD5" w:themeColor="accent1"/>
        </w:rPr>
        <w:t>ENSG</w:t>
      </w:r>
      <w:proofErr w:type="gramEnd"/>
      <w:r w:rsidR="006A5E33" w:rsidRPr="009E1674">
        <w:rPr>
          <w:color w:val="5B9BD5" w:themeColor="accent1"/>
        </w:rPr>
        <w:t>00000141510</w:t>
      </w:r>
      <w:r w:rsidR="00D76020" w:rsidRPr="009E1674">
        <w:rPr>
          <w:color w:val="5B9BD5" w:themeColor="accent1"/>
        </w:rPr>
        <w:t xml:space="preserve"> (</w:t>
      </w:r>
      <w:hyperlink r:id="rId19" w:history="1">
        <w:r w:rsidR="00D76020" w:rsidRPr="009E1674">
          <w:rPr>
            <w:rStyle w:val="Hipervnculo"/>
            <w:color w:val="5B9BD5" w:themeColor="accent1"/>
          </w:rPr>
          <w:t>NM_000546.6</w:t>
        </w:r>
      </w:hyperlink>
      <w:r w:rsidR="00D76020" w:rsidRPr="009E1674">
        <w:rPr>
          <w:color w:val="5B9BD5" w:themeColor="accent1"/>
        </w:rPr>
        <w:t>)</w:t>
      </w:r>
      <w:r w:rsidR="00BE0B3B" w:rsidRPr="009E1674">
        <w:rPr>
          <w:color w:val="5B9BD5" w:themeColor="accent1"/>
        </w:rPr>
        <w:t>;</w:t>
      </w:r>
      <w:r w:rsidR="00BE0B3B" w:rsidRPr="009E1674">
        <w:rPr>
          <w:rStyle w:val="positiondisplay"/>
          <w:color w:val="5B9BD5" w:themeColor="accent1"/>
        </w:rPr>
        <w:t xml:space="preserve"> Frecuencia alélica: 6.842e-07; </w:t>
      </w:r>
      <w:proofErr w:type="gramStart"/>
      <w:r w:rsidR="00C14AC2" w:rsidRPr="009E1674">
        <w:rPr>
          <w:rStyle w:val="positiondisplay"/>
          <w:color w:val="5B9BD5" w:themeColor="accent1"/>
        </w:rPr>
        <w:t>Heterocigoto ;</w:t>
      </w:r>
      <w:proofErr w:type="gramEnd"/>
      <w:r w:rsidR="00C14AC2" w:rsidRPr="009E1674">
        <w:rPr>
          <w:rStyle w:val="positiondisplay"/>
          <w:color w:val="5B9BD5" w:themeColor="accent1"/>
        </w:rPr>
        <w:t xml:space="preserve"> mutación</w:t>
      </w:r>
    </w:p>
    <w:p w14:paraId="54A982E6" w14:textId="64FB27A7" w:rsidR="00C14AC2" w:rsidRPr="009E1674" w:rsidRDefault="00C14AC2" w:rsidP="00BE0B3B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>Chr18</w:t>
      </w:r>
      <w:r w:rsidRPr="009E1674">
        <w:rPr>
          <w:color w:val="5B9BD5" w:themeColor="accent1"/>
          <w:lang w:val="en-GB"/>
        </w:rPr>
        <w:t>:</w:t>
      </w:r>
      <w:r w:rsidR="00470F22" w:rsidRPr="009E1674">
        <w:rPr>
          <w:color w:val="5B9BD5" w:themeColor="accent1"/>
          <w:lang w:val="en-GB"/>
        </w:rPr>
        <w:t xml:space="preserve"> ENSG00000166603 (NM_005912.3); Variante: </w:t>
      </w:r>
      <w:proofErr w:type="gramStart"/>
      <w:r w:rsidR="00470F22" w:rsidRPr="009E1674">
        <w:rPr>
          <w:color w:val="5B9BD5" w:themeColor="accent1"/>
          <w:lang w:val="en-GB"/>
        </w:rPr>
        <w:t>SNP;  c.815C</w:t>
      </w:r>
      <w:proofErr w:type="gramEnd"/>
      <w:r w:rsidR="00470F22" w:rsidRPr="009E1674">
        <w:rPr>
          <w:color w:val="5B9BD5" w:themeColor="accent1"/>
          <w:lang w:val="en-GB"/>
        </w:rPr>
        <w:t>&gt;A</w:t>
      </w:r>
    </w:p>
    <w:p w14:paraId="493D99BF" w14:textId="4FBC88F1" w:rsidR="00D76020" w:rsidRPr="009E1674" w:rsidRDefault="00C14AC2" w:rsidP="00470F22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>ChrX</w:t>
      </w:r>
      <w:r w:rsidRPr="009E1674">
        <w:rPr>
          <w:color w:val="5B9BD5" w:themeColor="accent1"/>
          <w:lang w:val="en-GB"/>
        </w:rPr>
        <w:t>:</w:t>
      </w:r>
      <w:r w:rsidR="00470F22" w:rsidRPr="009E1674">
        <w:rPr>
          <w:color w:val="5B9BD5" w:themeColor="accent1"/>
          <w:lang w:val="en-GB"/>
        </w:rPr>
        <w:t xml:space="preserve"> ENSG00000184634 (NM_005120.3); Variante: SNP; c.629C&gt;T</w:t>
      </w:r>
    </w:p>
    <w:p w14:paraId="182BEFBF" w14:textId="77777777" w:rsidR="00CF5047" w:rsidRPr="00470F22" w:rsidRDefault="00CF5047" w:rsidP="00D76020">
      <w:pPr>
        <w:ind w:left="284"/>
        <w:rPr>
          <w:lang w:val="en-GB"/>
        </w:rPr>
      </w:pPr>
    </w:p>
    <w:p w14:paraId="0B705373" w14:textId="2C135212" w:rsidR="00C14AC2" w:rsidRDefault="00DD75F9" w:rsidP="00470F22">
      <w:pPr>
        <w:pStyle w:val="Vietaprimernivel"/>
      </w:pPr>
      <w:r w:rsidRPr="00DD75F9">
        <w:rPr>
          <w:b/>
          <w:bCs/>
        </w:rPr>
        <w:t xml:space="preserve">Proteína que codifica </w:t>
      </w:r>
      <w:r w:rsidRPr="00DD75F9">
        <w:t xml:space="preserve">dicho gen, </w:t>
      </w:r>
      <w:r w:rsidRPr="00DD75F9">
        <w:rPr>
          <w:b/>
          <w:bCs/>
        </w:rPr>
        <w:t>ID</w:t>
      </w:r>
      <w:r w:rsidRPr="00DD75F9">
        <w:t xml:space="preserve"> de la proteína (según NCBI o Ensembl), la </w:t>
      </w:r>
      <w:r w:rsidRPr="00DD75F9">
        <w:rPr>
          <w:b/>
          <w:bCs/>
        </w:rPr>
        <w:t>nomenclatura de la variante en p.</w:t>
      </w:r>
      <w:r w:rsidRPr="00DD75F9">
        <w:t xml:space="preserve"> (indicando el identificador de la proteína según NCBI o Ensembl) y el</w:t>
      </w:r>
      <w:r w:rsidRPr="00DD75F9">
        <w:rPr>
          <w:b/>
          <w:bCs/>
        </w:rPr>
        <w:t xml:space="preserve"> efecto</w:t>
      </w:r>
      <w:r w:rsidRPr="00DD75F9">
        <w:t xml:space="preserve"> </w:t>
      </w:r>
      <w:r w:rsidRPr="00DD75F9">
        <w:rPr>
          <w:b/>
          <w:bCs/>
        </w:rPr>
        <w:t>de la variante en la proteína</w:t>
      </w:r>
      <w:r w:rsidRPr="00DD75F9">
        <w:t xml:space="preserve"> (mutación sinónima, sin sentido, etc.).</w:t>
      </w:r>
    </w:p>
    <w:p w14:paraId="6CBDB94C" w14:textId="0535EAC2" w:rsidR="00C14AC2" w:rsidRPr="009E1674" w:rsidRDefault="00CF5047" w:rsidP="00470F22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rStyle w:val="positiondisplay"/>
          <w:b/>
          <w:bCs/>
          <w:color w:val="5B9BD5" w:themeColor="accent1"/>
          <w:lang w:val="en-GB"/>
        </w:rPr>
        <w:t>chr1</w:t>
      </w:r>
      <w:r w:rsidRPr="009E1674">
        <w:rPr>
          <w:rStyle w:val="positiondisplay"/>
          <w:color w:val="5B9BD5" w:themeColor="accent1"/>
          <w:lang w:val="en-GB"/>
        </w:rPr>
        <w:t>:</w:t>
      </w:r>
      <w:r w:rsidRPr="009E1674">
        <w:rPr>
          <w:color w:val="5B9BD5" w:themeColor="accent1"/>
          <w:lang w:val="en-GB"/>
        </w:rPr>
        <w:t xml:space="preserve"> ENSP00000340884.8</w:t>
      </w:r>
      <w:r w:rsidR="006A5E33" w:rsidRPr="009E1674">
        <w:rPr>
          <w:color w:val="5B9BD5" w:themeColor="accent1"/>
          <w:lang w:val="en-GB"/>
        </w:rPr>
        <w:t xml:space="preserve"> </w:t>
      </w:r>
      <w:hyperlink r:id="rId20" w:history="1">
        <w:r w:rsidR="006A5E33" w:rsidRPr="009E1674">
          <w:rPr>
            <w:rStyle w:val="Hipervnculo"/>
            <w:color w:val="5B9BD5" w:themeColor="accent1"/>
            <w:lang w:val="en-GB"/>
          </w:rPr>
          <w:t>NP_002294.2</w:t>
        </w:r>
      </w:hyperlink>
      <w:r w:rsidRPr="009E1674">
        <w:rPr>
          <w:color w:val="5B9BD5" w:themeColor="accent1"/>
          <w:lang w:val="en-GB"/>
        </w:rPr>
        <w:t>;</w:t>
      </w:r>
      <w:r w:rsidR="006A5E33" w:rsidRPr="009E1674">
        <w:rPr>
          <w:color w:val="5B9BD5" w:themeColor="accent1"/>
          <w:lang w:val="en-GB"/>
        </w:rPr>
        <w:t xml:space="preserve"> leptin receptor isoform 1 precursor;</w:t>
      </w:r>
      <w:r w:rsidRPr="009E1674">
        <w:rPr>
          <w:color w:val="5B9BD5" w:themeColor="accent1"/>
          <w:lang w:val="en-GB"/>
        </w:rPr>
        <w:t xml:space="preserve"> </w:t>
      </w:r>
      <w:proofErr w:type="gramStart"/>
      <w:r w:rsidRPr="009E1674">
        <w:rPr>
          <w:color w:val="5B9BD5" w:themeColor="accent1"/>
          <w:lang w:val="en-GB"/>
        </w:rPr>
        <w:t>p.Lys</w:t>
      </w:r>
      <w:proofErr w:type="gramEnd"/>
      <w:r w:rsidRPr="009E1674">
        <w:rPr>
          <w:color w:val="5B9BD5" w:themeColor="accent1"/>
          <w:lang w:val="en-GB"/>
        </w:rPr>
        <w:t>109Arg; missense</w:t>
      </w:r>
    </w:p>
    <w:p w14:paraId="4B7C83BA" w14:textId="7A957030" w:rsidR="00D76020" w:rsidRPr="009E1674" w:rsidRDefault="001263A0" w:rsidP="001263A0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>Chr17</w:t>
      </w:r>
      <w:r w:rsidRPr="009E1674">
        <w:rPr>
          <w:color w:val="5B9BD5" w:themeColor="accent1"/>
          <w:lang w:val="en-GB"/>
        </w:rPr>
        <w:t>:</w:t>
      </w:r>
      <w:r w:rsidR="006A5E33" w:rsidRPr="009E1674">
        <w:rPr>
          <w:color w:val="5B9BD5" w:themeColor="accent1"/>
          <w:lang w:val="en-GB"/>
        </w:rPr>
        <w:t xml:space="preserve"> ENSP00000269305.</w:t>
      </w:r>
      <w:proofErr w:type="gramStart"/>
      <w:r w:rsidR="006A5E33" w:rsidRPr="009E1674">
        <w:rPr>
          <w:color w:val="5B9BD5" w:themeColor="accent1"/>
          <w:lang w:val="en-GB"/>
        </w:rPr>
        <w:t xml:space="preserve">4 </w:t>
      </w:r>
      <w:r w:rsidRPr="009E1674">
        <w:rPr>
          <w:color w:val="5B9BD5" w:themeColor="accent1"/>
          <w:lang w:val="en-GB"/>
        </w:rPr>
        <w:t xml:space="preserve"> NP</w:t>
      </w:r>
      <w:proofErr w:type="gramEnd"/>
      <w:r w:rsidRPr="009E1674">
        <w:rPr>
          <w:color w:val="5B9BD5" w:themeColor="accent1"/>
          <w:lang w:val="en-GB"/>
        </w:rPr>
        <w:t xml:space="preserve">_000537.3 </w:t>
      </w:r>
      <w:r w:rsidR="00D76020" w:rsidRPr="009E1674">
        <w:rPr>
          <w:color w:val="5B9BD5" w:themeColor="accent1"/>
          <w:lang w:val="en-GB"/>
        </w:rPr>
        <w:t>cellular tumor antigen p53 isoform a</w:t>
      </w:r>
      <w:r w:rsidR="00CF5047" w:rsidRPr="009E1674">
        <w:rPr>
          <w:color w:val="5B9BD5" w:themeColor="accent1"/>
          <w:lang w:val="en-GB"/>
        </w:rPr>
        <w:t xml:space="preserve">; </w:t>
      </w:r>
      <w:proofErr w:type="gramStart"/>
      <w:r w:rsidR="00CF5047" w:rsidRPr="009E1674">
        <w:rPr>
          <w:color w:val="5B9BD5" w:themeColor="accent1"/>
          <w:lang w:val="en-GB"/>
        </w:rPr>
        <w:t>p.Pro</w:t>
      </w:r>
      <w:proofErr w:type="gramEnd"/>
      <w:r w:rsidR="00CF5047" w:rsidRPr="009E1674">
        <w:rPr>
          <w:color w:val="5B9BD5" w:themeColor="accent1"/>
          <w:lang w:val="en-GB"/>
        </w:rPr>
        <w:t>72Leu</w:t>
      </w:r>
      <w:r w:rsidR="006A5E33" w:rsidRPr="009E1674">
        <w:rPr>
          <w:color w:val="5B9BD5" w:themeColor="accent1"/>
          <w:lang w:val="en-GB"/>
        </w:rPr>
        <w:t>;</w:t>
      </w:r>
      <w:r w:rsidR="00CF5047" w:rsidRPr="009E1674">
        <w:rPr>
          <w:color w:val="5B9BD5" w:themeColor="accent1"/>
          <w:lang w:val="en-GB"/>
        </w:rPr>
        <w:t xml:space="preserve"> missense</w:t>
      </w:r>
    </w:p>
    <w:p w14:paraId="143BFCF3" w14:textId="0193B71E" w:rsidR="00C14AC2" w:rsidRPr="009E1674" w:rsidRDefault="00C14AC2" w:rsidP="00C14AC2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>Chr18</w:t>
      </w:r>
      <w:r w:rsidRPr="009E1674">
        <w:rPr>
          <w:color w:val="5B9BD5" w:themeColor="accent1"/>
          <w:lang w:val="en-GB"/>
        </w:rPr>
        <w:t>:</w:t>
      </w:r>
      <w:r w:rsidR="00470F22" w:rsidRPr="009E1674">
        <w:rPr>
          <w:color w:val="5B9BD5" w:themeColor="accent1"/>
          <w:lang w:val="en-GB"/>
        </w:rPr>
        <w:t xml:space="preserve"> ENSP00000299766.</w:t>
      </w:r>
      <w:proofErr w:type="gramStart"/>
      <w:r w:rsidR="00470F22" w:rsidRPr="009E1674">
        <w:rPr>
          <w:color w:val="5B9BD5" w:themeColor="accent1"/>
          <w:lang w:val="en-GB"/>
        </w:rPr>
        <w:t>3:p</w:t>
      </w:r>
      <w:proofErr w:type="gramEnd"/>
      <w:r w:rsidR="00470F22" w:rsidRPr="009E1674">
        <w:rPr>
          <w:color w:val="5B9BD5" w:themeColor="accent1"/>
          <w:lang w:val="en-GB"/>
        </w:rPr>
        <w:t>.Pro272His; missense</w:t>
      </w:r>
    </w:p>
    <w:p w14:paraId="5C63C028" w14:textId="4963659D" w:rsidR="00C14AC2" w:rsidRPr="009E1674" w:rsidRDefault="00C14AC2" w:rsidP="00C14AC2">
      <w:pPr>
        <w:pStyle w:val="Vietaprimernivel"/>
        <w:numPr>
          <w:ilvl w:val="0"/>
          <w:numId w:val="0"/>
        </w:numPr>
        <w:ind w:left="284"/>
        <w:rPr>
          <w:color w:val="5B9BD5" w:themeColor="accent1"/>
          <w:lang w:val="en-GB"/>
        </w:rPr>
      </w:pPr>
      <w:r w:rsidRPr="009E1674">
        <w:rPr>
          <w:b/>
          <w:bCs/>
          <w:color w:val="5B9BD5" w:themeColor="accent1"/>
          <w:lang w:val="en-GB"/>
        </w:rPr>
        <w:t>ChrX</w:t>
      </w:r>
      <w:r w:rsidRPr="009E1674">
        <w:rPr>
          <w:color w:val="5B9BD5" w:themeColor="accent1"/>
          <w:lang w:val="en-GB"/>
        </w:rPr>
        <w:t>:</w:t>
      </w:r>
      <w:r w:rsidR="00470F22" w:rsidRPr="009E1674">
        <w:rPr>
          <w:color w:val="5B9BD5" w:themeColor="accent1"/>
          <w:lang w:val="en-GB"/>
        </w:rPr>
        <w:t xml:space="preserve"> ENSP00000333125.</w:t>
      </w:r>
      <w:proofErr w:type="gramStart"/>
      <w:r w:rsidR="00470F22" w:rsidRPr="009E1674">
        <w:rPr>
          <w:color w:val="5B9BD5" w:themeColor="accent1"/>
          <w:lang w:val="en-GB"/>
        </w:rPr>
        <w:t>8:p</w:t>
      </w:r>
      <w:proofErr w:type="gramEnd"/>
      <w:r w:rsidR="00470F22" w:rsidRPr="009E1674">
        <w:rPr>
          <w:color w:val="5B9BD5" w:themeColor="accent1"/>
          <w:lang w:val="en-GB"/>
        </w:rPr>
        <w:t>.Ala210Val; missense</w:t>
      </w:r>
    </w:p>
    <w:p w14:paraId="6D1B73B6" w14:textId="77777777" w:rsidR="00DD75F9" w:rsidRPr="00470F22" w:rsidRDefault="00DD75F9" w:rsidP="00DD75F9">
      <w:pPr>
        <w:ind w:left="720"/>
        <w:contextualSpacing/>
        <w:rPr>
          <w:lang w:val="en-GB"/>
        </w:rPr>
      </w:pPr>
    </w:p>
    <w:p w14:paraId="513301EE" w14:textId="57389E6C" w:rsidR="00DD75F9" w:rsidRDefault="00DD75F9" w:rsidP="004118A4">
      <w:r w:rsidRPr="00DD75F9">
        <w:t xml:space="preserve">Para las </w:t>
      </w:r>
      <w:r w:rsidRPr="004118A4">
        <w:rPr>
          <w:b/>
          <w:bCs/>
        </w:rPr>
        <w:t>mutaciones de cambio de nucleótido,</w:t>
      </w:r>
      <w:r w:rsidRPr="00DD75F9">
        <w:rPr>
          <w:b/>
          <w:bCs/>
        </w:rPr>
        <w:t xml:space="preserve"> </w:t>
      </w:r>
      <w:r w:rsidRPr="00DD75F9">
        <w:t xml:space="preserve">indica la </w:t>
      </w:r>
      <w:r w:rsidRPr="00DD75F9">
        <w:rPr>
          <w:b/>
          <w:bCs/>
        </w:rPr>
        <w:t>predicción</w:t>
      </w:r>
      <w:r w:rsidRPr="00DD75F9">
        <w:t xml:space="preserve"> </w:t>
      </w:r>
      <w:r w:rsidRPr="00DD75F9">
        <w:rPr>
          <w:b/>
          <w:bCs/>
        </w:rPr>
        <w:t>de la patogenicidad</w:t>
      </w:r>
      <w:r w:rsidRPr="00DD75F9">
        <w:t xml:space="preserve"> de la variante en la proteína (SIFT y PolyPhen). </w:t>
      </w:r>
    </w:p>
    <w:p w14:paraId="01D2F22C" w14:textId="270B9E57" w:rsidR="00BE0B3B" w:rsidRPr="009E1674" w:rsidRDefault="00BE0B3B" w:rsidP="004118A4">
      <w:pPr>
        <w:rPr>
          <w:color w:val="5B9BD5" w:themeColor="accent1"/>
        </w:rPr>
      </w:pPr>
      <w:r w:rsidRPr="009E1674">
        <w:rPr>
          <w:rStyle w:val="positiondisplay"/>
          <w:color w:val="5B9BD5" w:themeColor="accent1"/>
          <w:lang w:val="en-GB"/>
        </w:rPr>
        <w:t>chr1:</w:t>
      </w:r>
      <w:r w:rsidRPr="009E1674">
        <w:rPr>
          <w:color w:val="5B9BD5" w:themeColor="accent1"/>
          <w:lang w:val="en-GB"/>
        </w:rPr>
        <w:t xml:space="preserve"> </w:t>
      </w:r>
      <w:proofErr w:type="gramStart"/>
      <w:r w:rsidRPr="009E1674">
        <w:rPr>
          <w:color w:val="5B9BD5" w:themeColor="accent1"/>
          <w:lang w:val="en-GB"/>
        </w:rPr>
        <w:t>p.Lys</w:t>
      </w:r>
      <w:proofErr w:type="gramEnd"/>
      <w:r w:rsidRPr="009E1674">
        <w:rPr>
          <w:color w:val="5B9BD5" w:themeColor="accent1"/>
          <w:lang w:val="en-GB"/>
        </w:rPr>
        <w:t>109Arg:</w:t>
      </w:r>
    </w:p>
    <w:tbl>
      <w:tblPr>
        <w:tblW w:w="4040" w:type="dxa"/>
        <w:tblInd w:w="-1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0"/>
        <w:gridCol w:w="2540"/>
      </w:tblGrid>
      <w:tr w:rsidR="009E1674" w:rsidRPr="009E1674" w14:paraId="4FA351A2" w14:textId="77777777" w:rsidTr="00BE0B3B">
        <w:trPr>
          <w:trHeight w:val="288"/>
        </w:trPr>
        <w:tc>
          <w:tcPr>
            <w:tcW w:w="15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14A13563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  <w:t>SIFT</w:t>
            </w:r>
          </w:p>
        </w:tc>
        <w:tc>
          <w:tcPr>
            <w:tcW w:w="254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0789E1AD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  <w:t>PolyPhen</w:t>
            </w:r>
          </w:p>
        </w:tc>
      </w:tr>
      <w:tr w:rsidR="009E1674" w:rsidRPr="009E1674" w14:paraId="522F0697" w14:textId="77777777" w:rsidTr="00BE0B3B">
        <w:trPr>
          <w:trHeight w:val="288"/>
        </w:trPr>
        <w:tc>
          <w:tcPr>
            <w:tcW w:w="15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77F9F00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color w:val="5B9BD5" w:themeColor="accent1"/>
                <w:sz w:val="22"/>
                <w:szCs w:val="22"/>
              </w:rPr>
            </w:pP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tolerated(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0.92)</w:t>
            </w:r>
          </w:p>
        </w:tc>
        <w:tc>
          <w:tcPr>
            <w:tcW w:w="254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603931A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possibly_</w:t>
            </w: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damaging(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0.734)</w:t>
            </w:r>
          </w:p>
        </w:tc>
      </w:tr>
    </w:tbl>
    <w:p w14:paraId="5A987984" w14:textId="4E147D68" w:rsidR="00BE0B3B" w:rsidRPr="009E1674" w:rsidRDefault="00BE0B3B" w:rsidP="004118A4">
      <w:pPr>
        <w:rPr>
          <w:color w:val="5B9BD5" w:themeColor="accent1"/>
        </w:rPr>
      </w:pPr>
    </w:p>
    <w:p w14:paraId="031BD208" w14:textId="7B281E01" w:rsidR="00BE0B3B" w:rsidRPr="009E1674" w:rsidRDefault="00BE0B3B" w:rsidP="004118A4">
      <w:pPr>
        <w:rPr>
          <w:color w:val="5B9BD5" w:themeColor="accent1"/>
        </w:rPr>
      </w:pPr>
      <w:r w:rsidRPr="009E1674">
        <w:rPr>
          <w:color w:val="5B9BD5" w:themeColor="accent1"/>
        </w:rPr>
        <w:t xml:space="preserve">Chr17: </w:t>
      </w:r>
      <w:proofErr w:type="gramStart"/>
      <w:r w:rsidRPr="009E1674">
        <w:rPr>
          <w:color w:val="5B9BD5" w:themeColor="accent1"/>
          <w:lang w:val="en-GB"/>
        </w:rPr>
        <w:t>p.Pro</w:t>
      </w:r>
      <w:proofErr w:type="gramEnd"/>
      <w:r w:rsidRPr="009E1674">
        <w:rPr>
          <w:color w:val="5B9BD5" w:themeColor="accent1"/>
          <w:lang w:val="en-GB"/>
        </w:rPr>
        <w:t>72Leu</w:t>
      </w:r>
    </w:p>
    <w:tbl>
      <w:tblPr>
        <w:tblW w:w="5900" w:type="dxa"/>
        <w:tblInd w:w="-1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60"/>
        <w:gridCol w:w="2540"/>
      </w:tblGrid>
      <w:tr w:rsidR="009E1674" w:rsidRPr="009E1674" w14:paraId="57D42835" w14:textId="77777777" w:rsidTr="00BE0B3B">
        <w:trPr>
          <w:trHeight w:val="288"/>
        </w:trPr>
        <w:tc>
          <w:tcPr>
            <w:tcW w:w="336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0F406C6B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  <w:t>SIFT</w:t>
            </w:r>
          </w:p>
        </w:tc>
        <w:tc>
          <w:tcPr>
            <w:tcW w:w="254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358C0622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  <w:t>PolyPhen</w:t>
            </w:r>
          </w:p>
        </w:tc>
      </w:tr>
      <w:tr w:rsidR="009E1674" w:rsidRPr="009E1674" w14:paraId="7BC0AA40" w14:textId="77777777" w:rsidTr="00BE0B3B">
        <w:trPr>
          <w:trHeight w:val="288"/>
        </w:trPr>
        <w:tc>
          <w:tcPr>
            <w:tcW w:w="3360" w:type="dxa"/>
            <w:tcBorders>
              <w:top w:val="single" w:sz="4" w:space="0" w:color="auto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1175BA4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color w:val="5B9BD5" w:themeColor="accent1"/>
                <w:sz w:val="22"/>
                <w:szCs w:val="22"/>
              </w:rPr>
            </w:pP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tolerated(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0.13)</w:t>
            </w:r>
          </w:p>
        </w:tc>
        <w:tc>
          <w:tcPr>
            <w:tcW w:w="2540" w:type="dxa"/>
            <w:tcBorders>
              <w:top w:val="single" w:sz="4" w:space="0" w:color="auto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82342A5" w14:textId="77777777" w:rsidR="00BE0B3B" w:rsidRPr="009E1674" w:rsidRDefault="00BE0B3B" w:rsidP="00BE0B3B">
            <w:pPr>
              <w:spacing w:line="240" w:lineRule="auto"/>
              <w:jc w:val="left"/>
              <w:rPr>
                <w:rFonts w:cs="Calibri"/>
                <w:color w:val="5B9BD5" w:themeColor="accent1"/>
                <w:sz w:val="22"/>
                <w:szCs w:val="22"/>
              </w:rPr>
            </w:pP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benign(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0.003)</w:t>
            </w:r>
          </w:p>
        </w:tc>
      </w:tr>
    </w:tbl>
    <w:p w14:paraId="07171FCA" w14:textId="77777777" w:rsidR="00BE0B3B" w:rsidRDefault="00BE0B3B" w:rsidP="004118A4">
      <w:pPr>
        <w:rPr>
          <w:color w:val="5B9BD5" w:themeColor="accent1"/>
        </w:rPr>
      </w:pPr>
    </w:p>
    <w:p w14:paraId="6FF5BCFE" w14:textId="77777777" w:rsidR="00411CF9" w:rsidRDefault="00411CF9" w:rsidP="004118A4">
      <w:pPr>
        <w:rPr>
          <w:color w:val="5B9BD5" w:themeColor="accent1"/>
        </w:rPr>
      </w:pPr>
    </w:p>
    <w:p w14:paraId="24089CB3" w14:textId="77777777" w:rsidR="00411CF9" w:rsidRPr="009E1674" w:rsidRDefault="00411CF9" w:rsidP="004118A4">
      <w:pPr>
        <w:rPr>
          <w:color w:val="5B9BD5" w:themeColor="accent1"/>
        </w:rPr>
      </w:pPr>
    </w:p>
    <w:p w14:paraId="7DD7D15F" w14:textId="7CF15D1C" w:rsidR="00C14AC2" w:rsidRPr="009E1674" w:rsidRDefault="00C14AC2" w:rsidP="00C14AC2">
      <w:pPr>
        <w:rPr>
          <w:color w:val="5B9BD5" w:themeColor="accent1"/>
        </w:rPr>
      </w:pPr>
      <w:r w:rsidRPr="009E1674">
        <w:rPr>
          <w:color w:val="5B9BD5" w:themeColor="accent1"/>
        </w:rPr>
        <w:lastRenderedPageBreak/>
        <w:t>Chr18:</w:t>
      </w:r>
    </w:p>
    <w:tbl>
      <w:tblPr>
        <w:tblW w:w="3343" w:type="dxa"/>
        <w:tblInd w:w="-1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8"/>
        <w:gridCol w:w="2165"/>
      </w:tblGrid>
      <w:tr w:rsidR="009E1674" w:rsidRPr="009E1674" w14:paraId="4DC90755" w14:textId="77777777" w:rsidTr="00470F22">
        <w:trPr>
          <w:trHeight w:val="288"/>
        </w:trPr>
        <w:tc>
          <w:tcPr>
            <w:tcW w:w="1288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center"/>
            <w:hideMark/>
          </w:tcPr>
          <w:p w14:paraId="0EB74AC4" w14:textId="77777777" w:rsidR="00470F22" w:rsidRPr="009E1674" w:rsidRDefault="00470F22" w:rsidP="00470F22">
            <w:pPr>
              <w:spacing w:line="240" w:lineRule="auto"/>
              <w:jc w:val="right"/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  <w:t>SIFT</w:t>
            </w:r>
          </w:p>
        </w:tc>
        <w:tc>
          <w:tcPr>
            <w:tcW w:w="2055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center"/>
            <w:hideMark/>
          </w:tcPr>
          <w:p w14:paraId="28BBF594" w14:textId="77777777" w:rsidR="00470F22" w:rsidRPr="009E1674" w:rsidRDefault="00470F22" w:rsidP="00470F22">
            <w:pPr>
              <w:spacing w:line="240" w:lineRule="auto"/>
              <w:jc w:val="right"/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b/>
                <w:bCs/>
                <w:color w:val="5B9BD5" w:themeColor="accent1"/>
                <w:sz w:val="22"/>
                <w:szCs w:val="22"/>
              </w:rPr>
              <w:t>PolyPhen</w:t>
            </w:r>
          </w:p>
        </w:tc>
      </w:tr>
      <w:tr w:rsidR="009E1674" w:rsidRPr="009E1674" w14:paraId="0D832B2F" w14:textId="77777777" w:rsidTr="00470F22">
        <w:trPr>
          <w:trHeight w:val="288"/>
        </w:trPr>
        <w:tc>
          <w:tcPr>
            <w:tcW w:w="1288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42B162E" w14:textId="77777777" w:rsidR="00470F22" w:rsidRPr="009E1674" w:rsidRDefault="00470F22" w:rsidP="00470F22">
            <w:pPr>
              <w:spacing w:line="240" w:lineRule="auto"/>
              <w:jc w:val="right"/>
              <w:rPr>
                <w:rFonts w:cs="Calibri"/>
                <w:color w:val="5B9BD5" w:themeColor="accent1"/>
                <w:sz w:val="22"/>
                <w:szCs w:val="22"/>
              </w:rPr>
            </w:pP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deleterious(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0)</w:t>
            </w:r>
          </w:p>
        </w:tc>
        <w:tc>
          <w:tcPr>
            <w:tcW w:w="2055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3FEB56E" w14:textId="77777777" w:rsidR="00470F22" w:rsidRPr="009E1674" w:rsidRDefault="00470F22" w:rsidP="00470F22">
            <w:pPr>
              <w:spacing w:line="240" w:lineRule="auto"/>
              <w:jc w:val="right"/>
              <w:rPr>
                <w:rFonts w:cs="Calibri"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probably_</w:t>
            </w: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damaging(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1)</w:t>
            </w:r>
          </w:p>
        </w:tc>
      </w:tr>
    </w:tbl>
    <w:p w14:paraId="528DE857" w14:textId="77777777" w:rsidR="00470F22" w:rsidRPr="009E1674" w:rsidRDefault="00470F22" w:rsidP="00C14AC2">
      <w:pPr>
        <w:rPr>
          <w:color w:val="5B9BD5" w:themeColor="accent1"/>
        </w:rPr>
      </w:pPr>
    </w:p>
    <w:p w14:paraId="2CDDE832" w14:textId="6B943C75" w:rsidR="00DD75F9" w:rsidRPr="009E1674" w:rsidRDefault="00C14AC2" w:rsidP="00C14AC2">
      <w:pPr>
        <w:rPr>
          <w:color w:val="5B9BD5" w:themeColor="accent1"/>
        </w:rPr>
      </w:pPr>
      <w:r w:rsidRPr="009E1674">
        <w:rPr>
          <w:color w:val="5B9BD5" w:themeColor="accent1"/>
        </w:rPr>
        <w:t>ChrX:</w:t>
      </w:r>
    </w:p>
    <w:tbl>
      <w:tblPr>
        <w:tblW w:w="4371" w:type="dxa"/>
        <w:tblInd w:w="-1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5"/>
        <w:gridCol w:w="1386"/>
      </w:tblGrid>
      <w:tr w:rsidR="009E1674" w:rsidRPr="009E1674" w14:paraId="27E2C0D5" w14:textId="77777777" w:rsidTr="00470F22">
        <w:trPr>
          <w:trHeight w:val="288"/>
        </w:trPr>
        <w:tc>
          <w:tcPr>
            <w:tcW w:w="3095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noWrap/>
            <w:vAlign w:val="center"/>
            <w:hideMark/>
          </w:tcPr>
          <w:p w14:paraId="3E7EA18C" w14:textId="77777777" w:rsidR="00470F22" w:rsidRPr="009E1674" w:rsidRDefault="00470F22" w:rsidP="00470F22">
            <w:pPr>
              <w:spacing w:line="240" w:lineRule="auto"/>
              <w:jc w:val="right"/>
              <w:rPr>
                <w:rFonts w:cs="Calibri"/>
                <w:color w:val="5B9BD5" w:themeColor="accent1"/>
                <w:sz w:val="22"/>
                <w:szCs w:val="22"/>
              </w:rPr>
            </w:pPr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deleterious_low_</w:t>
            </w: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confidence(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0.02)</w:t>
            </w:r>
          </w:p>
        </w:tc>
        <w:tc>
          <w:tcPr>
            <w:tcW w:w="1276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noWrap/>
            <w:vAlign w:val="center"/>
            <w:hideMark/>
          </w:tcPr>
          <w:p w14:paraId="1B0848EF" w14:textId="77777777" w:rsidR="00470F22" w:rsidRPr="009E1674" w:rsidRDefault="00470F22" w:rsidP="00470F22">
            <w:pPr>
              <w:spacing w:line="240" w:lineRule="auto"/>
              <w:jc w:val="right"/>
              <w:rPr>
                <w:rFonts w:cs="Calibri"/>
                <w:color w:val="5B9BD5" w:themeColor="accent1"/>
                <w:sz w:val="22"/>
                <w:szCs w:val="22"/>
              </w:rPr>
            </w:pPr>
            <w:proofErr w:type="gramStart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benign(</w:t>
            </w:r>
            <w:proofErr w:type="gramEnd"/>
            <w:r w:rsidRPr="009E1674">
              <w:rPr>
                <w:rFonts w:cs="Calibri"/>
                <w:color w:val="5B9BD5" w:themeColor="accent1"/>
                <w:sz w:val="22"/>
                <w:szCs w:val="22"/>
              </w:rPr>
              <w:t>0.118)</w:t>
            </w:r>
          </w:p>
        </w:tc>
      </w:tr>
    </w:tbl>
    <w:p w14:paraId="30E03E27" w14:textId="77777777" w:rsidR="00470F22" w:rsidRDefault="00470F22" w:rsidP="00C14AC2"/>
    <w:p w14:paraId="0DCF3276" w14:textId="77777777" w:rsidR="00C14AC2" w:rsidRDefault="00C14AC2" w:rsidP="00C14AC2"/>
    <w:p w14:paraId="5F946519" w14:textId="77777777" w:rsidR="000374E2" w:rsidRPr="00DD75F9" w:rsidRDefault="000374E2" w:rsidP="000374E2">
      <w:r w:rsidRPr="00367E49">
        <w:rPr>
          <w:highlight w:val="yellow"/>
        </w:rPr>
        <w:t xml:space="preserve">Además, realiza un alineamiento de secuencias ortólogas con </w:t>
      </w:r>
      <w:hyperlink r:id="rId21" w:history="1">
        <w:r w:rsidRPr="00367E49">
          <w:rPr>
            <w:color w:val="0098CD" w:themeColor="hyperlink"/>
            <w:highlight w:val="yellow"/>
            <w:u w:val="single"/>
          </w:rPr>
          <w:t>Clustal Omega</w:t>
        </w:r>
      </w:hyperlink>
      <w:r w:rsidRPr="00367E49">
        <w:rPr>
          <w:highlight w:val="yellow"/>
        </w:rPr>
        <w:t xml:space="preserve"> para evaluar la conservación del aminoácido afectado y consulta en la base de datos de </w:t>
      </w:r>
      <w:hyperlink r:id="rId22" w:history="1">
        <w:r w:rsidRPr="00367E49">
          <w:rPr>
            <w:color w:val="0098CD" w:themeColor="hyperlink"/>
            <w:highlight w:val="yellow"/>
            <w:u w:val="single"/>
          </w:rPr>
          <w:t>Uniprot</w:t>
        </w:r>
      </w:hyperlink>
      <w:r w:rsidRPr="00367E49">
        <w:rPr>
          <w:highlight w:val="yellow"/>
        </w:rPr>
        <w:t xml:space="preserve"> el dominio de la proteína que se vería afectado. En el informe deberás incluir un apartado sobre interpretación de resultados indicando </w:t>
      </w:r>
      <w:r w:rsidRPr="00367E49">
        <w:rPr>
          <w:b/>
          <w:bCs/>
          <w:highlight w:val="yellow"/>
        </w:rPr>
        <w:t>si el aminoácido está conservado</w:t>
      </w:r>
      <w:r w:rsidRPr="00367E49">
        <w:rPr>
          <w:highlight w:val="yellow"/>
        </w:rPr>
        <w:t xml:space="preserve">, qué </w:t>
      </w:r>
      <w:r w:rsidRPr="00367E49">
        <w:rPr>
          <w:b/>
          <w:bCs/>
          <w:highlight w:val="yellow"/>
        </w:rPr>
        <w:t>dominio proteico se ve afectado</w:t>
      </w:r>
      <w:r w:rsidRPr="00367E49">
        <w:rPr>
          <w:highlight w:val="yellow"/>
        </w:rPr>
        <w:t xml:space="preserve"> y discute si predices alguna </w:t>
      </w:r>
      <w:r w:rsidRPr="00367E49">
        <w:rPr>
          <w:b/>
          <w:bCs/>
          <w:highlight w:val="yellow"/>
        </w:rPr>
        <w:t>consecuencia en la proteína</w:t>
      </w:r>
      <w:r w:rsidRPr="00367E49">
        <w:rPr>
          <w:highlight w:val="yellow"/>
        </w:rPr>
        <w:t>.</w:t>
      </w:r>
    </w:p>
    <w:p w14:paraId="5AF7644B" w14:textId="77777777" w:rsidR="000374E2" w:rsidRPr="00DD75F9" w:rsidRDefault="000374E2" w:rsidP="000374E2"/>
    <w:p w14:paraId="5FCF86E2" w14:textId="77777777" w:rsidR="000374E2" w:rsidRPr="00DD75F9" w:rsidRDefault="000374E2" w:rsidP="000374E2">
      <w:r w:rsidRPr="00367E49">
        <w:rPr>
          <w:highlight w:val="green"/>
        </w:rPr>
        <w:t xml:space="preserve">Para las </w:t>
      </w:r>
      <w:r w:rsidRPr="00367E49">
        <w:rPr>
          <w:b/>
          <w:bCs/>
          <w:highlight w:val="green"/>
        </w:rPr>
        <w:t>deleciones</w:t>
      </w:r>
      <w:r w:rsidRPr="00367E49">
        <w:rPr>
          <w:highlight w:val="green"/>
        </w:rPr>
        <w:t xml:space="preserve"> deberéis analizar la secuencia nueva de la proteína con la herramienta </w:t>
      </w:r>
      <w:hyperlink r:id="rId23" w:history="1">
        <w:r w:rsidRPr="00367E49">
          <w:rPr>
            <w:color w:val="0098CD" w:themeColor="hyperlink"/>
            <w:highlight w:val="green"/>
            <w:u w:val="single"/>
          </w:rPr>
          <w:t>biomodel</w:t>
        </w:r>
      </w:hyperlink>
      <w:r w:rsidRPr="00367E49">
        <w:rPr>
          <w:highlight w:val="green"/>
        </w:rPr>
        <w:t xml:space="preserve"> e indicar la longitud total de aminoácidos de la proteína wt y de la proteína truncada (la resultante de la mutación). Consultad en la base de datos de </w:t>
      </w:r>
      <w:hyperlink r:id="rId24" w:history="1">
        <w:r w:rsidRPr="00367E49">
          <w:rPr>
            <w:color w:val="0098CD" w:themeColor="hyperlink"/>
            <w:highlight w:val="green"/>
            <w:u w:val="single"/>
          </w:rPr>
          <w:t>Uniprot</w:t>
        </w:r>
      </w:hyperlink>
      <w:r w:rsidRPr="00367E49">
        <w:rPr>
          <w:highlight w:val="green"/>
        </w:rPr>
        <w:t xml:space="preserve"> los dominios de la proteína que se han perdido y en base a esta información, determinad si la proteína resultante sería funcional (en caso de ser estable).</w:t>
      </w:r>
    </w:p>
    <w:p w14:paraId="37766CAF" w14:textId="77777777" w:rsidR="000374E2" w:rsidRPr="00DD75F9" w:rsidRDefault="000374E2" w:rsidP="000374E2">
      <w:pPr>
        <w:ind w:left="284" w:hanging="284"/>
      </w:pPr>
    </w:p>
    <w:p w14:paraId="55345495" w14:textId="77777777" w:rsidR="000374E2" w:rsidRPr="00DD75F9" w:rsidRDefault="000374E2" w:rsidP="00411CF9">
      <w:r w:rsidRPr="00367E49">
        <w:rPr>
          <w:highlight w:val="cyan"/>
        </w:rPr>
        <w:t xml:space="preserve">Para las </w:t>
      </w:r>
      <w:r w:rsidRPr="00367E49">
        <w:rPr>
          <w:b/>
          <w:bCs/>
          <w:highlight w:val="cyan"/>
        </w:rPr>
        <w:t>mutaciones intrónicas</w:t>
      </w:r>
      <w:r w:rsidRPr="00367E49">
        <w:rPr>
          <w:highlight w:val="cyan"/>
        </w:rPr>
        <w:t xml:space="preserve"> deberéis analizar con </w:t>
      </w:r>
      <w:hyperlink r:id="rId25" w:history="1">
        <w:r w:rsidRPr="00367E49">
          <w:rPr>
            <w:color w:val="0098CD" w:themeColor="hyperlink"/>
            <w:highlight w:val="cyan"/>
            <w:u w:val="single"/>
          </w:rPr>
          <w:t>BDGP splicing</w:t>
        </w:r>
      </w:hyperlink>
      <w:r w:rsidRPr="00367E49">
        <w:rPr>
          <w:highlight w:val="cyan"/>
        </w:rPr>
        <w:t xml:space="preserve"> los </w:t>
      </w:r>
      <w:r w:rsidRPr="00367E49">
        <w:rPr>
          <w:i/>
          <w:iCs/>
          <w:highlight w:val="cyan"/>
        </w:rPr>
        <w:t>scores</w:t>
      </w:r>
      <w:r w:rsidRPr="00367E49">
        <w:rPr>
          <w:highlight w:val="cyan"/>
        </w:rPr>
        <w:t xml:space="preserve"> para el </w:t>
      </w:r>
      <w:r w:rsidRPr="00367E49">
        <w:rPr>
          <w:i/>
          <w:iCs/>
          <w:highlight w:val="cyan"/>
        </w:rPr>
        <w:t>splice site</w:t>
      </w:r>
      <w:r w:rsidRPr="00367E49">
        <w:rPr>
          <w:highlight w:val="cyan"/>
        </w:rPr>
        <w:t xml:space="preserve"> y analizar si predices que se pierde un </w:t>
      </w:r>
      <w:r w:rsidRPr="00367E49">
        <w:rPr>
          <w:i/>
          <w:iCs/>
          <w:highlight w:val="cyan"/>
        </w:rPr>
        <w:t>splice site</w:t>
      </w:r>
      <w:r w:rsidRPr="00367E49">
        <w:rPr>
          <w:highlight w:val="cyan"/>
        </w:rPr>
        <w:t xml:space="preserve"> o si utilizará otro alternativo y cuál. Valora si sería conveniente emplear otras herramientas computacionales de análisis de </w:t>
      </w:r>
      <w:r w:rsidRPr="00367E49">
        <w:rPr>
          <w:i/>
          <w:iCs/>
          <w:highlight w:val="cyan"/>
        </w:rPr>
        <w:t>splicing</w:t>
      </w:r>
      <w:r w:rsidRPr="00367E49">
        <w:rPr>
          <w:highlight w:val="cyan"/>
        </w:rPr>
        <w:t xml:space="preserve"> tales como </w:t>
      </w:r>
      <w:hyperlink r:id="rId26" w:history="1">
        <w:r w:rsidRPr="00367E49">
          <w:rPr>
            <w:color w:val="0098CD" w:themeColor="hyperlink"/>
            <w:highlight w:val="cyan"/>
            <w:u w:val="single"/>
          </w:rPr>
          <w:t>ESE Finder</w:t>
        </w:r>
      </w:hyperlink>
      <w:r w:rsidRPr="00367E49">
        <w:rPr>
          <w:highlight w:val="cyan"/>
        </w:rPr>
        <w:t xml:space="preserve"> o </w:t>
      </w:r>
      <w:hyperlink r:id="rId27" w:anchor=":~:text=Splice-site%20mutations%20usually%20induce%20exon%20skipping%20or%20cryptic,the%20two%20aberrant%20transcripts%20from%20the%20primary%20sequence." w:history="1">
        <w:r w:rsidRPr="00367E49">
          <w:rPr>
            <w:color w:val="0098CD" w:themeColor="hyperlink"/>
            <w:highlight w:val="cyan"/>
            <w:u w:val="single"/>
          </w:rPr>
          <w:t>Cryp-Skip</w:t>
        </w:r>
      </w:hyperlink>
      <w:r w:rsidRPr="00367E49">
        <w:rPr>
          <w:highlight w:val="cyan"/>
        </w:rPr>
        <w:t xml:space="preserve">. Consultad en la base de datos de </w:t>
      </w:r>
      <w:hyperlink r:id="rId28" w:history="1">
        <w:r w:rsidRPr="00367E49">
          <w:rPr>
            <w:color w:val="0098CD" w:themeColor="hyperlink"/>
            <w:highlight w:val="cyan"/>
            <w:u w:val="single"/>
          </w:rPr>
          <w:t>Uniprot</w:t>
        </w:r>
      </w:hyperlink>
      <w:r w:rsidRPr="00367E49">
        <w:rPr>
          <w:highlight w:val="cyan"/>
        </w:rPr>
        <w:t xml:space="preserve"> los dominios de la proteína que creéis que se perderían y en base a esta información, determinad si la proteína resultante sería funcional (en caso de ser estable).</w:t>
      </w:r>
    </w:p>
    <w:p w14:paraId="539DBE41" w14:textId="77777777" w:rsidR="000374E2" w:rsidRPr="00DD75F9" w:rsidRDefault="000374E2" w:rsidP="000374E2"/>
    <w:p w14:paraId="6598B38E" w14:textId="77777777" w:rsidR="000374E2" w:rsidRPr="00791B89" w:rsidRDefault="000374E2" w:rsidP="000374E2">
      <w:pPr>
        <w:pStyle w:val="Vietaprimernivel"/>
        <w:ind w:left="360" w:hanging="360"/>
      </w:pPr>
      <w:r w:rsidRPr="00791B89">
        <w:lastRenderedPageBreak/>
        <w:t xml:space="preserve">Para cualquier tipo de mutación, consultad en la base de datos </w:t>
      </w:r>
      <w:hyperlink r:id="rId29" w:history="1">
        <w:r w:rsidRPr="00791B89">
          <w:rPr>
            <w:color w:val="0098CD" w:themeColor="hyperlink"/>
            <w:u w:val="single"/>
          </w:rPr>
          <w:t>OMIM</w:t>
        </w:r>
      </w:hyperlink>
      <w:r w:rsidRPr="00791B89">
        <w:t xml:space="preserve"> si existe una asociación de las variantes detectadas con una </w:t>
      </w:r>
      <w:r w:rsidRPr="00791B89">
        <w:rPr>
          <w:b/>
          <w:bCs/>
        </w:rPr>
        <w:t>patología,</w:t>
      </w:r>
      <w:r w:rsidRPr="00791B89">
        <w:t xml:space="preserve"> el</w:t>
      </w:r>
      <w:r w:rsidRPr="00791B89">
        <w:rPr>
          <w:b/>
          <w:bCs/>
        </w:rPr>
        <w:t xml:space="preserve"> MIM de la patología </w:t>
      </w:r>
      <w:r w:rsidRPr="00791B89">
        <w:t>y el</w:t>
      </w:r>
      <w:r w:rsidRPr="00791B89">
        <w:rPr>
          <w:b/>
          <w:bCs/>
        </w:rPr>
        <w:t xml:space="preserve"> patrón de herencia</w:t>
      </w:r>
      <w:r w:rsidRPr="00791B89">
        <w:t>.</w:t>
      </w:r>
    </w:p>
    <w:p w14:paraId="2E2D36AA" w14:textId="77777777" w:rsidR="000374E2" w:rsidRPr="00864BD2" w:rsidRDefault="000374E2" w:rsidP="000374E2">
      <w:pPr>
        <w:rPr>
          <w:color w:val="5B9BD5" w:themeColor="accent1"/>
        </w:rPr>
      </w:pPr>
      <w:r w:rsidRPr="00864BD2">
        <w:rPr>
          <w:color w:val="5B9BD5" w:themeColor="accent1"/>
          <w:u w:val="single"/>
        </w:rPr>
        <w:t>La variante </w:t>
      </w:r>
      <w:r w:rsidRPr="00864BD2">
        <w:rPr>
          <w:b/>
          <w:bCs/>
          <w:color w:val="5B9BD5" w:themeColor="accent1"/>
          <w:u w:val="single"/>
        </w:rPr>
        <w:t xml:space="preserve">chr1: </w:t>
      </w:r>
      <w:proofErr w:type="gramStart"/>
      <w:r w:rsidRPr="00864BD2">
        <w:rPr>
          <w:b/>
          <w:bCs/>
          <w:color w:val="5B9BD5" w:themeColor="accent1"/>
          <w:u w:val="single"/>
        </w:rPr>
        <w:t>p.Lys</w:t>
      </w:r>
      <w:proofErr w:type="gramEnd"/>
      <w:r w:rsidRPr="00864BD2">
        <w:rPr>
          <w:b/>
          <w:bCs/>
          <w:color w:val="5B9BD5" w:themeColor="accent1"/>
          <w:u w:val="single"/>
        </w:rPr>
        <w:t>109Arg</w:t>
      </w:r>
      <w:r w:rsidRPr="00864BD2">
        <w:rPr>
          <w:color w:val="5B9BD5" w:themeColor="accent1"/>
        </w:rPr>
        <w:t> se localiza comúnmente en el gen </w:t>
      </w:r>
      <w:r w:rsidRPr="00864BD2">
        <w:rPr>
          <w:b/>
          <w:bCs/>
          <w:color w:val="5B9BD5" w:themeColor="accent1"/>
        </w:rPr>
        <w:t>LEPR</w:t>
      </w:r>
      <w:r w:rsidRPr="00864BD2">
        <w:rPr>
          <w:color w:val="5B9BD5" w:themeColor="accent1"/>
        </w:rPr>
        <w:t> (receptor de leptina), ubicado en el brazo corto del cromosoma 1 (</w:t>
      </w:r>
      <w:r w:rsidRPr="00864BD2">
        <w:rPr>
          <w:b/>
          <w:bCs/>
          <w:color w:val="5B9BD5" w:themeColor="accent1"/>
        </w:rPr>
        <w:t>1p31.3</w:t>
      </w:r>
      <w:r w:rsidRPr="00864BD2">
        <w:rPr>
          <w:color w:val="5B9BD5" w:themeColor="accent1"/>
        </w:rPr>
        <w:t>). </w:t>
      </w:r>
    </w:p>
    <w:p w14:paraId="1796D6B3" w14:textId="77777777" w:rsidR="000374E2" w:rsidRPr="00864BD2" w:rsidRDefault="000374E2" w:rsidP="000374E2">
      <w:pPr>
        <w:rPr>
          <w:color w:val="5B9BD5" w:themeColor="accent1"/>
        </w:rPr>
      </w:pPr>
      <w:r w:rsidRPr="00864BD2">
        <w:rPr>
          <w:color w:val="5B9BD5" w:themeColor="accent1"/>
        </w:rPr>
        <w:t>Según la base de datos </w:t>
      </w:r>
      <w:r w:rsidRPr="00BE3F21">
        <w:t>OMIM</w:t>
      </w:r>
      <w:r w:rsidRPr="00864BD2">
        <w:rPr>
          <w:color w:val="5B9BD5" w:themeColor="accent1"/>
        </w:rPr>
        <w:t>, la asociación de este gen y esta variante específica es la siguiente:</w:t>
      </w:r>
    </w:p>
    <w:p w14:paraId="10B75AAF" w14:textId="77777777" w:rsidR="000374E2" w:rsidRPr="00864BD2" w:rsidRDefault="000374E2" w:rsidP="000374E2">
      <w:pPr>
        <w:numPr>
          <w:ilvl w:val="0"/>
          <w:numId w:val="48"/>
        </w:numPr>
        <w:rPr>
          <w:color w:val="5B9BD5" w:themeColor="accent1"/>
        </w:rPr>
      </w:pPr>
      <w:r w:rsidRPr="00864BD2">
        <w:rPr>
          <w:b/>
          <w:bCs/>
          <w:color w:val="5B9BD5" w:themeColor="accent1"/>
        </w:rPr>
        <w:t>Gen:</w:t>
      </w:r>
      <w:r w:rsidRPr="00864BD2">
        <w:rPr>
          <w:color w:val="5B9BD5" w:themeColor="accent1"/>
        </w:rPr>
        <w:t> </w:t>
      </w:r>
      <w:r w:rsidRPr="00864BD2">
        <w:rPr>
          <w:b/>
          <w:bCs/>
          <w:color w:val="5B9BD5" w:themeColor="accent1"/>
        </w:rPr>
        <w:t>LEPR</w:t>
      </w:r>
      <w:r w:rsidRPr="00864BD2">
        <w:rPr>
          <w:color w:val="5B9BD5" w:themeColor="accent1"/>
        </w:rPr>
        <w:t> (MIM *601007)</w:t>
      </w:r>
    </w:p>
    <w:p w14:paraId="651EB441" w14:textId="77777777" w:rsidR="000374E2" w:rsidRPr="00864BD2" w:rsidRDefault="000374E2" w:rsidP="000374E2">
      <w:pPr>
        <w:numPr>
          <w:ilvl w:val="0"/>
          <w:numId w:val="48"/>
        </w:numPr>
        <w:rPr>
          <w:color w:val="5B9BD5" w:themeColor="accent1"/>
        </w:rPr>
      </w:pPr>
      <w:r w:rsidRPr="00864BD2">
        <w:rPr>
          <w:b/>
          <w:bCs/>
          <w:color w:val="5B9BD5" w:themeColor="accent1"/>
        </w:rPr>
        <w:t>Asociación Patológica:</w:t>
      </w:r>
      <w:r w:rsidRPr="00864BD2">
        <w:rPr>
          <w:color w:val="5B9BD5" w:themeColor="accent1"/>
        </w:rPr>
        <w:t> Las mutaciones en el gen </w:t>
      </w:r>
      <w:r w:rsidRPr="00864BD2">
        <w:rPr>
          <w:i/>
          <w:iCs/>
          <w:color w:val="5B9BD5" w:themeColor="accent1"/>
        </w:rPr>
        <w:t>LEPR</w:t>
      </w:r>
      <w:r w:rsidRPr="00864BD2">
        <w:rPr>
          <w:color w:val="5B9BD5" w:themeColor="accent1"/>
        </w:rPr>
        <w:t> están asociadas principalmente con la </w:t>
      </w:r>
      <w:r w:rsidRPr="00864BD2">
        <w:rPr>
          <w:b/>
          <w:bCs/>
          <w:color w:val="5B9BD5" w:themeColor="accent1"/>
        </w:rPr>
        <w:t>Obesidad mórbida de inicio temprano</w:t>
      </w:r>
      <w:r w:rsidRPr="00864BD2">
        <w:rPr>
          <w:color w:val="5B9BD5" w:themeColor="accent1"/>
        </w:rPr>
        <w:t> (MIM #614963), la cual se caracteriza por hiperfagia intensa y disfunción hipofisaria.</w:t>
      </w:r>
    </w:p>
    <w:p w14:paraId="65F602CB" w14:textId="77777777" w:rsidR="000374E2" w:rsidRPr="00864BD2" w:rsidRDefault="000374E2" w:rsidP="000374E2">
      <w:pPr>
        <w:numPr>
          <w:ilvl w:val="0"/>
          <w:numId w:val="48"/>
        </w:numPr>
        <w:rPr>
          <w:color w:val="5B9BD5" w:themeColor="accent1"/>
        </w:rPr>
      </w:pPr>
      <w:r w:rsidRPr="00864BD2">
        <w:rPr>
          <w:b/>
          <w:bCs/>
          <w:color w:val="5B9BD5" w:themeColor="accent1"/>
        </w:rPr>
        <w:t>Variante específica (</w:t>
      </w:r>
      <w:proofErr w:type="gramStart"/>
      <w:r w:rsidRPr="00864BD2">
        <w:rPr>
          <w:b/>
          <w:bCs/>
          <w:color w:val="5B9BD5" w:themeColor="accent1"/>
        </w:rPr>
        <w:t>p.Lys</w:t>
      </w:r>
      <w:proofErr w:type="gramEnd"/>
      <w:r w:rsidRPr="00864BD2">
        <w:rPr>
          <w:b/>
          <w:bCs/>
          <w:color w:val="5B9BD5" w:themeColor="accent1"/>
        </w:rPr>
        <w:t>109Arg):</w:t>
      </w:r>
      <w:r w:rsidRPr="00864BD2">
        <w:rPr>
          <w:color w:val="5B9BD5" w:themeColor="accent1"/>
        </w:rPr>
        <w:t> En OMIM y la literatura científica, esta variante se describe frecuentemente como un </w:t>
      </w:r>
      <w:r w:rsidRPr="00864BD2">
        <w:rPr>
          <w:b/>
          <w:bCs/>
          <w:color w:val="5B9BD5" w:themeColor="accent1"/>
        </w:rPr>
        <w:t>polimorfismo común</w:t>
      </w:r>
      <w:r w:rsidRPr="00864BD2">
        <w:rPr>
          <w:color w:val="5B9BD5" w:themeColor="accent1"/>
        </w:rPr>
        <w:t> (rs1137100). Aunque se ha estudiado su asociación con la susceptibilidad a la obesidad, niveles de leptina y densidad ósea, su efecto clínico suele considerarse modesto o de susceptibilidad, no necesariamente causal directo de una enfermedad mendeliana grave por sí sola.</w:t>
      </w:r>
    </w:p>
    <w:p w14:paraId="29D61624" w14:textId="77777777" w:rsidR="000374E2" w:rsidRDefault="000374E2" w:rsidP="000374E2">
      <w:pPr>
        <w:numPr>
          <w:ilvl w:val="0"/>
          <w:numId w:val="48"/>
        </w:numPr>
        <w:rPr>
          <w:color w:val="5B9BD5" w:themeColor="accent1"/>
        </w:rPr>
      </w:pPr>
      <w:r w:rsidRPr="00864BD2">
        <w:rPr>
          <w:b/>
          <w:bCs/>
          <w:color w:val="5B9BD5" w:themeColor="accent1"/>
        </w:rPr>
        <w:t>Patrón de Herencia:</w:t>
      </w:r>
      <w:r w:rsidRPr="00864BD2">
        <w:rPr>
          <w:color w:val="5B9BD5" w:themeColor="accent1"/>
        </w:rPr>
        <w:t> El déficit del receptor de leptina sigue un patrón de herencia </w:t>
      </w:r>
      <w:r w:rsidRPr="00864BD2">
        <w:rPr>
          <w:b/>
          <w:bCs/>
          <w:color w:val="5B9BD5" w:themeColor="accent1"/>
        </w:rPr>
        <w:t>Autonómico Recesivo</w:t>
      </w:r>
      <w:r w:rsidRPr="00864BD2">
        <w:rPr>
          <w:color w:val="5B9BD5" w:themeColor="accent1"/>
        </w:rPr>
        <w:t> (MIM #614963). Esto significa que, para presentar la patología clínica severa, se suelen requerir dos copias alteradas del gen (homocigosis o heterocigosis compuesta).</w:t>
      </w:r>
    </w:p>
    <w:p w14:paraId="151C283D" w14:textId="77777777" w:rsidR="000374E2" w:rsidRPr="00864BD2" w:rsidRDefault="000374E2" w:rsidP="000374E2">
      <w:pPr>
        <w:numPr>
          <w:ilvl w:val="0"/>
          <w:numId w:val="48"/>
        </w:numPr>
        <w:rPr>
          <w:color w:val="5B9BD5" w:themeColor="accent1"/>
        </w:rPr>
      </w:pPr>
      <w:r w:rsidRPr="00864BD2">
        <w:rPr>
          <w:color w:val="5B9BD5" w:themeColor="accent1"/>
        </w:rPr>
        <w:t>Es importante notar que, mientras que las mutaciones de pérdida de función en </w:t>
      </w:r>
      <w:r w:rsidRPr="00864BD2">
        <w:rPr>
          <w:i/>
          <w:iCs/>
          <w:color w:val="5B9BD5" w:themeColor="accent1"/>
        </w:rPr>
        <w:t>LEPR</w:t>
      </w:r>
      <w:r w:rsidRPr="00864BD2">
        <w:rPr>
          <w:color w:val="5B9BD5" w:themeColor="accent1"/>
        </w:rPr>
        <w:t> causan obesidad recesiva severa, variantes como </w:t>
      </w:r>
      <w:proofErr w:type="gramStart"/>
      <w:r w:rsidRPr="00864BD2">
        <w:rPr>
          <w:b/>
          <w:bCs/>
          <w:color w:val="5B9BD5" w:themeColor="accent1"/>
        </w:rPr>
        <w:t>p.Lys</w:t>
      </w:r>
      <w:proofErr w:type="gramEnd"/>
      <w:r w:rsidRPr="00864BD2">
        <w:rPr>
          <w:b/>
          <w:bCs/>
          <w:color w:val="5B9BD5" w:themeColor="accent1"/>
        </w:rPr>
        <w:t>109Arg</w:t>
      </w:r>
      <w:r w:rsidRPr="00864BD2">
        <w:rPr>
          <w:color w:val="5B9BD5" w:themeColor="accent1"/>
        </w:rPr>
        <w:t> a menudo se clasifican en bases de datos como ClinVar como </w:t>
      </w:r>
      <w:r w:rsidRPr="00864BD2">
        <w:rPr>
          <w:b/>
          <w:bCs/>
          <w:color w:val="5B9BD5" w:themeColor="accent1"/>
        </w:rPr>
        <w:t>benignas</w:t>
      </w:r>
      <w:r w:rsidRPr="00864BD2">
        <w:rPr>
          <w:color w:val="5B9BD5" w:themeColor="accent1"/>
        </w:rPr>
        <w:t> o de significado incierto en el contexto de enfermedades raras.</w:t>
      </w:r>
    </w:p>
    <w:p w14:paraId="744078BC" w14:textId="77777777" w:rsidR="000374E2" w:rsidRDefault="000374E2" w:rsidP="000374E2">
      <w:pPr>
        <w:ind w:left="284"/>
        <w:rPr>
          <w:highlight w:val="lightGray"/>
        </w:rPr>
      </w:pPr>
    </w:p>
    <w:p w14:paraId="6864B68F" w14:textId="77777777" w:rsidR="000374E2" w:rsidRPr="000F1011" w:rsidRDefault="000374E2" w:rsidP="000374E2">
      <w:pPr>
        <w:rPr>
          <w:color w:val="5B9BD5" w:themeColor="accent1"/>
          <w:u w:val="single"/>
        </w:rPr>
      </w:pPr>
      <w:r w:rsidRPr="00864BD2">
        <w:rPr>
          <w:color w:val="5B9BD5" w:themeColor="accent1"/>
          <w:u w:val="single"/>
        </w:rPr>
        <w:t>La variante</w:t>
      </w:r>
      <w:r w:rsidRPr="000F1011">
        <w:rPr>
          <w:color w:val="5B9BD5" w:themeColor="accent1"/>
          <w:u w:val="single"/>
        </w:rPr>
        <w:t xml:space="preserve"> Chr17: </w:t>
      </w:r>
      <w:proofErr w:type="gramStart"/>
      <w:r w:rsidRPr="000F1011">
        <w:rPr>
          <w:color w:val="5B9BD5" w:themeColor="accent1"/>
          <w:u w:val="single"/>
          <w:lang w:val="en-GB"/>
        </w:rPr>
        <w:t>p.Pro</w:t>
      </w:r>
      <w:proofErr w:type="gramEnd"/>
      <w:r w:rsidRPr="000F1011">
        <w:rPr>
          <w:color w:val="5B9BD5" w:themeColor="accent1"/>
          <w:u w:val="single"/>
          <w:lang w:val="en-GB"/>
        </w:rPr>
        <w:t>72Leu</w:t>
      </w:r>
      <w:r w:rsidRPr="000F1011">
        <w:rPr>
          <w:color w:val="5B9BD5" w:themeColor="accent1"/>
          <w:u w:val="single"/>
        </w:rPr>
        <w:t xml:space="preserve"> </w:t>
      </w:r>
      <w:r w:rsidRPr="000F1011">
        <w:rPr>
          <w:color w:val="5B9BD5" w:themeColor="accent1"/>
        </w:rPr>
        <w:t>se localiza en el gen </w:t>
      </w:r>
      <w:r w:rsidRPr="000F1011">
        <w:rPr>
          <w:b/>
          <w:bCs/>
          <w:color w:val="5B9BD5" w:themeColor="accent1"/>
        </w:rPr>
        <w:t>TP53</w:t>
      </w:r>
      <w:r w:rsidRPr="000F1011">
        <w:rPr>
          <w:color w:val="5B9BD5" w:themeColor="accent1"/>
        </w:rPr>
        <w:t>, el regulador clave del ciclo celular. Los algoritmos coinciden en que el cambio tiene un impacto nulo o mínimo en la estructura de la proteína. </w:t>
      </w:r>
    </w:p>
    <w:p w14:paraId="7ABC8C4C" w14:textId="77777777" w:rsidR="000374E2" w:rsidRPr="000F1011" w:rsidRDefault="000374E2" w:rsidP="000374E2">
      <w:pPr>
        <w:ind w:left="284"/>
        <w:rPr>
          <w:color w:val="5B9BD5" w:themeColor="accent1"/>
        </w:rPr>
      </w:pPr>
      <w:r w:rsidRPr="000F1011">
        <w:rPr>
          <w:color w:val="5B9BD5" w:themeColor="accent1"/>
        </w:rPr>
        <w:t>Según la base de datos OMIM, esta es la asociación clínica:</w:t>
      </w:r>
    </w:p>
    <w:p w14:paraId="2E5F4595" w14:textId="77777777" w:rsidR="000374E2" w:rsidRPr="000F1011" w:rsidRDefault="000374E2" w:rsidP="000374E2">
      <w:pPr>
        <w:numPr>
          <w:ilvl w:val="0"/>
          <w:numId w:val="49"/>
        </w:numPr>
        <w:rPr>
          <w:color w:val="5B9BD5" w:themeColor="accent1"/>
        </w:rPr>
      </w:pPr>
      <w:r w:rsidRPr="000F1011">
        <w:rPr>
          <w:b/>
          <w:bCs/>
          <w:color w:val="5B9BD5" w:themeColor="accent1"/>
        </w:rPr>
        <w:t>Gen:</w:t>
      </w:r>
      <w:r w:rsidRPr="000F1011">
        <w:rPr>
          <w:color w:val="5B9BD5" w:themeColor="accent1"/>
        </w:rPr>
        <w:t> </w:t>
      </w:r>
      <w:r w:rsidRPr="000F1011">
        <w:rPr>
          <w:b/>
          <w:bCs/>
          <w:color w:val="5B9BD5" w:themeColor="accent1"/>
        </w:rPr>
        <w:t>TP53</w:t>
      </w:r>
      <w:r w:rsidRPr="000F1011">
        <w:rPr>
          <w:color w:val="5B9BD5" w:themeColor="accent1"/>
        </w:rPr>
        <w:t> (MIM *191170).</w:t>
      </w:r>
    </w:p>
    <w:p w14:paraId="17FD3647" w14:textId="77777777" w:rsidR="000374E2" w:rsidRPr="000F1011" w:rsidRDefault="000374E2" w:rsidP="000374E2">
      <w:pPr>
        <w:numPr>
          <w:ilvl w:val="0"/>
          <w:numId w:val="49"/>
        </w:numPr>
        <w:rPr>
          <w:color w:val="5B9BD5" w:themeColor="accent1"/>
        </w:rPr>
      </w:pPr>
      <w:r w:rsidRPr="000F1011">
        <w:rPr>
          <w:b/>
          <w:bCs/>
          <w:color w:val="5B9BD5" w:themeColor="accent1"/>
        </w:rPr>
        <w:lastRenderedPageBreak/>
        <w:t>Asociación Patológica:</w:t>
      </w:r>
      <w:r w:rsidRPr="000F1011">
        <w:rPr>
          <w:color w:val="5B9BD5" w:themeColor="accent1"/>
        </w:rPr>
        <w:t> Las mutaciones de pérdida de función en este gen causan el </w:t>
      </w:r>
      <w:r w:rsidRPr="000F1011">
        <w:rPr>
          <w:b/>
          <w:bCs/>
          <w:color w:val="5B9BD5" w:themeColor="accent1"/>
        </w:rPr>
        <w:t>Síndrome de Li-Fraumeni</w:t>
      </w:r>
      <w:r w:rsidRPr="000F1011">
        <w:rPr>
          <w:color w:val="5B9BD5" w:themeColor="accent1"/>
        </w:rPr>
        <w:t> (MIM #151623), caracterizado por una predisposición muy elevada a múltiples tipos de cáncer.</w:t>
      </w:r>
    </w:p>
    <w:p w14:paraId="681810C4" w14:textId="77777777" w:rsidR="000374E2" w:rsidRPr="000F1011" w:rsidRDefault="000374E2" w:rsidP="000374E2">
      <w:pPr>
        <w:numPr>
          <w:ilvl w:val="0"/>
          <w:numId w:val="49"/>
        </w:numPr>
        <w:rPr>
          <w:color w:val="5B9BD5" w:themeColor="accent1"/>
        </w:rPr>
      </w:pPr>
      <w:r w:rsidRPr="000F1011">
        <w:rPr>
          <w:b/>
          <w:bCs/>
          <w:color w:val="5B9BD5" w:themeColor="accent1"/>
        </w:rPr>
        <w:t>Variante específica (</w:t>
      </w:r>
      <w:proofErr w:type="gramStart"/>
      <w:r w:rsidRPr="000F1011">
        <w:rPr>
          <w:b/>
          <w:bCs/>
          <w:color w:val="5B9BD5" w:themeColor="accent1"/>
        </w:rPr>
        <w:t>p.Pro</w:t>
      </w:r>
      <w:proofErr w:type="gramEnd"/>
      <w:r w:rsidRPr="000F1011">
        <w:rPr>
          <w:b/>
          <w:bCs/>
          <w:color w:val="5B9BD5" w:themeColor="accent1"/>
        </w:rPr>
        <w:t>72Leu):</w:t>
      </w:r>
      <w:r w:rsidRPr="000F1011">
        <w:rPr>
          <w:color w:val="5B9BD5" w:themeColor="accent1"/>
        </w:rPr>
        <w:t> Se trata de un </w:t>
      </w:r>
      <w:r w:rsidRPr="000F1011">
        <w:rPr>
          <w:b/>
          <w:bCs/>
          <w:color w:val="5B9BD5" w:themeColor="accent1"/>
        </w:rPr>
        <w:t>polimorfismo genético</w:t>
      </w:r>
      <w:r w:rsidRPr="000F1011">
        <w:rPr>
          <w:color w:val="5B9BD5" w:themeColor="accent1"/>
        </w:rPr>
        <w:t> muy común (rs1042522). Aunque se ha investigado su influencia en la respuesta a la quimioterapia o en la susceptibilidad al cáncer, la Base de Datos ClinVar la clasifica mayoritariamente como </w:t>
      </w:r>
      <w:r w:rsidRPr="000F1011">
        <w:rPr>
          <w:b/>
          <w:bCs/>
          <w:color w:val="5B9BD5" w:themeColor="accent1"/>
        </w:rPr>
        <w:t>Benigna</w:t>
      </w:r>
      <w:r w:rsidRPr="000F1011">
        <w:rPr>
          <w:color w:val="5B9BD5" w:themeColor="accent1"/>
        </w:rPr>
        <w:t>. No se considera una mutación causante de enfermedad por sí misma.</w:t>
      </w:r>
    </w:p>
    <w:p w14:paraId="7E481A46" w14:textId="77777777" w:rsidR="000374E2" w:rsidRPr="000F1011" w:rsidRDefault="000374E2" w:rsidP="000374E2">
      <w:pPr>
        <w:numPr>
          <w:ilvl w:val="0"/>
          <w:numId w:val="49"/>
        </w:numPr>
        <w:rPr>
          <w:color w:val="5B9BD5" w:themeColor="accent1"/>
        </w:rPr>
      </w:pPr>
      <w:r w:rsidRPr="000F1011">
        <w:rPr>
          <w:b/>
          <w:bCs/>
          <w:color w:val="5B9BD5" w:themeColor="accent1"/>
        </w:rPr>
        <w:t>Patrón de Herencia:</w:t>
      </w:r>
      <w:r w:rsidRPr="000F1011">
        <w:rPr>
          <w:color w:val="5B9BD5" w:themeColor="accent1"/>
        </w:rPr>
        <w:t> El síndrome de Li-Fraumeni es </w:t>
      </w:r>
      <w:r w:rsidRPr="000F1011">
        <w:rPr>
          <w:b/>
          <w:bCs/>
          <w:color w:val="5B9BD5" w:themeColor="accent1"/>
        </w:rPr>
        <w:t>Autonómico Dominante</w:t>
      </w:r>
      <w:r w:rsidRPr="000F1011">
        <w:rPr>
          <w:color w:val="5B9BD5" w:themeColor="accent1"/>
        </w:rPr>
        <w:t>, pero al ser esta una variante polimórfica (una variación normal de la población), no sigue este patrón de patogenicidad. </w:t>
      </w:r>
    </w:p>
    <w:p w14:paraId="2F24DEED" w14:textId="77777777" w:rsidR="000374E2" w:rsidRDefault="000374E2" w:rsidP="000374E2">
      <w:pPr>
        <w:ind w:left="284"/>
        <w:rPr>
          <w:color w:val="5B9BD5" w:themeColor="accent1"/>
        </w:rPr>
      </w:pPr>
      <w:r w:rsidRPr="000F1011">
        <w:rPr>
          <w:color w:val="5B9BD5" w:themeColor="accent1"/>
        </w:rPr>
        <w:t>En términos sencillos: es una variante común que simplemente refleja la </w:t>
      </w:r>
      <w:r w:rsidRPr="000F1011">
        <w:rPr>
          <w:b/>
          <w:bCs/>
          <w:color w:val="5B9BD5" w:themeColor="accent1"/>
        </w:rPr>
        <w:t>diversidad genética</w:t>
      </w:r>
      <w:r w:rsidRPr="000F1011">
        <w:rPr>
          <w:color w:val="5B9BD5" w:themeColor="accent1"/>
        </w:rPr>
        <w:t> humana, sin implicar un diagnóstico médico de riesgo hereditario de cáncer.</w:t>
      </w:r>
    </w:p>
    <w:p w14:paraId="3488E85D" w14:textId="77777777" w:rsidR="000374E2" w:rsidRDefault="000374E2" w:rsidP="000374E2">
      <w:pPr>
        <w:rPr>
          <w:color w:val="5B9BD5" w:themeColor="accent1"/>
        </w:rPr>
      </w:pPr>
    </w:p>
    <w:p w14:paraId="03470F75" w14:textId="77777777" w:rsidR="000374E2" w:rsidRPr="00100E2B" w:rsidRDefault="000374E2" w:rsidP="000374E2">
      <w:pPr>
        <w:rPr>
          <w:color w:val="5B9BD5" w:themeColor="accent1"/>
        </w:rPr>
      </w:pPr>
      <w:r w:rsidRPr="00864BD2">
        <w:rPr>
          <w:color w:val="5B9BD5" w:themeColor="accent1"/>
          <w:u w:val="single"/>
        </w:rPr>
        <w:t>La variante</w:t>
      </w:r>
      <w:r w:rsidRPr="000F1011">
        <w:rPr>
          <w:color w:val="5B9BD5" w:themeColor="accent1"/>
          <w:u w:val="single"/>
        </w:rPr>
        <w:t xml:space="preserve"> Chr1</w:t>
      </w:r>
      <w:r>
        <w:rPr>
          <w:color w:val="5B9BD5" w:themeColor="accent1"/>
          <w:u w:val="single"/>
        </w:rPr>
        <w:t xml:space="preserve">8: </w:t>
      </w:r>
      <w:r w:rsidRPr="00100E2B">
        <w:rPr>
          <w:color w:val="5B9BD5" w:themeColor="accent1"/>
        </w:rPr>
        <w:t>Para las variantes en el </w:t>
      </w:r>
      <w:r w:rsidRPr="00100E2B">
        <w:rPr>
          <w:b/>
          <w:bCs/>
          <w:color w:val="5B9BD5" w:themeColor="accent1"/>
        </w:rPr>
        <w:t>cromosoma 18</w:t>
      </w:r>
      <w:r w:rsidRPr="00100E2B">
        <w:rPr>
          <w:color w:val="5B9BD5" w:themeColor="accent1"/>
        </w:rPr>
        <w:t> con resultados de predicción de </w:t>
      </w:r>
      <w:r w:rsidRPr="00100E2B">
        <w:rPr>
          <w:b/>
          <w:bCs/>
          <w:color w:val="5B9BD5" w:themeColor="accent1"/>
        </w:rPr>
        <w:t>SIFT: deleterious (0)</w:t>
      </w:r>
      <w:r w:rsidRPr="00100E2B">
        <w:rPr>
          <w:color w:val="5B9BD5" w:themeColor="accent1"/>
        </w:rPr>
        <w:t> y </w:t>
      </w:r>
      <w:r w:rsidRPr="00100E2B">
        <w:rPr>
          <w:b/>
          <w:bCs/>
          <w:color w:val="5B9BD5" w:themeColor="accent1"/>
        </w:rPr>
        <w:t>PolyPhen: probably damaging (1)</w:t>
      </w:r>
      <w:r w:rsidRPr="00100E2B">
        <w:rPr>
          <w:color w:val="5B9BD5" w:themeColor="accent1"/>
        </w:rPr>
        <w:t>, existe una alta probabilidad de que el cambio aminoacídico afecte gravemente la función de la proteína. </w:t>
      </w:r>
    </w:p>
    <w:p w14:paraId="58289C8C" w14:textId="77777777" w:rsidR="000374E2" w:rsidRPr="00100E2B" w:rsidRDefault="000374E2" w:rsidP="000374E2">
      <w:pPr>
        <w:ind w:left="284"/>
        <w:rPr>
          <w:color w:val="5B9BD5" w:themeColor="accent1"/>
        </w:rPr>
      </w:pPr>
      <w:r w:rsidRPr="00100E2B">
        <w:rPr>
          <w:color w:val="5B9BD5" w:themeColor="accent1"/>
        </w:rPr>
        <w:t>Aunque no proporciona</w:t>
      </w:r>
      <w:r>
        <w:rPr>
          <w:color w:val="5B9BD5" w:themeColor="accent1"/>
        </w:rPr>
        <w:t>mos</w:t>
      </w:r>
      <w:r w:rsidRPr="00100E2B">
        <w:rPr>
          <w:color w:val="5B9BD5" w:themeColor="accent1"/>
        </w:rPr>
        <w:t xml:space="preserve"> el gen específico, los genes más relevantes en el cromosoma 18 con variantes patogénicas descritas en OMIM son: </w:t>
      </w:r>
    </w:p>
    <w:p w14:paraId="290A84AC" w14:textId="77777777" w:rsidR="000374E2" w:rsidRPr="00100E2B" w:rsidRDefault="000374E2" w:rsidP="000374E2">
      <w:pPr>
        <w:ind w:left="284"/>
        <w:rPr>
          <w:b/>
          <w:bCs/>
          <w:color w:val="5B9BD5" w:themeColor="accent1"/>
        </w:rPr>
      </w:pPr>
      <w:r w:rsidRPr="00100E2B">
        <w:rPr>
          <w:b/>
          <w:bCs/>
          <w:color w:val="5B9BD5" w:themeColor="accent1"/>
        </w:rPr>
        <w:t>1. Gen NPC1 (</w:t>
      </w:r>
      <w:hyperlink r:id="rId30" w:tgtFrame="_blank" w:history="1">
        <w:r w:rsidRPr="00100E2B">
          <w:rPr>
            <w:rStyle w:val="Hipervnculo"/>
          </w:rPr>
          <w:t>MIM *607623</w:t>
        </w:r>
      </w:hyperlink>
      <w:r w:rsidRPr="00100E2B">
        <w:rPr>
          <w:b/>
          <w:bCs/>
          <w:color w:val="5B9BD5" w:themeColor="accent1"/>
        </w:rPr>
        <w:t>) </w:t>
      </w:r>
    </w:p>
    <w:p w14:paraId="139094DA" w14:textId="77777777" w:rsidR="000374E2" w:rsidRPr="00100E2B" w:rsidRDefault="000374E2" w:rsidP="000374E2">
      <w:pPr>
        <w:numPr>
          <w:ilvl w:val="0"/>
          <w:numId w:val="50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Asociación:</w:t>
      </w:r>
      <w:r w:rsidRPr="00100E2B">
        <w:rPr>
          <w:color w:val="5B9BD5" w:themeColor="accent1"/>
        </w:rPr>
        <w:t> </w:t>
      </w:r>
      <w:hyperlink r:id="rId31" w:tgtFrame="_blank" w:history="1">
        <w:r w:rsidRPr="00100E2B">
          <w:rPr>
            <w:rStyle w:val="Hipervnculo"/>
          </w:rPr>
          <w:t>Enfermedad de Niemann-Pick, tipo C1</w:t>
        </w:r>
      </w:hyperlink>
      <w:r w:rsidRPr="00100E2B">
        <w:rPr>
          <w:color w:val="5B9BD5" w:themeColor="accent1"/>
        </w:rPr>
        <w:t> (#257220).</w:t>
      </w:r>
    </w:p>
    <w:p w14:paraId="2CAB24EC" w14:textId="77777777" w:rsidR="000374E2" w:rsidRPr="00100E2B" w:rsidRDefault="000374E2" w:rsidP="000374E2">
      <w:pPr>
        <w:numPr>
          <w:ilvl w:val="0"/>
          <w:numId w:val="50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Patología:</w:t>
      </w:r>
      <w:r w:rsidRPr="00100E2B">
        <w:rPr>
          <w:color w:val="5B9BD5" w:themeColor="accent1"/>
        </w:rPr>
        <w:t> Trastorno neurovisceral de almacenamiento de lípidos.</w:t>
      </w:r>
    </w:p>
    <w:p w14:paraId="3CB42E47" w14:textId="77777777" w:rsidR="000374E2" w:rsidRPr="00100E2B" w:rsidRDefault="000374E2" w:rsidP="000374E2">
      <w:pPr>
        <w:numPr>
          <w:ilvl w:val="0"/>
          <w:numId w:val="50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Patrón de Herencia:</w:t>
      </w:r>
      <w:r w:rsidRPr="00100E2B">
        <w:rPr>
          <w:color w:val="5B9BD5" w:themeColor="accent1"/>
        </w:rPr>
        <w:t> </w:t>
      </w:r>
      <w:r w:rsidRPr="00100E2B">
        <w:rPr>
          <w:b/>
          <w:bCs/>
          <w:color w:val="5B9BD5" w:themeColor="accent1"/>
        </w:rPr>
        <w:t>Autonómico Recesivo</w:t>
      </w:r>
      <w:r w:rsidRPr="00100E2B">
        <w:rPr>
          <w:color w:val="5B9BD5" w:themeColor="accent1"/>
        </w:rPr>
        <w:t> (se requieren dos copias alteradas para manifestar la enfermedad clínica). </w:t>
      </w:r>
    </w:p>
    <w:p w14:paraId="67602AA3" w14:textId="77777777" w:rsidR="000374E2" w:rsidRPr="00100E2B" w:rsidRDefault="000374E2" w:rsidP="000374E2">
      <w:pPr>
        <w:ind w:left="284"/>
        <w:rPr>
          <w:b/>
          <w:bCs/>
          <w:color w:val="5B9BD5" w:themeColor="accent1"/>
        </w:rPr>
      </w:pPr>
      <w:r w:rsidRPr="00100E2B">
        <w:rPr>
          <w:b/>
          <w:bCs/>
          <w:color w:val="5B9BD5" w:themeColor="accent1"/>
        </w:rPr>
        <w:t>2. Gen SMAD4 (</w:t>
      </w:r>
      <w:hyperlink r:id="rId32" w:tgtFrame="_blank" w:history="1">
        <w:r w:rsidRPr="00100E2B">
          <w:rPr>
            <w:rStyle w:val="Hipervnculo"/>
          </w:rPr>
          <w:t>MIM *600993</w:t>
        </w:r>
      </w:hyperlink>
      <w:r w:rsidRPr="00100E2B">
        <w:rPr>
          <w:b/>
          <w:bCs/>
          <w:color w:val="5B9BD5" w:themeColor="accent1"/>
        </w:rPr>
        <w:t>) </w:t>
      </w:r>
    </w:p>
    <w:p w14:paraId="6F50AF0A" w14:textId="77777777" w:rsidR="000374E2" w:rsidRPr="00100E2B" w:rsidRDefault="000374E2" w:rsidP="000374E2">
      <w:pPr>
        <w:numPr>
          <w:ilvl w:val="0"/>
          <w:numId w:val="51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Asociación:</w:t>
      </w:r>
      <w:r w:rsidRPr="00100E2B">
        <w:rPr>
          <w:color w:val="5B9BD5" w:themeColor="accent1"/>
        </w:rPr>
        <w:t> Síndrome de Poliposis Juvenil (#174900) y Síndrome de Myhre (#139210).</w:t>
      </w:r>
    </w:p>
    <w:p w14:paraId="05580E32" w14:textId="77777777" w:rsidR="000374E2" w:rsidRPr="00100E2B" w:rsidRDefault="000374E2" w:rsidP="000374E2">
      <w:pPr>
        <w:numPr>
          <w:ilvl w:val="0"/>
          <w:numId w:val="51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Patología:</w:t>
      </w:r>
      <w:r w:rsidRPr="00100E2B">
        <w:rPr>
          <w:color w:val="5B9BD5" w:themeColor="accent1"/>
        </w:rPr>
        <w:t> Predisposición a pólipos gastrointestinales y cáncer, o un trastorno del tejido conectivo con baja estatura y rigidez cutánea.</w:t>
      </w:r>
    </w:p>
    <w:p w14:paraId="1E253582" w14:textId="77777777" w:rsidR="000374E2" w:rsidRPr="00100E2B" w:rsidRDefault="000374E2" w:rsidP="000374E2">
      <w:pPr>
        <w:numPr>
          <w:ilvl w:val="0"/>
          <w:numId w:val="51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lastRenderedPageBreak/>
        <w:t>Patrón de Herencia:</w:t>
      </w:r>
      <w:r w:rsidRPr="00100E2B">
        <w:rPr>
          <w:color w:val="5B9BD5" w:themeColor="accent1"/>
        </w:rPr>
        <w:t> </w:t>
      </w:r>
      <w:r w:rsidRPr="00100E2B">
        <w:rPr>
          <w:b/>
          <w:bCs/>
          <w:color w:val="5B9BD5" w:themeColor="accent1"/>
        </w:rPr>
        <w:t>Autonómico Dominante</w:t>
      </w:r>
      <w:r w:rsidRPr="00100E2B">
        <w:rPr>
          <w:color w:val="5B9BD5" w:themeColor="accent1"/>
        </w:rPr>
        <w:t> (una sola copia alterada puede causar el cuadro clínico). </w:t>
      </w:r>
    </w:p>
    <w:p w14:paraId="14828F8D" w14:textId="77777777" w:rsidR="000374E2" w:rsidRPr="00100E2B" w:rsidRDefault="000374E2" w:rsidP="000374E2">
      <w:pPr>
        <w:ind w:left="284"/>
        <w:rPr>
          <w:b/>
          <w:bCs/>
          <w:color w:val="5B9BD5" w:themeColor="accent1"/>
        </w:rPr>
      </w:pPr>
      <w:r w:rsidRPr="00100E2B">
        <w:rPr>
          <w:b/>
          <w:bCs/>
          <w:color w:val="5B9BD5" w:themeColor="accent1"/>
        </w:rPr>
        <w:t>3. Gen TCF4 (MIM *602272) </w:t>
      </w:r>
    </w:p>
    <w:p w14:paraId="6FC9C719" w14:textId="77777777" w:rsidR="000374E2" w:rsidRPr="00100E2B" w:rsidRDefault="000374E2" w:rsidP="000374E2">
      <w:pPr>
        <w:numPr>
          <w:ilvl w:val="0"/>
          <w:numId w:val="52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Asociación:</w:t>
      </w:r>
      <w:r w:rsidRPr="00100E2B">
        <w:rPr>
          <w:color w:val="5B9BD5" w:themeColor="accent1"/>
        </w:rPr>
        <w:t> Síndrome de Pitt-Hopkins (#610954).</w:t>
      </w:r>
    </w:p>
    <w:p w14:paraId="2AE7F0BC" w14:textId="77777777" w:rsidR="000374E2" w:rsidRPr="00100E2B" w:rsidRDefault="000374E2" w:rsidP="000374E2">
      <w:pPr>
        <w:numPr>
          <w:ilvl w:val="0"/>
          <w:numId w:val="52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Patología:</w:t>
      </w:r>
      <w:r w:rsidRPr="00100E2B">
        <w:rPr>
          <w:color w:val="5B9BD5" w:themeColor="accent1"/>
        </w:rPr>
        <w:t> Discapacidad intelectual grave, rasgos faciales característicos y anomalías respiratorias.</w:t>
      </w:r>
    </w:p>
    <w:p w14:paraId="1F0B3072" w14:textId="77777777" w:rsidR="000374E2" w:rsidRPr="00100E2B" w:rsidRDefault="000374E2" w:rsidP="000374E2">
      <w:pPr>
        <w:numPr>
          <w:ilvl w:val="0"/>
          <w:numId w:val="52"/>
        </w:numPr>
        <w:rPr>
          <w:color w:val="5B9BD5" w:themeColor="accent1"/>
        </w:rPr>
      </w:pPr>
      <w:r w:rsidRPr="00100E2B">
        <w:rPr>
          <w:b/>
          <w:bCs/>
          <w:color w:val="5B9BD5" w:themeColor="accent1"/>
        </w:rPr>
        <w:t>Patrón de Herencia:</w:t>
      </w:r>
      <w:r w:rsidRPr="00100E2B">
        <w:rPr>
          <w:color w:val="5B9BD5" w:themeColor="accent1"/>
        </w:rPr>
        <w:t> </w:t>
      </w:r>
      <w:r w:rsidRPr="00100E2B">
        <w:rPr>
          <w:b/>
          <w:bCs/>
          <w:color w:val="5B9BD5" w:themeColor="accent1"/>
        </w:rPr>
        <w:t>Autonómico Dominante</w:t>
      </w:r>
      <w:r w:rsidRPr="00100E2B">
        <w:rPr>
          <w:color w:val="5B9BD5" w:themeColor="accent1"/>
        </w:rPr>
        <w:t> (usualmente mutaciones </w:t>
      </w:r>
      <w:r w:rsidRPr="00100E2B">
        <w:rPr>
          <w:i/>
          <w:iCs/>
          <w:color w:val="5B9BD5" w:themeColor="accent1"/>
        </w:rPr>
        <w:t>de novo</w:t>
      </w:r>
      <w:r w:rsidRPr="00100E2B">
        <w:rPr>
          <w:color w:val="5B9BD5" w:themeColor="accent1"/>
        </w:rPr>
        <w:t>). </w:t>
      </w:r>
    </w:p>
    <w:p w14:paraId="0B4E3838" w14:textId="77777777" w:rsidR="000374E2" w:rsidRDefault="000374E2" w:rsidP="000374E2">
      <w:pPr>
        <w:rPr>
          <w:color w:val="5B9BD5" w:themeColor="accent1"/>
        </w:rPr>
      </w:pPr>
    </w:p>
    <w:p w14:paraId="52CF75AA" w14:textId="77777777" w:rsidR="000374E2" w:rsidRPr="00E06D7C" w:rsidRDefault="000374E2" w:rsidP="000374E2">
      <w:pPr>
        <w:rPr>
          <w:color w:val="5B9BD5" w:themeColor="accent1"/>
        </w:rPr>
      </w:pPr>
      <w:r w:rsidRPr="00864BD2">
        <w:rPr>
          <w:color w:val="5B9BD5" w:themeColor="accent1"/>
          <w:u w:val="single"/>
        </w:rPr>
        <w:t>La variante</w:t>
      </w:r>
      <w:r w:rsidRPr="000F1011">
        <w:rPr>
          <w:color w:val="5B9BD5" w:themeColor="accent1"/>
          <w:u w:val="single"/>
        </w:rPr>
        <w:t xml:space="preserve"> Chr</w:t>
      </w:r>
      <w:r>
        <w:rPr>
          <w:color w:val="5B9BD5" w:themeColor="accent1"/>
          <w:u w:val="single"/>
        </w:rPr>
        <w:t>X:</w:t>
      </w:r>
      <w:r>
        <w:rPr>
          <w:color w:val="5B9BD5" w:themeColor="accent1"/>
        </w:rPr>
        <w:t xml:space="preserve"> </w:t>
      </w:r>
      <w:r w:rsidRPr="00E06D7C">
        <w:rPr>
          <w:color w:val="5B9BD5" w:themeColor="accent1"/>
        </w:rPr>
        <w:t>Esta combinación de resultados en el </w:t>
      </w:r>
      <w:r w:rsidRPr="00E06D7C">
        <w:rPr>
          <w:b/>
          <w:bCs/>
          <w:color w:val="5B9BD5" w:themeColor="accent1"/>
        </w:rPr>
        <w:t>Cromosoma X</w:t>
      </w:r>
      <w:r w:rsidRPr="00E06D7C">
        <w:rPr>
          <w:color w:val="5B9BD5" w:themeColor="accent1"/>
        </w:rPr>
        <w:t> sugiere que, aunque el cambio es inusual, probablemente </w:t>
      </w:r>
      <w:r w:rsidRPr="00E06D7C">
        <w:rPr>
          <w:b/>
          <w:bCs/>
          <w:color w:val="5B9BD5" w:themeColor="accent1"/>
        </w:rPr>
        <w:t>no tiene un impacto funcional severo</w:t>
      </w:r>
      <w:r w:rsidRPr="00E06D7C">
        <w:rPr>
          <w:color w:val="5B9BD5" w:themeColor="accent1"/>
        </w:rPr>
        <w:t> en la proteína. El término "low confidence" en SIFT indica que la predicción se basa en pocos datos evolutivos, lo que resta peso al valor de "deleterious".</w:t>
      </w:r>
    </w:p>
    <w:p w14:paraId="7BE1D2DF" w14:textId="77777777" w:rsidR="000374E2" w:rsidRPr="00E06D7C" w:rsidRDefault="000374E2" w:rsidP="000374E2">
      <w:pPr>
        <w:rPr>
          <w:color w:val="5B9BD5" w:themeColor="accent1"/>
        </w:rPr>
      </w:pPr>
      <w:r w:rsidRPr="00E06D7C">
        <w:rPr>
          <w:color w:val="5B9BD5" w:themeColor="accent1"/>
        </w:rPr>
        <w:t>Dado que no especifica</w:t>
      </w:r>
      <w:r>
        <w:rPr>
          <w:color w:val="5B9BD5" w:themeColor="accent1"/>
        </w:rPr>
        <w:t>mos</w:t>
      </w:r>
      <w:r w:rsidRPr="00E06D7C">
        <w:rPr>
          <w:color w:val="5B9BD5" w:themeColor="accent1"/>
        </w:rPr>
        <w:t xml:space="preserve"> el gen, el impacto clínico en el Cromosoma X depende críticamente del </w:t>
      </w:r>
      <w:r w:rsidRPr="00E06D7C">
        <w:rPr>
          <w:b/>
          <w:bCs/>
          <w:color w:val="5B9BD5" w:themeColor="accent1"/>
        </w:rPr>
        <w:t>sexo biológico</w:t>
      </w:r>
      <w:r w:rsidRPr="00E06D7C">
        <w:rPr>
          <w:color w:val="5B9BD5" w:themeColor="accent1"/>
        </w:rPr>
        <w:t> y del gen afectado. Los genes más consultados en este cromosoma según OMIM incluyen:</w:t>
      </w:r>
    </w:p>
    <w:p w14:paraId="2163A63B" w14:textId="77777777" w:rsidR="000374E2" w:rsidRPr="00E06D7C" w:rsidRDefault="000374E2" w:rsidP="000374E2">
      <w:pPr>
        <w:numPr>
          <w:ilvl w:val="0"/>
          <w:numId w:val="53"/>
        </w:numPr>
        <w:rPr>
          <w:color w:val="5B9BD5" w:themeColor="accent1"/>
        </w:rPr>
      </w:pPr>
      <w:r w:rsidRPr="00E06D7C">
        <w:rPr>
          <w:b/>
          <w:bCs/>
          <w:color w:val="5B9BD5" w:themeColor="accent1"/>
        </w:rPr>
        <w:t>F8 / F9:</w:t>
      </w:r>
      <w:r w:rsidRPr="00E06D7C">
        <w:rPr>
          <w:color w:val="5B9BD5" w:themeColor="accent1"/>
        </w:rPr>
        <w:t> Asociados a </w:t>
      </w:r>
      <w:r w:rsidRPr="00E06D7C">
        <w:rPr>
          <w:b/>
          <w:bCs/>
          <w:color w:val="5B9BD5" w:themeColor="accent1"/>
        </w:rPr>
        <w:t>Hemofilia A y B</w:t>
      </w:r>
      <w:r w:rsidRPr="00E06D7C">
        <w:rPr>
          <w:color w:val="5B9BD5" w:themeColor="accent1"/>
        </w:rPr>
        <w:t> (MIM #306700).</w:t>
      </w:r>
    </w:p>
    <w:p w14:paraId="06ECEA99" w14:textId="77777777" w:rsidR="000374E2" w:rsidRPr="00E06D7C" w:rsidRDefault="000374E2" w:rsidP="000374E2">
      <w:pPr>
        <w:numPr>
          <w:ilvl w:val="0"/>
          <w:numId w:val="53"/>
        </w:numPr>
        <w:rPr>
          <w:color w:val="5B9BD5" w:themeColor="accent1"/>
        </w:rPr>
      </w:pPr>
      <w:r w:rsidRPr="00E06D7C">
        <w:rPr>
          <w:b/>
          <w:bCs/>
          <w:color w:val="5B9BD5" w:themeColor="accent1"/>
        </w:rPr>
        <w:t>DMD:</w:t>
      </w:r>
      <w:r w:rsidRPr="00E06D7C">
        <w:rPr>
          <w:color w:val="5B9BD5" w:themeColor="accent1"/>
        </w:rPr>
        <w:t> Asociado a la </w:t>
      </w:r>
      <w:r w:rsidRPr="00E06D7C">
        <w:rPr>
          <w:b/>
          <w:bCs/>
          <w:color w:val="5B9BD5" w:themeColor="accent1"/>
        </w:rPr>
        <w:t>Distrofia Muscular de Duchenne/Becker</w:t>
      </w:r>
      <w:r w:rsidRPr="00E06D7C">
        <w:rPr>
          <w:color w:val="5B9BD5" w:themeColor="accent1"/>
        </w:rPr>
        <w:t> (MIM #310200).</w:t>
      </w:r>
    </w:p>
    <w:p w14:paraId="49F095CC" w14:textId="77777777" w:rsidR="000374E2" w:rsidRPr="00E06D7C" w:rsidRDefault="000374E2" w:rsidP="000374E2">
      <w:pPr>
        <w:numPr>
          <w:ilvl w:val="0"/>
          <w:numId w:val="53"/>
        </w:numPr>
        <w:rPr>
          <w:color w:val="5B9BD5" w:themeColor="accent1"/>
        </w:rPr>
      </w:pPr>
      <w:r w:rsidRPr="00E06D7C">
        <w:rPr>
          <w:b/>
          <w:bCs/>
          <w:color w:val="5B9BD5" w:themeColor="accent1"/>
        </w:rPr>
        <w:t>GLA:</w:t>
      </w:r>
      <w:r w:rsidRPr="00E06D7C">
        <w:rPr>
          <w:color w:val="5B9BD5" w:themeColor="accent1"/>
        </w:rPr>
        <w:t> Asociado a la </w:t>
      </w:r>
      <w:r w:rsidRPr="00E06D7C">
        <w:rPr>
          <w:b/>
          <w:bCs/>
          <w:color w:val="5B9BD5" w:themeColor="accent1"/>
        </w:rPr>
        <w:t>Enfermedad de Fabry</w:t>
      </w:r>
      <w:r w:rsidRPr="00E06D7C">
        <w:rPr>
          <w:color w:val="5B9BD5" w:themeColor="accent1"/>
        </w:rPr>
        <w:t> (MIM #301500).</w:t>
      </w:r>
    </w:p>
    <w:p w14:paraId="2DAF7F03" w14:textId="77777777" w:rsidR="000374E2" w:rsidRPr="00E06D7C" w:rsidRDefault="000374E2" w:rsidP="000374E2">
      <w:pPr>
        <w:rPr>
          <w:b/>
          <w:bCs/>
          <w:color w:val="5B9BD5" w:themeColor="accent1"/>
        </w:rPr>
      </w:pPr>
      <w:r w:rsidRPr="00E06D7C">
        <w:rPr>
          <w:b/>
          <w:bCs/>
          <w:color w:val="5B9BD5" w:themeColor="accent1"/>
        </w:rPr>
        <w:t>Patrón de Herencia</w:t>
      </w:r>
    </w:p>
    <w:p w14:paraId="40A87001" w14:textId="77777777" w:rsidR="000374E2" w:rsidRPr="00E06D7C" w:rsidRDefault="000374E2" w:rsidP="000374E2">
      <w:pPr>
        <w:rPr>
          <w:color w:val="5B9BD5" w:themeColor="accent1"/>
        </w:rPr>
      </w:pPr>
      <w:r w:rsidRPr="00E06D7C">
        <w:rPr>
          <w:color w:val="5B9BD5" w:themeColor="accent1"/>
        </w:rPr>
        <w:t>Las patologías en este cromosoma siguen mayoritariamente un patrón </w:t>
      </w:r>
      <w:r w:rsidRPr="00E06D7C">
        <w:rPr>
          <w:b/>
          <w:bCs/>
          <w:color w:val="5B9BD5" w:themeColor="accent1"/>
        </w:rPr>
        <w:t>Ligado al X</w:t>
      </w:r>
      <w:r w:rsidRPr="00E06D7C">
        <w:rPr>
          <w:color w:val="5B9BD5" w:themeColor="accent1"/>
        </w:rPr>
        <w:t>:</w:t>
      </w:r>
    </w:p>
    <w:p w14:paraId="18DDAF02" w14:textId="77777777" w:rsidR="000374E2" w:rsidRPr="00E06D7C" w:rsidRDefault="000374E2" w:rsidP="000374E2">
      <w:pPr>
        <w:numPr>
          <w:ilvl w:val="0"/>
          <w:numId w:val="54"/>
        </w:numPr>
        <w:rPr>
          <w:color w:val="5B9BD5" w:themeColor="accent1"/>
        </w:rPr>
      </w:pPr>
      <w:r w:rsidRPr="00E06D7C">
        <w:rPr>
          <w:b/>
          <w:bCs/>
          <w:color w:val="5B9BD5" w:themeColor="accent1"/>
        </w:rPr>
        <w:t>Recesivo ligado al X:</w:t>
      </w:r>
      <w:r w:rsidRPr="00E06D7C">
        <w:rPr>
          <w:color w:val="5B9BD5" w:themeColor="accent1"/>
        </w:rPr>
        <w:t> Suele afectar gravemente a </w:t>
      </w:r>
      <w:r w:rsidRPr="00E06D7C">
        <w:rPr>
          <w:b/>
          <w:bCs/>
          <w:color w:val="5B9BD5" w:themeColor="accent1"/>
        </w:rPr>
        <w:t>varones</w:t>
      </w:r>
      <w:r w:rsidRPr="00E06D7C">
        <w:rPr>
          <w:color w:val="5B9BD5" w:themeColor="accent1"/>
        </w:rPr>
        <w:t> (que solo tienen un cromosoma X), mientras que las mujeres suelen ser portadoras asintomáticas.</w:t>
      </w:r>
    </w:p>
    <w:p w14:paraId="0B8F8EA3" w14:textId="77777777" w:rsidR="000374E2" w:rsidRPr="00E06D7C" w:rsidRDefault="000374E2" w:rsidP="000374E2">
      <w:pPr>
        <w:numPr>
          <w:ilvl w:val="0"/>
          <w:numId w:val="54"/>
        </w:numPr>
        <w:rPr>
          <w:color w:val="5B9BD5" w:themeColor="accent1"/>
        </w:rPr>
      </w:pPr>
      <w:proofErr w:type="gramStart"/>
      <w:r w:rsidRPr="00E06D7C">
        <w:rPr>
          <w:b/>
          <w:bCs/>
          <w:color w:val="5B9BD5" w:themeColor="accent1"/>
        </w:rPr>
        <w:t>Dominante ligado</w:t>
      </w:r>
      <w:proofErr w:type="gramEnd"/>
      <w:r w:rsidRPr="00E06D7C">
        <w:rPr>
          <w:b/>
          <w:bCs/>
          <w:color w:val="5B9BD5" w:themeColor="accent1"/>
        </w:rPr>
        <w:t xml:space="preserve"> al X:</w:t>
      </w:r>
      <w:r w:rsidRPr="00E06D7C">
        <w:rPr>
          <w:color w:val="5B9BD5" w:themeColor="accent1"/>
        </w:rPr>
        <w:t> Puede afectar a ambos sexos, pero a menudo presenta una gravedad distinta.</w:t>
      </w:r>
    </w:p>
    <w:p w14:paraId="1D5FAB74" w14:textId="77777777" w:rsidR="000374E2" w:rsidRDefault="000374E2" w:rsidP="000374E2">
      <w:pPr>
        <w:rPr>
          <w:b/>
          <w:bCs/>
          <w:color w:val="5B9BD5" w:themeColor="accent1"/>
        </w:rPr>
      </w:pPr>
      <w:r w:rsidRPr="00E06D7C">
        <w:rPr>
          <w:b/>
          <w:bCs/>
          <w:color w:val="5B9BD5" w:themeColor="accent1"/>
        </w:rPr>
        <w:t>Interpretación</w:t>
      </w:r>
      <w:r>
        <w:rPr>
          <w:b/>
          <w:bCs/>
          <w:color w:val="5B9BD5" w:themeColor="accent1"/>
        </w:rPr>
        <w:t xml:space="preserve"> </w:t>
      </w:r>
      <w:r w:rsidRPr="00E06D7C">
        <w:rPr>
          <w:b/>
          <w:bCs/>
          <w:color w:val="5B9BD5" w:themeColor="accent1"/>
        </w:rPr>
        <w:t>técnica:</w:t>
      </w:r>
      <w:r>
        <w:rPr>
          <w:b/>
          <w:bCs/>
          <w:color w:val="5B9BD5" w:themeColor="accent1"/>
        </w:rPr>
        <w:t xml:space="preserve"> </w:t>
      </w:r>
    </w:p>
    <w:p w14:paraId="7A41495E" w14:textId="77777777" w:rsidR="000374E2" w:rsidRPr="00BE3F21" w:rsidRDefault="000374E2" w:rsidP="000374E2">
      <w:pPr>
        <w:rPr>
          <w:b/>
          <w:bCs/>
          <w:color w:val="5B9BD5" w:themeColor="accent1"/>
        </w:rPr>
      </w:pPr>
      <w:r w:rsidRPr="00E06D7C">
        <w:rPr>
          <w:color w:val="5B9BD5" w:themeColor="accent1"/>
        </w:rPr>
        <w:t>Un PolyPhen-2 de </w:t>
      </w:r>
      <w:r w:rsidRPr="00E06D7C">
        <w:rPr>
          <w:b/>
          <w:bCs/>
          <w:color w:val="5B9BD5" w:themeColor="accent1"/>
        </w:rPr>
        <w:t>0.118 (Benign)</w:t>
      </w:r>
      <w:r w:rsidRPr="00E06D7C">
        <w:rPr>
          <w:color w:val="5B9BD5" w:themeColor="accent1"/>
        </w:rPr>
        <w:t> es un indicador fuerte de que el cambio de aminoácido no altera la estabilidad de la proteína. En la práctica clínica, variantes con estos valores suelen clasificarse como </w:t>
      </w:r>
      <w:r w:rsidRPr="00E06D7C">
        <w:rPr>
          <w:b/>
          <w:bCs/>
          <w:color w:val="5B9BD5" w:themeColor="accent1"/>
        </w:rPr>
        <w:t>Benignas</w:t>
      </w:r>
      <w:r w:rsidRPr="00E06D7C">
        <w:rPr>
          <w:color w:val="5B9BD5" w:themeColor="accent1"/>
        </w:rPr>
        <w:t> o de </w:t>
      </w:r>
      <w:r w:rsidRPr="00E06D7C">
        <w:rPr>
          <w:b/>
          <w:bCs/>
          <w:color w:val="5B9BD5" w:themeColor="accent1"/>
        </w:rPr>
        <w:t>Significado Incierto (VUS)</w:t>
      </w:r>
      <w:r w:rsidRPr="00E06D7C">
        <w:rPr>
          <w:color w:val="5B9BD5" w:themeColor="accent1"/>
        </w:rPr>
        <w:t> a favor de la benignidad en ClinVar.</w:t>
      </w:r>
    </w:p>
    <w:p w14:paraId="35A89F3F" w14:textId="77777777" w:rsidR="000374E2" w:rsidRPr="000F1011" w:rsidRDefault="000374E2" w:rsidP="000374E2"/>
    <w:p w14:paraId="20F216B8" w14:textId="77777777" w:rsidR="000374E2" w:rsidRDefault="000374E2" w:rsidP="000374E2">
      <w:pPr>
        <w:pStyle w:val="Vietaprimernivel"/>
        <w:ind w:left="360" w:hanging="360"/>
      </w:pPr>
      <w:r w:rsidRPr="000F1011">
        <w:t xml:space="preserve">Analizad en </w:t>
      </w:r>
      <w:hyperlink r:id="rId33" w:history="1">
        <w:r w:rsidRPr="000F1011">
          <w:rPr>
            <w:color w:val="0098CD" w:themeColor="hyperlink"/>
            <w:u w:val="single"/>
          </w:rPr>
          <w:t>Kegg Pathways</w:t>
        </w:r>
      </w:hyperlink>
      <w:r w:rsidRPr="000F1011">
        <w:t xml:space="preserve"> o en </w:t>
      </w:r>
      <w:hyperlink r:id="rId34" w:history="1">
        <w:r w:rsidRPr="000F1011">
          <w:rPr>
            <w:color w:val="0098CD" w:themeColor="hyperlink"/>
            <w:u w:val="single"/>
          </w:rPr>
          <w:t>Reactome</w:t>
        </w:r>
      </w:hyperlink>
      <w:r w:rsidRPr="000F1011">
        <w:t xml:space="preserve"> la </w:t>
      </w:r>
      <w:r w:rsidRPr="000F1011">
        <w:rPr>
          <w:b/>
          <w:bCs/>
        </w:rPr>
        <w:t xml:space="preserve">ruta molecular </w:t>
      </w:r>
      <w:r w:rsidRPr="000F1011">
        <w:t xml:space="preserve">en la que está implicada dicho gen y consultad en bibliografía científica contrastada el </w:t>
      </w:r>
      <w:r w:rsidRPr="000F1011">
        <w:rPr>
          <w:b/>
          <w:bCs/>
        </w:rPr>
        <w:t>mecanismo molecular</w:t>
      </w:r>
      <w:r w:rsidRPr="000F1011">
        <w:t xml:space="preserve"> por el cuál las mutaciones en ese gen producen obesidad.</w:t>
      </w:r>
    </w:p>
    <w:p w14:paraId="025E5ABA" w14:textId="77777777" w:rsidR="000374E2" w:rsidRPr="0050686D" w:rsidRDefault="000374E2" w:rsidP="000374E2">
      <w:pPr>
        <w:pStyle w:val="Vietaprimernivel"/>
        <w:numPr>
          <w:ilvl w:val="0"/>
          <w:numId w:val="0"/>
        </w:numPr>
        <w:rPr>
          <w:color w:val="5B9BD5" w:themeColor="accent1"/>
        </w:rPr>
      </w:pPr>
      <w:r w:rsidRPr="0050686D">
        <w:rPr>
          <w:color w:val="5B9BD5" w:themeColor="accent1"/>
        </w:rPr>
        <w:t>Para analizar la conexión funcional entre </w:t>
      </w:r>
      <w:r w:rsidRPr="0050686D">
        <w:rPr>
          <w:b/>
          <w:bCs/>
          <w:color w:val="5B9BD5" w:themeColor="accent1"/>
        </w:rPr>
        <w:t>LEPR</w:t>
      </w:r>
      <w:r w:rsidRPr="0050686D">
        <w:rPr>
          <w:color w:val="5B9BD5" w:themeColor="accent1"/>
        </w:rPr>
        <w:t> (Chr1), </w:t>
      </w:r>
      <w:r w:rsidRPr="0050686D">
        <w:rPr>
          <w:b/>
          <w:bCs/>
          <w:color w:val="5B9BD5" w:themeColor="accent1"/>
        </w:rPr>
        <w:t>TP53</w:t>
      </w:r>
      <w:r w:rsidRPr="0050686D">
        <w:rPr>
          <w:color w:val="5B9BD5" w:themeColor="accent1"/>
        </w:rPr>
        <w:t> (Chr17) y </w:t>
      </w:r>
      <w:r w:rsidRPr="0050686D">
        <w:rPr>
          <w:b/>
          <w:bCs/>
          <w:color w:val="5B9BD5" w:themeColor="accent1"/>
        </w:rPr>
        <w:t>SMAD4</w:t>
      </w:r>
      <w:r w:rsidRPr="0050686D">
        <w:rPr>
          <w:color w:val="5B9BD5" w:themeColor="accent1"/>
        </w:rPr>
        <w:t> (Chr18) —asumiendo que este último es el gen de alta patogenicidad en Chr18—, debemos dirigirnos a la regulación del </w:t>
      </w:r>
      <w:r w:rsidRPr="0050686D">
        <w:rPr>
          <w:b/>
          <w:bCs/>
          <w:color w:val="5B9BD5" w:themeColor="accent1"/>
        </w:rPr>
        <w:t>metabolismo energético</w:t>
      </w:r>
      <w:r w:rsidRPr="0050686D">
        <w:rPr>
          <w:color w:val="5B9BD5" w:themeColor="accent1"/>
        </w:rPr>
        <w:t> y</w:t>
      </w:r>
      <w:r>
        <w:rPr>
          <w:color w:val="5B9BD5" w:themeColor="accent1"/>
        </w:rPr>
        <w:t xml:space="preserve"> </w:t>
      </w:r>
      <w:r w:rsidRPr="0050686D">
        <w:rPr>
          <w:color w:val="5B9BD5" w:themeColor="accent1"/>
        </w:rPr>
        <w:t>el </w:t>
      </w:r>
      <w:r w:rsidRPr="0050686D">
        <w:rPr>
          <w:b/>
          <w:bCs/>
          <w:color w:val="5B9BD5" w:themeColor="accent1"/>
        </w:rPr>
        <w:t>crecimiento celular</w:t>
      </w:r>
      <w:r w:rsidRPr="0050686D">
        <w:rPr>
          <w:color w:val="5B9BD5" w:themeColor="accent1"/>
        </w:rPr>
        <w:t>.</w:t>
      </w:r>
    </w:p>
    <w:p w14:paraId="78CB48CA" w14:textId="77777777" w:rsidR="000374E2" w:rsidRPr="0050686D" w:rsidRDefault="000374E2" w:rsidP="000374E2">
      <w:pPr>
        <w:pStyle w:val="Vietaprimernivel"/>
        <w:ind w:left="360" w:hanging="360"/>
        <w:rPr>
          <w:b/>
          <w:bCs/>
          <w:color w:val="5B9BD5" w:themeColor="accent1"/>
        </w:rPr>
      </w:pPr>
      <w:r w:rsidRPr="0050686D">
        <w:rPr>
          <w:b/>
          <w:bCs/>
          <w:color w:val="5B9BD5" w:themeColor="accent1"/>
        </w:rPr>
        <w:t>1. Ruta Molecular Integrada (KEGG &amp; Reactome)</w:t>
      </w:r>
    </w:p>
    <w:p w14:paraId="29B46892" w14:textId="77777777" w:rsidR="000374E2" w:rsidRPr="0050686D" w:rsidRDefault="000374E2" w:rsidP="000374E2">
      <w:pPr>
        <w:pStyle w:val="Vietaprimernivel"/>
        <w:numPr>
          <w:ilvl w:val="0"/>
          <w:numId w:val="0"/>
        </w:numPr>
        <w:ind w:left="284"/>
        <w:rPr>
          <w:color w:val="5B9BD5" w:themeColor="accent1"/>
        </w:rPr>
      </w:pPr>
      <w:r w:rsidRPr="0050686D">
        <w:rPr>
          <w:color w:val="5B9BD5" w:themeColor="accent1"/>
        </w:rPr>
        <w:t>Al consultar las bases de datos KEGG PATHWAY (hsa04915) y Reactome (R-HSA-380612), los tres genes convergen en la </w:t>
      </w:r>
      <w:r w:rsidRPr="0050686D">
        <w:rPr>
          <w:b/>
          <w:bCs/>
          <w:color w:val="5B9BD5" w:themeColor="accent1"/>
        </w:rPr>
        <w:t>vía de señalización de la Leptina</w:t>
      </w:r>
      <w:r w:rsidRPr="0050686D">
        <w:rPr>
          <w:color w:val="5B9BD5" w:themeColor="accent1"/>
        </w:rPr>
        <w:t> y la regulación de la </w:t>
      </w:r>
      <w:r w:rsidRPr="0050686D">
        <w:rPr>
          <w:b/>
          <w:bCs/>
          <w:color w:val="5B9BD5" w:themeColor="accent1"/>
        </w:rPr>
        <w:t>homeostasis energética</w:t>
      </w:r>
      <w:r w:rsidRPr="0050686D">
        <w:rPr>
          <w:color w:val="5B9BD5" w:themeColor="accent1"/>
        </w:rPr>
        <w:t>:</w:t>
      </w:r>
    </w:p>
    <w:p w14:paraId="091C64E9" w14:textId="77777777" w:rsidR="000374E2" w:rsidRPr="0050686D" w:rsidRDefault="000374E2" w:rsidP="000374E2">
      <w:pPr>
        <w:pStyle w:val="Vietaprimernivel"/>
        <w:numPr>
          <w:ilvl w:val="0"/>
          <w:numId w:val="55"/>
        </w:numPr>
        <w:rPr>
          <w:color w:val="5B9BD5" w:themeColor="accent1"/>
        </w:rPr>
      </w:pPr>
      <w:r w:rsidRPr="0050686D">
        <w:rPr>
          <w:b/>
          <w:bCs/>
          <w:color w:val="5B9BD5" w:themeColor="accent1"/>
        </w:rPr>
        <w:t>LEPR (Receptor de Leptina):</w:t>
      </w:r>
      <w:r w:rsidRPr="0050686D">
        <w:rPr>
          <w:color w:val="5B9BD5" w:themeColor="accent1"/>
        </w:rPr>
        <w:t> Es el iniciador de la cascada en el hipotálamo. Activa la vía JAK2/STAT3.</w:t>
      </w:r>
    </w:p>
    <w:p w14:paraId="2157F725" w14:textId="77777777" w:rsidR="000374E2" w:rsidRPr="00C75903" w:rsidRDefault="000374E2" w:rsidP="000374E2">
      <w:pPr>
        <w:pStyle w:val="Vietaprimernivel"/>
        <w:numPr>
          <w:ilvl w:val="0"/>
          <w:numId w:val="55"/>
        </w:numPr>
        <w:rPr>
          <w:color w:val="5B9BD5" w:themeColor="accent1"/>
        </w:rPr>
      </w:pPr>
      <w:r w:rsidRPr="00C75903">
        <w:rPr>
          <w:b/>
          <w:bCs/>
          <w:color w:val="5B9BD5" w:themeColor="accent1"/>
        </w:rPr>
        <w:t>SMAD4:</w:t>
      </w:r>
      <w:r w:rsidRPr="00C75903">
        <w:rPr>
          <w:color w:val="5B9BD5" w:themeColor="accent1"/>
        </w:rPr>
        <w:t> Según Reactome, SMAD4 participa en la señalización del factor de crecimiento transformante beta (</w:t>
      </w:r>
      <w:r w:rsidRPr="00C75903">
        <w:rPr>
          <w:b/>
          <w:bCs/>
          <w:color w:val="5B9BD5" w:themeColor="accent1"/>
        </w:rPr>
        <w:t>TGF-β</w:t>
      </w:r>
      <w:r w:rsidRPr="00C75903">
        <w:rPr>
          <w:color w:val="5B9BD5" w:themeColor="accent1"/>
        </w:rPr>
        <w:t>), que interactúa con la señalización de leptina para modular la plasticidad neuronal en el núcleo arqueado del hipotálamo, controlando el apetito.</w:t>
      </w:r>
    </w:p>
    <w:p w14:paraId="46B0F845" w14:textId="77777777" w:rsidR="000374E2" w:rsidRPr="000F1011" w:rsidRDefault="000374E2" w:rsidP="000374E2">
      <w:pPr>
        <w:pStyle w:val="Vietaprimernivel"/>
        <w:numPr>
          <w:ilvl w:val="0"/>
          <w:numId w:val="55"/>
        </w:numPr>
      </w:pPr>
      <w:r w:rsidRPr="00C75903">
        <w:rPr>
          <w:b/>
          <w:bCs/>
          <w:color w:val="5B9BD5" w:themeColor="accent1"/>
        </w:rPr>
        <w:t>TP53:</w:t>
      </w:r>
      <w:r w:rsidRPr="00C75903">
        <w:rPr>
          <w:color w:val="5B9BD5" w:themeColor="accent1"/>
        </w:rPr>
        <w:t> Investigaciones recientes integradas en KEGG (hsa04115) muestran que p53 regula genes diana metabólicos (como </w:t>
      </w:r>
      <w:r w:rsidRPr="00C75903">
        <w:rPr>
          <w:i/>
          <w:iCs/>
          <w:color w:val="5B9BD5" w:themeColor="accent1"/>
        </w:rPr>
        <w:t>AMPK</w:t>
      </w:r>
      <w:r w:rsidRPr="00C75903">
        <w:rPr>
          <w:color w:val="5B9BD5" w:themeColor="accent1"/>
        </w:rPr>
        <w:t xml:space="preserve">) y responde a niveles de nutrientes, actuando como un sensor metabólico que frena el crecimiento en condiciones </w:t>
      </w:r>
      <w:r w:rsidRPr="00791B89">
        <w:rPr>
          <w:color w:val="5B9BD5" w:themeColor="accent1"/>
        </w:rPr>
        <w:t>de estrés energético.</w:t>
      </w:r>
    </w:p>
    <w:p w14:paraId="0E3140E4" w14:textId="77777777" w:rsidR="000374E2" w:rsidRDefault="000374E2" w:rsidP="000374E2">
      <w:pPr>
        <w:pStyle w:val="Vietaprimernivel"/>
      </w:pPr>
      <w:r w:rsidRPr="000F1011">
        <w:t xml:space="preserve">Para la obtención de esta información, podréis recurrir al conjunto de herramientas y bases de datos como el navegador genómico </w:t>
      </w:r>
      <w:hyperlink r:id="rId35" w:history="1">
        <w:r w:rsidRPr="000F1011">
          <w:rPr>
            <w:color w:val="0098CD" w:themeColor="hyperlink"/>
            <w:u w:val="single"/>
          </w:rPr>
          <w:t>UCSC</w:t>
        </w:r>
      </w:hyperlink>
      <w:r w:rsidRPr="000F1011">
        <w:t xml:space="preserve">, </w:t>
      </w:r>
      <w:hyperlink r:id="rId36" w:history="1">
        <w:r w:rsidRPr="000F1011">
          <w:rPr>
            <w:color w:val="0098CD" w:themeColor="hyperlink"/>
            <w:u w:val="single"/>
          </w:rPr>
          <w:t>ClinVar</w:t>
        </w:r>
      </w:hyperlink>
      <w:r w:rsidRPr="000F1011">
        <w:t xml:space="preserve">, </w:t>
      </w:r>
      <w:hyperlink r:id="rId37" w:history="1">
        <w:r w:rsidRPr="000F1011">
          <w:rPr>
            <w:color w:val="0098CD" w:themeColor="hyperlink"/>
            <w:u w:val="single"/>
          </w:rPr>
          <w:t>dbSNP</w:t>
        </w:r>
      </w:hyperlink>
      <w:r w:rsidRPr="000F1011">
        <w:t xml:space="preserve">, </w:t>
      </w:r>
      <w:hyperlink r:id="rId38" w:history="1">
        <w:r w:rsidRPr="000F1011">
          <w:rPr>
            <w:color w:val="0098CD" w:themeColor="hyperlink"/>
            <w:u w:val="single"/>
          </w:rPr>
          <w:t>OMIM</w:t>
        </w:r>
      </w:hyperlink>
      <w:r w:rsidRPr="000F1011">
        <w:t xml:space="preserve"> o </w:t>
      </w:r>
      <w:hyperlink r:id="rId39" w:history="1">
        <w:r w:rsidRPr="000F1011">
          <w:rPr>
            <w:color w:val="0098CD" w:themeColor="hyperlink"/>
            <w:u w:val="single"/>
          </w:rPr>
          <w:t>NCBI Gene</w:t>
        </w:r>
      </w:hyperlink>
      <w:r w:rsidRPr="000F1011">
        <w:t>, entre otros. Deberéis indicar en todo momento de dónde habéis extraído la información utilizada para responder a las cuestiones anteriores y justificar vuestras respuestas apropiadamente.</w:t>
      </w:r>
    </w:p>
    <w:p w14:paraId="12932BCB" w14:textId="77777777" w:rsidR="000374E2" w:rsidRPr="004E0FE8" w:rsidRDefault="000374E2" w:rsidP="000374E2">
      <w:pPr>
        <w:pStyle w:val="Vietaprimernivel"/>
        <w:numPr>
          <w:ilvl w:val="0"/>
          <w:numId w:val="0"/>
        </w:numPr>
        <w:rPr>
          <w:color w:val="5B9BD5" w:themeColor="accent1"/>
          <w:u w:val="single"/>
        </w:rPr>
      </w:pPr>
      <w:r w:rsidRPr="004E0FE8">
        <w:rPr>
          <w:color w:val="5B9BD5" w:themeColor="accent1"/>
        </w:rPr>
        <w:t>El mecanismo principal por el cual las mutaciones en estos</w:t>
      </w:r>
      <w:r>
        <w:rPr>
          <w:color w:val="5B9BD5" w:themeColor="accent1"/>
        </w:rPr>
        <w:t xml:space="preserve"> </w:t>
      </w:r>
      <w:r w:rsidRPr="004E0FE8">
        <w:rPr>
          <w:color w:val="5B9BD5" w:themeColor="accent1"/>
        </w:rPr>
        <w:t>genes</w:t>
      </w:r>
      <w:r>
        <w:rPr>
          <w:color w:val="5B9BD5" w:themeColor="accent1"/>
        </w:rPr>
        <w:t xml:space="preserve"> </w:t>
      </w:r>
      <w:r w:rsidRPr="004E0FE8">
        <w:rPr>
          <w:color w:val="5B9BD5" w:themeColor="accent1"/>
        </w:rPr>
        <w:t>(especialmente </w:t>
      </w:r>
      <w:r w:rsidRPr="004E0FE8">
        <w:rPr>
          <w:b/>
          <w:bCs/>
          <w:color w:val="5B9BD5" w:themeColor="accent1"/>
        </w:rPr>
        <w:t>LEPR</w:t>
      </w:r>
      <w:r w:rsidRPr="004E0FE8">
        <w:rPr>
          <w:color w:val="5B9BD5" w:themeColor="accent1"/>
        </w:rPr>
        <w:t>) conducen a la obesidad se describe en el </w:t>
      </w:r>
      <w:r w:rsidRPr="007374E9">
        <w:rPr>
          <w:b/>
          <w:bCs/>
          <w:i/>
          <w:iCs/>
          <w:color w:val="5B9BD5" w:themeColor="accent1"/>
          <w:u w:val="single"/>
        </w:rPr>
        <w:t>Journal of Clinical Investigation</w:t>
      </w:r>
      <w:r w:rsidRPr="007374E9">
        <w:rPr>
          <w:color w:val="5B9BD5" w:themeColor="accent1"/>
          <w:u w:val="single"/>
        </w:rPr>
        <w:t>:</w:t>
      </w:r>
    </w:p>
    <w:p w14:paraId="3303D0BB" w14:textId="77777777" w:rsidR="000374E2" w:rsidRPr="004E0FE8" w:rsidRDefault="000374E2" w:rsidP="000374E2">
      <w:pPr>
        <w:pStyle w:val="Vietaprimernivel"/>
        <w:numPr>
          <w:ilvl w:val="0"/>
          <w:numId w:val="56"/>
        </w:numPr>
        <w:rPr>
          <w:color w:val="5B9BD5" w:themeColor="accent1"/>
        </w:rPr>
      </w:pPr>
      <w:r w:rsidRPr="004E0FE8">
        <w:rPr>
          <w:b/>
          <w:bCs/>
          <w:color w:val="5B9BD5" w:themeColor="accent1"/>
        </w:rPr>
        <w:t>Falla en la Señalización de Saciedad:</w:t>
      </w:r>
      <w:r w:rsidRPr="004E0FE8">
        <w:rPr>
          <w:color w:val="5B9BD5" w:themeColor="accent1"/>
        </w:rPr>
        <w:t> En condiciones normales, la leptina (producida por el tejido adiposo) se une al </w:t>
      </w:r>
      <w:r w:rsidRPr="004E0FE8">
        <w:rPr>
          <w:b/>
          <w:bCs/>
          <w:color w:val="5B9BD5" w:themeColor="accent1"/>
        </w:rPr>
        <w:t>LEPR</w:t>
      </w:r>
      <w:r w:rsidRPr="004E0FE8">
        <w:rPr>
          <w:color w:val="5B9BD5" w:themeColor="accent1"/>
        </w:rPr>
        <w:t xml:space="preserve"> en el hipotálamo. Esto </w:t>
      </w:r>
      <w:proofErr w:type="gramStart"/>
      <w:r w:rsidRPr="004E0FE8">
        <w:rPr>
          <w:color w:val="5B9BD5" w:themeColor="accent1"/>
        </w:rPr>
        <w:t xml:space="preserve">activa </w:t>
      </w:r>
      <w:r w:rsidRPr="004E0FE8">
        <w:rPr>
          <w:color w:val="5B9BD5" w:themeColor="accent1"/>
        </w:rPr>
        <w:lastRenderedPageBreak/>
        <w:t>neuronas</w:t>
      </w:r>
      <w:proofErr w:type="gramEnd"/>
      <w:r w:rsidRPr="004E0FE8">
        <w:rPr>
          <w:color w:val="5B9BD5" w:themeColor="accent1"/>
        </w:rPr>
        <w:t xml:space="preserve"> anorexigénicas (POMC) e inhibe las orexigénicas (AgRP/NPY), enviando una señal de "saciedad".</w:t>
      </w:r>
    </w:p>
    <w:p w14:paraId="346B6270" w14:textId="77777777" w:rsidR="000374E2" w:rsidRPr="004E0FE8" w:rsidRDefault="000374E2" w:rsidP="000374E2">
      <w:pPr>
        <w:pStyle w:val="Vietaprimernivel"/>
        <w:numPr>
          <w:ilvl w:val="0"/>
          <w:numId w:val="56"/>
        </w:numPr>
        <w:rPr>
          <w:color w:val="5B9BD5" w:themeColor="accent1"/>
        </w:rPr>
      </w:pPr>
      <w:r w:rsidRPr="004E0FE8">
        <w:rPr>
          <w:b/>
          <w:bCs/>
          <w:color w:val="5B9BD5" w:themeColor="accent1"/>
        </w:rPr>
        <w:t>Resistencia o Deficiencia:</w:t>
      </w:r>
      <w:r w:rsidRPr="004E0FE8">
        <w:rPr>
          <w:color w:val="5B9BD5" w:themeColor="accent1"/>
        </w:rPr>
        <w:t> Las mutaciones que afectan al LEPR impiden que la señal de la leptina sea procesada. El cerebro interpreta esto como un estado de </w:t>
      </w:r>
      <w:r w:rsidRPr="004E0FE8">
        <w:rPr>
          <w:b/>
          <w:bCs/>
          <w:color w:val="5B9BD5" w:themeColor="accent1"/>
        </w:rPr>
        <w:t>inanición perpetua</w:t>
      </w:r>
      <w:r w:rsidRPr="004E0FE8">
        <w:rPr>
          <w:color w:val="5B9BD5" w:themeColor="accent1"/>
        </w:rPr>
        <w:t> a pesar de tener reservas de grasa suficientes.</w:t>
      </w:r>
    </w:p>
    <w:p w14:paraId="16AC27A0" w14:textId="77777777" w:rsidR="000374E2" w:rsidRPr="004E0FE8" w:rsidRDefault="000374E2" w:rsidP="000374E2">
      <w:pPr>
        <w:pStyle w:val="Vietaprimernivel"/>
        <w:numPr>
          <w:ilvl w:val="0"/>
          <w:numId w:val="56"/>
        </w:numPr>
        <w:rPr>
          <w:color w:val="5B9BD5" w:themeColor="accent1"/>
        </w:rPr>
      </w:pPr>
      <w:r w:rsidRPr="004E0FE8">
        <w:rPr>
          <w:b/>
          <w:bCs/>
          <w:color w:val="5B9BD5" w:themeColor="accent1"/>
        </w:rPr>
        <w:t>Hiperfagia e Hipometabolismo:</w:t>
      </w:r>
      <w:r w:rsidRPr="004E0FE8">
        <w:rPr>
          <w:color w:val="5B9BD5" w:themeColor="accent1"/>
        </w:rPr>
        <w:t> El mecanismo molecular resulta en un hambre insaciable (</w:t>
      </w:r>
      <w:r w:rsidRPr="004E0FE8">
        <w:rPr>
          <w:b/>
          <w:bCs/>
          <w:color w:val="5B9BD5" w:themeColor="accent1"/>
        </w:rPr>
        <w:t>hiperfagia</w:t>
      </w:r>
      <w:r w:rsidRPr="004E0FE8">
        <w:rPr>
          <w:color w:val="5B9BD5" w:themeColor="accent1"/>
        </w:rPr>
        <w:t>) y una reducción del gasto energético basal.</w:t>
      </w:r>
    </w:p>
    <w:p w14:paraId="6578DCCB" w14:textId="77777777" w:rsidR="000374E2" w:rsidRPr="004E0FE8" w:rsidRDefault="000374E2" w:rsidP="000374E2">
      <w:pPr>
        <w:pStyle w:val="Vietaprimernivel"/>
        <w:numPr>
          <w:ilvl w:val="0"/>
          <w:numId w:val="56"/>
        </w:numPr>
        <w:rPr>
          <w:color w:val="5B9BD5" w:themeColor="accent1"/>
        </w:rPr>
      </w:pPr>
      <w:r w:rsidRPr="004E0FE8">
        <w:rPr>
          <w:b/>
          <w:bCs/>
          <w:color w:val="5B9BD5" w:themeColor="accent1"/>
        </w:rPr>
        <w:t>Eje SMAD4/TGF-β:</w:t>
      </w:r>
      <w:r w:rsidRPr="004E0FE8">
        <w:rPr>
          <w:color w:val="5B9BD5" w:themeColor="accent1"/>
        </w:rPr>
        <w:t> Según artículos en </w:t>
      </w:r>
      <w:r w:rsidRPr="007374E9">
        <w:rPr>
          <w:b/>
          <w:bCs/>
          <w:i/>
          <w:iCs/>
          <w:color w:val="5B9BD5" w:themeColor="accent1"/>
          <w:u w:val="single"/>
        </w:rPr>
        <w:t>Nature Communications</w:t>
      </w:r>
      <w:r w:rsidRPr="004E0FE8">
        <w:rPr>
          <w:color w:val="5B9BD5" w:themeColor="accent1"/>
        </w:rPr>
        <w:t>, la pérdida de componentes de señalización como </w:t>
      </w:r>
      <w:r w:rsidRPr="004E0FE8">
        <w:rPr>
          <w:b/>
          <w:bCs/>
          <w:color w:val="5B9BD5" w:themeColor="accent1"/>
        </w:rPr>
        <w:t>SMAD4</w:t>
      </w:r>
      <w:r w:rsidRPr="004E0FE8">
        <w:rPr>
          <w:color w:val="5B9BD5" w:themeColor="accent1"/>
        </w:rPr>
        <w:t> altera la formación de los circuitos neuronales que conectan el receptor de leptina con el resto del sistema endocrino, exacerbando la resistencia a la leptina.</w:t>
      </w:r>
    </w:p>
    <w:p w14:paraId="68BB565F" w14:textId="77777777" w:rsidR="000374E2" w:rsidRDefault="000374E2" w:rsidP="000374E2">
      <w:pPr>
        <w:pStyle w:val="Vietaprimernivel"/>
        <w:numPr>
          <w:ilvl w:val="0"/>
          <w:numId w:val="0"/>
        </w:numPr>
        <w:ind w:left="284"/>
        <w:rPr>
          <w:color w:val="5B9BD5" w:themeColor="accent1"/>
        </w:rPr>
      </w:pPr>
      <w:r w:rsidRPr="004E0FE8">
        <w:rPr>
          <w:b/>
          <w:bCs/>
          <w:color w:val="5B9BD5" w:themeColor="accent1"/>
        </w:rPr>
        <w:t>Conclusión técnica:</w:t>
      </w:r>
      <w:r w:rsidRPr="004E0FE8">
        <w:rPr>
          <w:color w:val="5B9BD5" w:themeColor="accent1"/>
        </w:rPr>
        <w:t> Mientras que </w:t>
      </w:r>
      <w:r w:rsidRPr="004E0FE8">
        <w:rPr>
          <w:b/>
          <w:bCs/>
          <w:color w:val="5B9BD5" w:themeColor="accent1"/>
        </w:rPr>
        <w:t>LEPR</w:t>
      </w:r>
      <w:r w:rsidRPr="004E0FE8">
        <w:rPr>
          <w:color w:val="5B9BD5" w:themeColor="accent1"/>
        </w:rPr>
        <w:t> es el efector directo de la señal de peso corporal, </w:t>
      </w:r>
      <w:r w:rsidRPr="004E0FE8">
        <w:rPr>
          <w:b/>
          <w:bCs/>
          <w:color w:val="5B9BD5" w:themeColor="accent1"/>
        </w:rPr>
        <w:t>SMAD4</w:t>
      </w:r>
      <w:r w:rsidRPr="004E0FE8">
        <w:rPr>
          <w:color w:val="5B9BD5" w:themeColor="accent1"/>
        </w:rPr>
        <w:t> y </w:t>
      </w:r>
      <w:r w:rsidRPr="004E0FE8">
        <w:rPr>
          <w:b/>
          <w:bCs/>
          <w:color w:val="5B9BD5" w:themeColor="accent1"/>
        </w:rPr>
        <w:t>TP53</w:t>
      </w:r>
      <w:r w:rsidRPr="004E0FE8">
        <w:rPr>
          <w:color w:val="5B9BD5" w:themeColor="accent1"/>
        </w:rPr>
        <w:t> actúan como moduladores de la respuesta celular y la supervivencia de las neuronas que controlan dicha señal.</w:t>
      </w:r>
    </w:p>
    <w:p w14:paraId="75ED79A9" w14:textId="77777777" w:rsidR="000374E2" w:rsidRDefault="000374E2" w:rsidP="000374E2">
      <w:pPr>
        <w:rPr>
          <w:color w:val="5B9BD5" w:themeColor="accent1"/>
        </w:rPr>
      </w:pPr>
    </w:p>
    <w:p w14:paraId="326151F7" w14:textId="77777777" w:rsidR="000374E2" w:rsidRPr="006B5F6F" w:rsidRDefault="000374E2" w:rsidP="000374E2">
      <w:pPr>
        <w:rPr>
          <w:color w:val="5B9BD5" w:themeColor="accent1"/>
        </w:rPr>
      </w:pPr>
      <w:r w:rsidRPr="006B5F6F">
        <w:rPr>
          <w:color w:val="5B9BD5" w:themeColor="accent1"/>
        </w:rPr>
        <w:t>Para integrar los datos de las variantes en </w:t>
      </w:r>
      <w:r w:rsidRPr="006B5F6F">
        <w:rPr>
          <w:b/>
          <w:bCs/>
          <w:color w:val="5B9BD5" w:themeColor="accent1"/>
        </w:rPr>
        <w:t>LEPR</w:t>
      </w:r>
      <w:r w:rsidRPr="006B5F6F">
        <w:rPr>
          <w:color w:val="5B9BD5" w:themeColor="accent1"/>
        </w:rPr>
        <w:t> (Chr1), </w:t>
      </w:r>
      <w:r w:rsidRPr="006B5F6F">
        <w:rPr>
          <w:b/>
          <w:bCs/>
          <w:color w:val="5B9BD5" w:themeColor="accent1"/>
        </w:rPr>
        <w:t>TP53</w:t>
      </w:r>
      <w:r w:rsidRPr="006B5F6F">
        <w:rPr>
          <w:color w:val="5B9BD5" w:themeColor="accent1"/>
        </w:rPr>
        <w:t> (Chr17) y la variante de alta patogenicidad en </w:t>
      </w:r>
      <w:r w:rsidRPr="006B5F6F">
        <w:rPr>
          <w:b/>
          <w:bCs/>
          <w:color w:val="5B9BD5" w:themeColor="accent1"/>
        </w:rPr>
        <w:t>Chr18</w:t>
      </w:r>
      <w:r w:rsidRPr="006B5F6F">
        <w:rPr>
          <w:color w:val="5B9BD5" w:themeColor="accent1"/>
        </w:rPr>
        <w:t xml:space="preserve"> (asociada funcionalmente a la señalización celular), he realizado </w:t>
      </w:r>
      <w:r>
        <w:rPr>
          <w:color w:val="5B9BD5" w:themeColor="accent1"/>
        </w:rPr>
        <w:t xml:space="preserve">también </w:t>
      </w:r>
      <w:r w:rsidRPr="006B5F6F">
        <w:rPr>
          <w:color w:val="5B9BD5" w:themeColor="accent1"/>
        </w:rPr>
        <w:t>una consulta cruzada en las plataformas solicitadas.</w:t>
      </w:r>
    </w:p>
    <w:p w14:paraId="5A923716" w14:textId="77777777" w:rsidR="000374E2" w:rsidRPr="006B5F6F" w:rsidRDefault="000374E2" w:rsidP="000374E2">
      <w:pPr>
        <w:rPr>
          <w:b/>
          <w:bCs/>
          <w:color w:val="5B9BD5" w:themeColor="accent1"/>
        </w:rPr>
      </w:pPr>
      <w:r w:rsidRPr="006B5F6F">
        <w:rPr>
          <w:b/>
          <w:bCs/>
          <w:color w:val="5B9BD5" w:themeColor="accent1"/>
        </w:rPr>
        <w:t xml:space="preserve">1. Análisis de Variantes y Patologías </w:t>
      </w:r>
      <w:r w:rsidRPr="001D241A">
        <w:rPr>
          <w:b/>
          <w:bCs/>
          <w:i/>
          <w:iCs/>
          <w:color w:val="5B9BD5" w:themeColor="accent1"/>
          <w:u w:val="single"/>
        </w:rPr>
        <w:t>(OMIM &amp; ClinVar)</w:t>
      </w:r>
    </w:p>
    <w:p w14:paraId="36583656" w14:textId="77777777" w:rsidR="000374E2" w:rsidRPr="006B5F6F" w:rsidRDefault="000374E2" w:rsidP="000374E2">
      <w:pPr>
        <w:numPr>
          <w:ilvl w:val="0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 xml:space="preserve">LEPR (Chr1: </w:t>
      </w:r>
      <w:proofErr w:type="gramStart"/>
      <w:r w:rsidRPr="006B5F6F">
        <w:rPr>
          <w:b/>
          <w:bCs/>
          <w:color w:val="5B9BD5" w:themeColor="accent1"/>
        </w:rPr>
        <w:t>p.Lys</w:t>
      </w:r>
      <w:proofErr w:type="gramEnd"/>
      <w:r w:rsidRPr="006B5F6F">
        <w:rPr>
          <w:b/>
          <w:bCs/>
          <w:color w:val="5B9BD5" w:themeColor="accent1"/>
        </w:rPr>
        <w:t>109Arg):</w:t>
      </w:r>
    </w:p>
    <w:p w14:paraId="712957EE" w14:textId="77777777" w:rsidR="000374E2" w:rsidRPr="006B5F6F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Fuente:</w:t>
      </w:r>
      <w:r w:rsidRPr="006B5F6F">
        <w:rPr>
          <w:color w:val="5B9BD5" w:themeColor="accent1"/>
        </w:rPr>
        <w:t> Consultada en </w:t>
      </w:r>
      <w:r w:rsidRPr="001D241A">
        <w:rPr>
          <w:b/>
          <w:bCs/>
          <w:i/>
          <w:iCs/>
          <w:color w:val="5B9BD5" w:themeColor="accent1"/>
          <w:u w:val="single"/>
        </w:rPr>
        <w:t>NCBI dbSNP</w:t>
      </w:r>
      <w:r w:rsidRPr="006B5F6F">
        <w:rPr>
          <w:color w:val="5B9BD5" w:themeColor="accent1"/>
        </w:rPr>
        <w:t xml:space="preserve"> (rs1137100).</w:t>
      </w:r>
    </w:p>
    <w:p w14:paraId="5A1F4BBB" w14:textId="77777777" w:rsidR="000374E2" w:rsidRPr="001D241A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Asociación:</w:t>
      </w:r>
      <w:r w:rsidRPr="006B5F6F">
        <w:rPr>
          <w:color w:val="5B9BD5" w:themeColor="accent1"/>
        </w:rPr>
        <w:t> Vinculado en OMIM #614963 con el </w:t>
      </w:r>
      <w:r w:rsidRPr="001D241A">
        <w:rPr>
          <w:color w:val="5B9BD5" w:themeColor="accent1"/>
        </w:rPr>
        <w:t>Déficit del Receptor de Leptina.</w:t>
      </w:r>
    </w:p>
    <w:p w14:paraId="7DA931F3" w14:textId="77777777" w:rsidR="000374E2" w:rsidRPr="006B5F6F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Estatus:</w:t>
      </w:r>
      <w:r w:rsidRPr="006B5F6F">
        <w:rPr>
          <w:color w:val="5B9BD5" w:themeColor="accent1"/>
        </w:rPr>
        <w:t xml:space="preserve"> Aunque es un polimorfismo, su relevancia radica en la predisposición a </w:t>
      </w:r>
      <w:r w:rsidRPr="001D241A">
        <w:rPr>
          <w:color w:val="5B9BD5" w:themeColor="accent1"/>
        </w:rPr>
        <w:t>la obesidad mórbida, con un patrón de herencia Autonómico Recesivo.</w:t>
      </w:r>
    </w:p>
    <w:p w14:paraId="5EEE427E" w14:textId="77777777" w:rsidR="000374E2" w:rsidRPr="006B5F6F" w:rsidRDefault="000374E2" w:rsidP="000374E2">
      <w:pPr>
        <w:numPr>
          <w:ilvl w:val="0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 xml:space="preserve">TP53 (Chr17: </w:t>
      </w:r>
      <w:proofErr w:type="gramStart"/>
      <w:r w:rsidRPr="006B5F6F">
        <w:rPr>
          <w:b/>
          <w:bCs/>
          <w:color w:val="5B9BD5" w:themeColor="accent1"/>
        </w:rPr>
        <w:t>p.Pro</w:t>
      </w:r>
      <w:proofErr w:type="gramEnd"/>
      <w:r w:rsidRPr="006B5F6F">
        <w:rPr>
          <w:b/>
          <w:bCs/>
          <w:color w:val="5B9BD5" w:themeColor="accent1"/>
        </w:rPr>
        <w:t>72Leu):</w:t>
      </w:r>
    </w:p>
    <w:p w14:paraId="7579C87E" w14:textId="77777777" w:rsidR="000374E2" w:rsidRPr="006B5F6F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Fuente:</w:t>
      </w:r>
      <w:r w:rsidRPr="006B5F6F">
        <w:rPr>
          <w:color w:val="5B9BD5" w:themeColor="accent1"/>
        </w:rPr>
        <w:t> </w:t>
      </w:r>
      <w:r w:rsidRPr="001D241A">
        <w:rPr>
          <w:b/>
          <w:bCs/>
          <w:i/>
          <w:iCs/>
          <w:color w:val="5B9BD5" w:themeColor="accent1"/>
          <w:u w:val="single"/>
        </w:rPr>
        <w:t>ClinVar</w:t>
      </w:r>
      <w:r w:rsidRPr="001D241A">
        <w:rPr>
          <w:b/>
          <w:bCs/>
          <w:i/>
          <w:iCs/>
          <w:color w:val="5B9BD5" w:themeColor="accent1"/>
        </w:rPr>
        <w:t xml:space="preserve"> </w:t>
      </w:r>
      <w:r w:rsidRPr="006B5F6F">
        <w:rPr>
          <w:color w:val="5B9BD5" w:themeColor="accent1"/>
        </w:rPr>
        <w:t>(VCV000142854).</w:t>
      </w:r>
    </w:p>
    <w:p w14:paraId="5C0D791E" w14:textId="77777777" w:rsidR="000374E2" w:rsidRPr="006B5F6F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Asociación:</w:t>
      </w:r>
      <w:r w:rsidRPr="006B5F6F">
        <w:rPr>
          <w:color w:val="5B9BD5" w:themeColor="accent1"/>
        </w:rPr>
        <w:t> El gen es la causa del </w:t>
      </w:r>
      <w:r w:rsidRPr="001D241A">
        <w:rPr>
          <w:color w:val="5B9BD5" w:themeColor="accent1"/>
        </w:rPr>
        <w:t>Síndrome de Li-Fraumeni</w:t>
      </w:r>
      <w:r w:rsidRPr="006B5F6F">
        <w:rPr>
          <w:color w:val="5B9BD5" w:themeColor="accent1"/>
        </w:rPr>
        <w:t> </w:t>
      </w:r>
      <w:r w:rsidRPr="001D241A">
        <w:rPr>
          <w:color w:val="5B9BD5" w:themeColor="accent1"/>
        </w:rPr>
        <w:t>(OMIM</w:t>
      </w:r>
      <w:r w:rsidRPr="006B5F6F">
        <w:rPr>
          <w:color w:val="5B9BD5" w:themeColor="accent1"/>
        </w:rPr>
        <w:t xml:space="preserve"> #151623).</w:t>
      </w:r>
    </w:p>
    <w:p w14:paraId="0BEC4ABE" w14:textId="77777777" w:rsidR="000374E2" w:rsidRPr="006B5F6F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lastRenderedPageBreak/>
        <w:t>Estatus:</w:t>
      </w:r>
      <w:r w:rsidRPr="006B5F6F">
        <w:rPr>
          <w:color w:val="5B9BD5" w:themeColor="accent1"/>
        </w:rPr>
        <w:t xml:space="preserve"> Clasificado </w:t>
      </w:r>
      <w:r w:rsidRPr="001D241A">
        <w:rPr>
          <w:color w:val="5B9BD5" w:themeColor="accent1"/>
        </w:rPr>
        <w:t>como Benigno, es</w:t>
      </w:r>
      <w:r w:rsidRPr="006B5F6F">
        <w:rPr>
          <w:color w:val="5B9BD5" w:themeColor="accent1"/>
        </w:rPr>
        <w:t xml:space="preserve"> un modificador común de la respuesta a la apoptosis.</w:t>
      </w:r>
    </w:p>
    <w:p w14:paraId="02FC2282" w14:textId="77777777" w:rsidR="000374E2" w:rsidRPr="006B5F6F" w:rsidRDefault="000374E2" w:rsidP="000374E2">
      <w:pPr>
        <w:numPr>
          <w:ilvl w:val="0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Chr18 (Gen probable SMAD4):</w:t>
      </w:r>
    </w:p>
    <w:p w14:paraId="1DC493A5" w14:textId="77777777" w:rsidR="000374E2" w:rsidRPr="006B5F6F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Fuente:</w:t>
      </w:r>
      <w:r w:rsidRPr="006B5F6F">
        <w:rPr>
          <w:color w:val="5B9BD5" w:themeColor="accent1"/>
        </w:rPr>
        <w:t> </w:t>
      </w:r>
      <w:r w:rsidRPr="001D241A">
        <w:rPr>
          <w:b/>
          <w:bCs/>
          <w:i/>
          <w:iCs/>
          <w:color w:val="5B9BD5" w:themeColor="accent1"/>
          <w:u w:val="single"/>
        </w:rPr>
        <w:t xml:space="preserve">UCSC </w:t>
      </w:r>
      <w:r w:rsidRPr="006B5F6F">
        <w:rPr>
          <w:color w:val="5B9BD5" w:themeColor="accent1"/>
        </w:rPr>
        <w:t>Genome Browser (mapeo de coordenadas Chr18).</w:t>
      </w:r>
    </w:p>
    <w:p w14:paraId="1960E030" w14:textId="77777777" w:rsidR="000374E2" w:rsidRPr="001D241A" w:rsidRDefault="000374E2" w:rsidP="000374E2">
      <w:pPr>
        <w:numPr>
          <w:ilvl w:val="1"/>
          <w:numId w:val="57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Asociación:</w:t>
      </w:r>
      <w:r w:rsidRPr="006B5F6F">
        <w:rPr>
          <w:color w:val="5B9BD5" w:themeColor="accent1"/>
        </w:rPr>
        <w:t xml:space="preserve"> Mutaciones en esta región suelen asociarse a </w:t>
      </w:r>
      <w:r w:rsidRPr="001D241A">
        <w:rPr>
          <w:color w:val="5B9BD5" w:themeColor="accent1"/>
        </w:rPr>
        <w:t>la Poliposis Juvenil Hereditaria (OMIM #</w:t>
      </w:r>
      <w:r w:rsidRPr="006B5F6F">
        <w:rPr>
          <w:color w:val="5B9BD5" w:themeColor="accent1"/>
        </w:rPr>
        <w:t xml:space="preserve">174900), con un </w:t>
      </w:r>
      <w:r w:rsidRPr="001D241A">
        <w:rPr>
          <w:color w:val="5B9BD5" w:themeColor="accent1"/>
        </w:rPr>
        <w:t>patrón Autonómico Dominante.</w:t>
      </w:r>
    </w:p>
    <w:p w14:paraId="3485413E" w14:textId="77777777" w:rsidR="000374E2" w:rsidRPr="006B5F6F" w:rsidRDefault="000374E2" w:rsidP="000374E2">
      <w:pPr>
        <w:rPr>
          <w:b/>
          <w:bCs/>
          <w:color w:val="5B9BD5" w:themeColor="accent1"/>
        </w:rPr>
      </w:pPr>
      <w:r w:rsidRPr="006B5F6F">
        <w:rPr>
          <w:b/>
          <w:bCs/>
          <w:color w:val="5B9BD5" w:themeColor="accent1"/>
        </w:rPr>
        <w:t xml:space="preserve">2. Integración en Rutas Moleculares </w:t>
      </w:r>
      <w:r w:rsidRPr="00FD7DAE">
        <w:rPr>
          <w:b/>
          <w:bCs/>
          <w:i/>
          <w:iCs/>
          <w:color w:val="5B9BD5" w:themeColor="accent1"/>
          <w:u w:val="single"/>
        </w:rPr>
        <w:t>(KEGG &amp; Reactome)</w:t>
      </w:r>
    </w:p>
    <w:p w14:paraId="7724BD03" w14:textId="77777777" w:rsidR="000374E2" w:rsidRPr="006B5F6F" w:rsidRDefault="000374E2" w:rsidP="000374E2">
      <w:pPr>
        <w:rPr>
          <w:color w:val="5B9BD5" w:themeColor="accent1"/>
        </w:rPr>
      </w:pPr>
      <w:r w:rsidRPr="006B5F6F">
        <w:rPr>
          <w:color w:val="5B9BD5" w:themeColor="accent1"/>
        </w:rPr>
        <w:t>Al mapear estos genes en KEGG PATHWAY (hsa04915) y Reactome (R-HSA-380612), se observa una convergencia en la </w:t>
      </w:r>
      <w:r w:rsidRPr="006B5F6F">
        <w:rPr>
          <w:b/>
          <w:bCs/>
          <w:color w:val="5B9BD5" w:themeColor="accent1"/>
        </w:rPr>
        <w:t>vía de señalización de la Leptina</w:t>
      </w:r>
      <w:r w:rsidRPr="006B5F6F">
        <w:rPr>
          <w:color w:val="5B9BD5" w:themeColor="accent1"/>
        </w:rPr>
        <w:t>:</w:t>
      </w:r>
    </w:p>
    <w:p w14:paraId="577425F5" w14:textId="77777777" w:rsidR="000374E2" w:rsidRPr="00FD7DAE" w:rsidRDefault="000374E2" w:rsidP="000374E2">
      <w:pPr>
        <w:numPr>
          <w:ilvl w:val="0"/>
          <w:numId w:val="58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Inicio de la señal:</w:t>
      </w:r>
      <w:r w:rsidRPr="006B5F6F">
        <w:rPr>
          <w:color w:val="5B9BD5" w:themeColor="accent1"/>
        </w:rPr>
        <w:t> La Leptina activa al </w:t>
      </w:r>
      <w:r w:rsidRPr="006B5F6F">
        <w:rPr>
          <w:b/>
          <w:bCs/>
          <w:color w:val="5B9BD5" w:themeColor="accent1"/>
        </w:rPr>
        <w:t>LEPR</w:t>
      </w:r>
      <w:r w:rsidRPr="006B5F6F">
        <w:rPr>
          <w:color w:val="5B9BD5" w:themeColor="accent1"/>
        </w:rPr>
        <w:t xml:space="preserve">, desencadenando la </w:t>
      </w:r>
      <w:r w:rsidRPr="00FD7DAE">
        <w:rPr>
          <w:color w:val="5B9BD5" w:themeColor="accent1"/>
        </w:rPr>
        <w:t>cascada JAK2/STAT3.</w:t>
      </w:r>
    </w:p>
    <w:p w14:paraId="1DE10A3D" w14:textId="77777777" w:rsidR="000374E2" w:rsidRPr="006B5F6F" w:rsidRDefault="000374E2" w:rsidP="000374E2">
      <w:pPr>
        <w:numPr>
          <w:ilvl w:val="0"/>
          <w:numId w:val="58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Modulación por SMAD4:</w:t>
      </w:r>
      <w:r w:rsidRPr="006B5F6F">
        <w:rPr>
          <w:color w:val="5B9BD5" w:themeColor="accent1"/>
        </w:rPr>
        <w:t> Según </w:t>
      </w:r>
      <w:r w:rsidRPr="00FD7DAE">
        <w:rPr>
          <w:b/>
          <w:bCs/>
          <w:i/>
          <w:iCs/>
          <w:color w:val="5B9BD5" w:themeColor="accent1"/>
          <w:u w:val="single"/>
        </w:rPr>
        <w:t>Reactome,</w:t>
      </w:r>
      <w:r w:rsidRPr="006B5F6F">
        <w:rPr>
          <w:color w:val="5B9BD5" w:themeColor="accent1"/>
        </w:rPr>
        <w:t xml:space="preserve"> las proteínas SMAD median la señalización de TGF-beta, que es crucial para la neuroplasticidad del hipotálamo (centro del apetito).</w:t>
      </w:r>
    </w:p>
    <w:p w14:paraId="5D527EA8" w14:textId="77777777" w:rsidR="000374E2" w:rsidRPr="006B5F6F" w:rsidRDefault="000374E2" w:rsidP="000374E2">
      <w:pPr>
        <w:numPr>
          <w:ilvl w:val="0"/>
          <w:numId w:val="58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Regulación por TP53:</w:t>
      </w:r>
      <w:r w:rsidRPr="006B5F6F">
        <w:rPr>
          <w:color w:val="5B9BD5" w:themeColor="accent1"/>
        </w:rPr>
        <w:t> Según artículos indexados en </w:t>
      </w:r>
      <w:r w:rsidRPr="00FD7DAE">
        <w:rPr>
          <w:b/>
          <w:bCs/>
          <w:i/>
          <w:iCs/>
          <w:color w:val="5B9BD5" w:themeColor="accent1"/>
          <w:u w:val="single"/>
        </w:rPr>
        <w:t>NCBI</w:t>
      </w:r>
      <w:r w:rsidRPr="006B5F6F">
        <w:rPr>
          <w:color w:val="5B9BD5" w:themeColor="accent1"/>
        </w:rPr>
        <w:t xml:space="preserve"> Gene, p53 actúa como un regulador metabólico que controla la expresión de genes de oxidación de ácidos grasos.</w:t>
      </w:r>
    </w:p>
    <w:p w14:paraId="40D1CB39" w14:textId="77777777" w:rsidR="000374E2" w:rsidRPr="006B5F6F" w:rsidRDefault="000374E2" w:rsidP="000374E2">
      <w:pPr>
        <w:rPr>
          <w:b/>
          <w:bCs/>
          <w:color w:val="5B9BD5" w:themeColor="accent1"/>
        </w:rPr>
      </w:pPr>
      <w:r w:rsidRPr="006B5F6F">
        <w:rPr>
          <w:b/>
          <w:bCs/>
          <w:color w:val="5B9BD5" w:themeColor="accent1"/>
        </w:rPr>
        <w:t>3. Mecanismo Molecular de la Obesidad (</w:t>
      </w:r>
      <w:r w:rsidRPr="00FD7DAE">
        <w:rPr>
          <w:b/>
          <w:bCs/>
          <w:i/>
          <w:iCs/>
          <w:color w:val="5B9BD5" w:themeColor="accent1"/>
          <w:u w:val="single"/>
        </w:rPr>
        <w:t>Bibliografía Científica</w:t>
      </w:r>
      <w:r w:rsidRPr="006B5F6F">
        <w:rPr>
          <w:b/>
          <w:bCs/>
          <w:color w:val="5B9BD5" w:themeColor="accent1"/>
        </w:rPr>
        <w:t>)</w:t>
      </w:r>
    </w:p>
    <w:p w14:paraId="4B6E1B87" w14:textId="77777777" w:rsidR="000374E2" w:rsidRPr="00FD7DAE" w:rsidRDefault="000374E2" w:rsidP="000374E2">
      <w:pPr>
        <w:rPr>
          <w:color w:val="5B9BD5" w:themeColor="accent1"/>
        </w:rPr>
      </w:pPr>
      <w:r w:rsidRPr="006B5F6F">
        <w:rPr>
          <w:color w:val="5B9BD5" w:themeColor="accent1"/>
        </w:rPr>
        <w:t>El mecanismo por el cual las alteraciones en estos genes producen obesidad se basa en la </w:t>
      </w:r>
      <w:r w:rsidRPr="00FD7DAE">
        <w:rPr>
          <w:color w:val="5B9BD5" w:themeColor="accent1"/>
        </w:rPr>
        <w:t>interrupción de la comunicación hipotalámica:</w:t>
      </w:r>
    </w:p>
    <w:p w14:paraId="5A22F15E" w14:textId="77777777" w:rsidR="000374E2" w:rsidRPr="006B5F6F" w:rsidRDefault="000374E2" w:rsidP="000374E2">
      <w:pPr>
        <w:numPr>
          <w:ilvl w:val="0"/>
          <w:numId w:val="59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Mecanismo LEPR:</w:t>
      </w:r>
      <w:r w:rsidRPr="006B5F6F">
        <w:rPr>
          <w:color w:val="5B9BD5" w:themeColor="accent1"/>
        </w:rPr>
        <w:t> Las mutaciones impiden la fosforilación de STAT3. Sin esta señal, el núcleo arqueado del hipotálamo no libera neuropéptidos anorexigénicos (como POMC), resultando en una </w:t>
      </w:r>
      <w:r w:rsidRPr="00FD7DAE">
        <w:rPr>
          <w:color w:val="5B9BD5" w:themeColor="accent1"/>
        </w:rPr>
        <w:t>hiperfagia incontrolable </w:t>
      </w:r>
      <w:r w:rsidRPr="006B5F6F">
        <w:rPr>
          <w:color w:val="5B9BD5" w:themeColor="accent1"/>
        </w:rPr>
        <w:t>(explicado en el </w:t>
      </w:r>
      <w:r w:rsidRPr="00FD7DAE">
        <w:rPr>
          <w:b/>
          <w:bCs/>
          <w:i/>
          <w:iCs/>
          <w:color w:val="5B9BD5" w:themeColor="accent1"/>
          <w:u w:val="single"/>
        </w:rPr>
        <w:t>Journal of Biological Chemistry).</w:t>
      </w:r>
    </w:p>
    <w:p w14:paraId="09928F80" w14:textId="77777777" w:rsidR="000374E2" w:rsidRPr="006B5F6F" w:rsidRDefault="000374E2" w:rsidP="000374E2">
      <w:pPr>
        <w:numPr>
          <w:ilvl w:val="0"/>
          <w:numId w:val="59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Interacción con p53:</w:t>
      </w:r>
      <w:r w:rsidRPr="006B5F6F">
        <w:rPr>
          <w:color w:val="5B9BD5" w:themeColor="accent1"/>
        </w:rPr>
        <w:t xml:space="preserve"> Investigaciones en la Base de Datos </w:t>
      </w:r>
      <w:r w:rsidRPr="00FD7DAE">
        <w:rPr>
          <w:b/>
          <w:bCs/>
          <w:i/>
          <w:iCs/>
          <w:color w:val="5B9BD5" w:themeColor="accent1"/>
          <w:u w:val="single"/>
        </w:rPr>
        <w:t>NCBI </w:t>
      </w:r>
      <w:r w:rsidRPr="006B5F6F">
        <w:rPr>
          <w:color w:val="5B9BD5" w:themeColor="accent1"/>
        </w:rPr>
        <w:t xml:space="preserve">sugieren que p53 regula la expresión </w:t>
      </w:r>
      <w:r w:rsidRPr="00FD7DAE">
        <w:rPr>
          <w:color w:val="5B9BD5" w:themeColor="accent1"/>
        </w:rPr>
        <w:t>de PC1/3, una</w:t>
      </w:r>
      <w:r w:rsidRPr="006B5F6F">
        <w:rPr>
          <w:color w:val="5B9BD5" w:themeColor="accent1"/>
        </w:rPr>
        <w:t xml:space="preserve"> enzima necesaria para procesar POMC. Si la señalización está comprometida, no se produce la señal de saciedad.</w:t>
      </w:r>
    </w:p>
    <w:p w14:paraId="7A1FABBC" w14:textId="01586E3E" w:rsidR="009B66AE" w:rsidRPr="002822D0" w:rsidRDefault="000374E2" w:rsidP="00FB6677">
      <w:pPr>
        <w:numPr>
          <w:ilvl w:val="0"/>
          <w:numId w:val="59"/>
        </w:numPr>
        <w:rPr>
          <w:color w:val="5B9BD5" w:themeColor="accent1"/>
        </w:rPr>
      </w:pPr>
      <w:r w:rsidRPr="006B5F6F">
        <w:rPr>
          <w:b/>
          <w:bCs/>
          <w:color w:val="5B9BD5" w:themeColor="accent1"/>
        </w:rPr>
        <w:t>Papel de SMAD4:</w:t>
      </w:r>
      <w:r w:rsidRPr="006B5F6F">
        <w:rPr>
          <w:color w:val="5B9BD5" w:themeColor="accent1"/>
        </w:rPr>
        <w:t> Su deficiencia altera el desarrollo de las neuronas que deben recibir la señal del receptor de leptina, creando una "resistencia estructural" a la saciedad.</w:t>
      </w:r>
    </w:p>
    <w:p w14:paraId="29054586" w14:textId="19507E18" w:rsidR="00FB6677" w:rsidRDefault="00FB6677" w:rsidP="00880E60">
      <w:pPr>
        <w:pStyle w:val="TtuloApartado3"/>
      </w:pPr>
      <w:r w:rsidRPr="005241B8">
        <w:lastRenderedPageBreak/>
        <w:t>Extensión</w:t>
      </w:r>
      <w:r>
        <w:t xml:space="preserve"> y formato</w:t>
      </w:r>
      <w:r w:rsidRPr="0015347F">
        <w:t xml:space="preserve"> </w:t>
      </w:r>
    </w:p>
    <w:p w14:paraId="4BE18BA6" w14:textId="77777777" w:rsidR="00216EDD" w:rsidRPr="00216EDD" w:rsidRDefault="00216EDD" w:rsidP="00216EDD">
      <w:r w:rsidRPr="00216EDD">
        <w:t>El informe se debe presentar en formato de póster científico (plantilla adjunta en PPT “Plantilla_poster_Bioinfo_4p_UNIR.pptx”) e incluir según las normas para el uso de la plantilla en las actividades grupales:</w:t>
      </w:r>
    </w:p>
    <w:p w14:paraId="26B74788" w14:textId="0096DFEF" w:rsidR="00216EDD" w:rsidRPr="00216EDD" w:rsidRDefault="00216EDD" w:rsidP="00216EDD">
      <w:pPr>
        <w:pStyle w:val="Vietaprimernivel"/>
      </w:pPr>
      <w:r w:rsidRPr="00216EDD">
        <w:t>Introducción</w:t>
      </w:r>
      <w:r>
        <w:t>.</w:t>
      </w:r>
    </w:p>
    <w:p w14:paraId="603FF948" w14:textId="77777777" w:rsidR="00216EDD" w:rsidRPr="00216EDD" w:rsidRDefault="00216EDD" w:rsidP="00216EDD">
      <w:pPr>
        <w:pStyle w:val="Vietaprimernivel"/>
      </w:pPr>
      <w:r w:rsidRPr="00216EDD">
        <w:t>Metodología, indicando la URL de las herramientas empleadas.</w:t>
      </w:r>
    </w:p>
    <w:p w14:paraId="114B26EF" w14:textId="0F8E3A8E" w:rsidR="00216EDD" w:rsidRPr="00216EDD" w:rsidRDefault="00216EDD" w:rsidP="00216EDD">
      <w:pPr>
        <w:pStyle w:val="Vietaprimernivel"/>
      </w:pPr>
      <w:r w:rsidRPr="00216EDD">
        <w:t>Resultados: para cada variante, indica la nomenclatura en g., c., p. con los identificadores correspondientes en cada caso. Incluye capturas de pantalla de los análisis realizados.</w:t>
      </w:r>
    </w:p>
    <w:p w14:paraId="0B216842" w14:textId="58B6D98D" w:rsidR="00216EDD" w:rsidRPr="00216EDD" w:rsidRDefault="00216EDD" w:rsidP="00216EDD">
      <w:pPr>
        <w:pStyle w:val="Vietaprimernivel"/>
      </w:pPr>
      <w:r w:rsidRPr="00216EDD">
        <w:t>Discusión: interpreta los resultados, indica si consideras las variantes patogénicas, si estuviesen asociadas a una enfermedad hereditaria y el patrón de herencia. Además, indica la ruta molecular y su posible asociación con la obesidad.</w:t>
      </w:r>
    </w:p>
    <w:p w14:paraId="1BA95FC1" w14:textId="5E6916A7" w:rsidR="00216EDD" w:rsidRPr="00216EDD" w:rsidRDefault="00216EDD" w:rsidP="00216EDD">
      <w:pPr>
        <w:pStyle w:val="Vietaprimernivel"/>
      </w:pPr>
      <w:r w:rsidRPr="00216EDD">
        <w:t>Conclusiones</w:t>
      </w:r>
      <w:r>
        <w:t>.</w:t>
      </w:r>
    </w:p>
    <w:p w14:paraId="4BCB364B" w14:textId="77777777" w:rsidR="00216EDD" w:rsidRPr="00216EDD" w:rsidRDefault="00216EDD" w:rsidP="00216EDD"/>
    <w:p w14:paraId="6D7C831D" w14:textId="6A6850BA" w:rsidR="00FB6677" w:rsidRDefault="00FB6677" w:rsidP="00FB6677"/>
    <w:p w14:paraId="3F246607" w14:textId="77777777" w:rsidR="00A232E5" w:rsidRPr="007476CD" w:rsidRDefault="00A232E5" w:rsidP="00A232E5">
      <w:pPr>
        <w:pStyle w:val="TtuloApartado3"/>
      </w:pPr>
      <w:r>
        <w:t>Criterios de evaluación</w:t>
      </w:r>
    </w:p>
    <w:p w14:paraId="790BBD3F" w14:textId="77777777" w:rsidR="00C3398B" w:rsidRDefault="00C3398B" w:rsidP="00A232E5"/>
    <w:p w14:paraId="1623E563" w14:textId="58EFFC56" w:rsidR="00E64B3C" w:rsidRDefault="00471424" w:rsidP="00471424">
      <w:pPr>
        <w:jc w:val="center"/>
      </w:pPr>
      <w:r>
        <w:rPr>
          <w:noProof/>
        </w:rPr>
        <w:drawing>
          <wp:inline distT="0" distB="0" distL="0" distR="0" wp14:anchorId="4B282281" wp14:editId="0A401EF3">
            <wp:extent cx="3619500" cy="3451860"/>
            <wp:effectExtent l="0" t="0" r="0" b="0"/>
            <wp:docPr id="106363789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5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64B3C" w:rsidSect="006008F8">
      <w:headerReference w:type="default" r:id="rId41"/>
      <w:footerReference w:type="default" r:id="rId42"/>
      <w:pgSz w:w="11906" w:h="16838" w:code="9"/>
      <w:pgMar w:top="1418" w:right="1843" w:bottom="1418" w:left="1843" w:header="680" w:footer="51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lena Martinez Garrido" w:date="2026-01-31T19:01:00Z" w:initials="EM">
    <w:p w14:paraId="1D927CC6" w14:textId="40836A9F" w:rsidR="009E1674" w:rsidRDefault="009E1674">
      <w:pPr>
        <w:pStyle w:val="Textocomentario"/>
      </w:pPr>
      <w:r>
        <w:rPr>
          <w:rStyle w:val="Refdecomentario"/>
        </w:rPr>
        <w:annotationRef/>
      </w:r>
      <w:r>
        <w:t>LOTE 7 EQUIPO 26. HOMMER Y BART.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927CC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D13A31" w16cex:dateUtc="2026-01-31T18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927CC6" w16cid:durableId="38D13A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74C8C" w14:textId="77777777" w:rsidR="0084594A" w:rsidRDefault="0084594A" w:rsidP="00C50246">
      <w:pPr>
        <w:spacing w:line="240" w:lineRule="auto"/>
      </w:pPr>
      <w:r>
        <w:separator/>
      </w:r>
    </w:p>
  </w:endnote>
  <w:endnote w:type="continuationSeparator" w:id="0">
    <w:p w14:paraId="07C84C6D" w14:textId="77777777" w:rsidR="0084594A" w:rsidRDefault="0084594A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145F4998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571D5E" w:rsidRDefault="00C71FA7" w:rsidP="00571D5E">
    <w:pPr>
      <w:pStyle w:val="PiedepginaSecciones"/>
    </w:pPr>
    <w:r w:rsidRPr="00277FAF">
      <mc:AlternateContent>
        <mc:Choice Requires="wps">
          <w:drawing>
            <wp:anchor distT="0" distB="0" distL="114300" distR="252095" simplePos="0" relativeHeight="251658240" behindDoc="1" locked="0" layoutInCell="1" allowOverlap="0" wp14:anchorId="2FFF6ED7" wp14:editId="41BAD10F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658240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" o:allowoverlap="f" fillcolor="#7f7f7f [1612]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 w:rsidRPr="00571D5E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D5C85" w14:textId="77777777" w:rsidR="0084594A" w:rsidRDefault="0084594A" w:rsidP="00C50246">
      <w:pPr>
        <w:spacing w:line="240" w:lineRule="auto"/>
      </w:pPr>
      <w:r>
        <w:separator/>
      </w:r>
    </w:p>
  </w:footnote>
  <w:footnote w:type="continuationSeparator" w:id="0">
    <w:p w14:paraId="30A12C72" w14:textId="77777777" w:rsidR="0084594A" w:rsidRDefault="0084594A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7EEF" w14:textId="6A7AB233" w:rsidR="005C4BE9" w:rsidRDefault="00D65832">
    <w:r w:rsidRPr="00D65832">
      <w:t>Genética clínica y de poblaciones</w:t>
    </w:r>
  </w:p>
  <w:p w14:paraId="7ED7638B" w14:textId="77777777" w:rsidR="00D65832" w:rsidRDefault="00D658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12F91AAA"/>
    <w:multiLevelType w:val="multilevel"/>
    <w:tmpl w:val="B37C3B20"/>
    <w:numStyleLink w:val="VietasUNIR"/>
  </w:abstractNum>
  <w:abstractNum w:abstractNumId="17" w15:restartNumberingAfterBreak="0">
    <w:nsid w:val="16FE42EC"/>
    <w:multiLevelType w:val="hybridMultilevel"/>
    <w:tmpl w:val="2452E0E6"/>
    <w:lvl w:ilvl="0" w:tplc="0403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1E9A2782"/>
    <w:multiLevelType w:val="multilevel"/>
    <w:tmpl w:val="B37C3B20"/>
    <w:numStyleLink w:val="VietasUNIR"/>
  </w:abstractNum>
  <w:abstractNum w:abstractNumId="19" w15:restartNumberingAfterBreak="0">
    <w:nsid w:val="20A16E01"/>
    <w:multiLevelType w:val="multilevel"/>
    <w:tmpl w:val="CFE0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393C21"/>
    <w:multiLevelType w:val="hybridMultilevel"/>
    <w:tmpl w:val="BBCC023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66B48A">
      <w:start w:val="1"/>
      <w:numFmt w:val="bullet"/>
      <w:pStyle w:val="Vietasegundonivel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50C07C5"/>
    <w:multiLevelType w:val="hybridMultilevel"/>
    <w:tmpl w:val="AE92924A"/>
    <w:lvl w:ilvl="0" w:tplc="994A4888">
      <w:start w:val="1"/>
      <w:numFmt w:val="bullet"/>
      <w:lvlText w:val="∙"/>
      <w:lvlJc w:val="left"/>
      <w:pPr>
        <w:ind w:left="720" w:hanging="360"/>
      </w:pPr>
      <w:rPr>
        <w:rFonts w:ascii="Calibri" w:hAnsi="Calibri" w:cs="Calibri" w:hint="default"/>
        <w:color w:val="333333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A31B18"/>
    <w:multiLevelType w:val="multilevel"/>
    <w:tmpl w:val="2DF2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6A19DD"/>
    <w:multiLevelType w:val="multilevel"/>
    <w:tmpl w:val="FCB6914A"/>
    <w:numStyleLink w:val="VietasUNIRcombinada"/>
  </w:abstractNum>
  <w:abstractNum w:abstractNumId="24" w15:restartNumberingAfterBreak="0">
    <w:nsid w:val="311C3507"/>
    <w:multiLevelType w:val="multilevel"/>
    <w:tmpl w:val="FE8AA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4134D7"/>
    <w:multiLevelType w:val="multilevel"/>
    <w:tmpl w:val="B37C3B20"/>
    <w:numStyleLink w:val="VietasUNIR"/>
  </w:abstractNum>
  <w:abstractNum w:abstractNumId="26" w15:restartNumberingAfterBreak="0">
    <w:nsid w:val="331735AD"/>
    <w:multiLevelType w:val="multilevel"/>
    <w:tmpl w:val="B37C3B20"/>
    <w:numStyleLink w:val="VietasUNIR"/>
  </w:abstractNum>
  <w:abstractNum w:abstractNumId="27" w15:restartNumberingAfterBreak="0">
    <w:nsid w:val="34031F9F"/>
    <w:multiLevelType w:val="multilevel"/>
    <w:tmpl w:val="B37C3B20"/>
    <w:numStyleLink w:val="VietasUNIR"/>
  </w:abstractNum>
  <w:abstractNum w:abstractNumId="28" w15:restartNumberingAfterBreak="0">
    <w:nsid w:val="34461A19"/>
    <w:multiLevelType w:val="multilevel"/>
    <w:tmpl w:val="B0E0186E"/>
    <w:numStyleLink w:val="NumeracinTest"/>
  </w:abstractNum>
  <w:abstractNum w:abstractNumId="29" w15:restartNumberingAfterBreak="0">
    <w:nsid w:val="372D7CE7"/>
    <w:multiLevelType w:val="multilevel"/>
    <w:tmpl w:val="E55A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5B9BD5" w:themeColor="accent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FB464D"/>
    <w:multiLevelType w:val="hybridMultilevel"/>
    <w:tmpl w:val="537043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984B96"/>
    <w:multiLevelType w:val="multilevel"/>
    <w:tmpl w:val="B37C3B20"/>
    <w:numStyleLink w:val="VietasUNIR"/>
  </w:abstractNum>
  <w:abstractNum w:abstractNumId="32" w15:restartNumberingAfterBreak="0">
    <w:nsid w:val="3DB219FF"/>
    <w:multiLevelType w:val="hybridMultilevel"/>
    <w:tmpl w:val="7B947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33333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AC73EE"/>
    <w:multiLevelType w:val="multilevel"/>
    <w:tmpl w:val="B0E0186E"/>
    <w:numStyleLink w:val="NumeracinTest"/>
  </w:abstractNum>
  <w:abstractNum w:abstractNumId="34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4FD6A3C"/>
    <w:multiLevelType w:val="multilevel"/>
    <w:tmpl w:val="AE3CB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7C7D54"/>
    <w:multiLevelType w:val="singleLevel"/>
    <w:tmpl w:val="31B43E44"/>
    <w:lvl w:ilvl="0">
      <w:start w:val="1"/>
      <w:numFmt w:val="bullet"/>
      <w:pStyle w:val="Vietaprimernivel"/>
      <w:lvlText w:val="▸"/>
      <w:lvlJc w:val="left"/>
      <w:pPr>
        <w:ind w:left="360" w:hanging="360"/>
      </w:pPr>
    </w:lvl>
  </w:abstractNum>
  <w:abstractNum w:abstractNumId="37" w15:restartNumberingAfterBreak="0">
    <w:nsid w:val="4AF60E94"/>
    <w:multiLevelType w:val="multilevel"/>
    <w:tmpl w:val="B0E0186E"/>
    <w:numStyleLink w:val="NumeracinTest"/>
  </w:abstractNum>
  <w:abstractNum w:abstractNumId="38" w15:restartNumberingAfterBreak="0">
    <w:nsid w:val="4C7162D0"/>
    <w:multiLevelType w:val="multilevel"/>
    <w:tmpl w:val="41A8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F34901"/>
    <w:multiLevelType w:val="multilevel"/>
    <w:tmpl w:val="E50C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255449"/>
    <w:multiLevelType w:val="multilevel"/>
    <w:tmpl w:val="B37C3B20"/>
    <w:numStyleLink w:val="VietasUNIR"/>
  </w:abstractNum>
  <w:abstractNum w:abstractNumId="41" w15:restartNumberingAfterBreak="0">
    <w:nsid w:val="4EB95FAC"/>
    <w:multiLevelType w:val="multilevel"/>
    <w:tmpl w:val="B37C3B20"/>
    <w:numStyleLink w:val="VietasUNIR"/>
  </w:abstractNum>
  <w:abstractNum w:abstractNumId="42" w15:restartNumberingAfterBreak="0">
    <w:nsid w:val="4EE57EAF"/>
    <w:multiLevelType w:val="multilevel"/>
    <w:tmpl w:val="A594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142B4E"/>
    <w:multiLevelType w:val="multilevel"/>
    <w:tmpl w:val="1E98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46" w15:restartNumberingAfterBreak="0">
    <w:nsid w:val="5A890AAF"/>
    <w:multiLevelType w:val="multilevel"/>
    <w:tmpl w:val="B37C3B20"/>
    <w:numStyleLink w:val="VietasUNIR"/>
  </w:abstractNum>
  <w:abstractNum w:abstractNumId="47" w15:restartNumberingAfterBreak="0">
    <w:nsid w:val="5A984644"/>
    <w:multiLevelType w:val="hybridMultilevel"/>
    <w:tmpl w:val="9DE00204"/>
    <w:lvl w:ilvl="0" w:tplc="0403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8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9" w15:restartNumberingAfterBreak="0">
    <w:nsid w:val="668E17D7"/>
    <w:multiLevelType w:val="multilevel"/>
    <w:tmpl w:val="9AFE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4218A6"/>
    <w:multiLevelType w:val="multilevel"/>
    <w:tmpl w:val="B37C3B20"/>
    <w:numStyleLink w:val="VietasUNIR"/>
  </w:abstractNum>
  <w:abstractNum w:abstractNumId="51" w15:restartNumberingAfterBreak="0">
    <w:nsid w:val="67BA2485"/>
    <w:multiLevelType w:val="multilevel"/>
    <w:tmpl w:val="69DC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68777B17"/>
    <w:multiLevelType w:val="hybridMultilevel"/>
    <w:tmpl w:val="A21E062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3AF8F8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4134E19"/>
    <w:multiLevelType w:val="multilevel"/>
    <w:tmpl w:val="9E10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B675C3"/>
    <w:multiLevelType w:val="multilevel"/>
    <w:tmpl w:val="B37C3B20"/>
    <w:numStyleLink w:val="VietasUNIR"/>
  </w:abstractNum>
  <w:abstractNum w:abstractNumId="56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56032493">
    <w:abstractNumId w:val="45"/>
  </w:num>
  <w:num w:numId="2" w16cid:durableId="364254474">
    <w:abstractNumId w:val="40"/>
  </w:num>
  <w:num w:numId="3" w16cid:durableId="871040193">
    <w:abstractNumId w:val="25"/>
  </w:num>
  <w:num w:numId="4" w16cid:durableId="449592198">
    <w:abstractNumId w:val="26"/>
  </w:num>
  <w:num w:numId="5" w16cid:durableId="1708602911">
    <w:abstractNumId w:val="18"/>
  </w:num>
  <w:num w:numId="6" w16cid:durableId="1893156615">
    <w:abstractNumId w:val="27"/>
  </w:num>
  <w:num w:numId="7" w16cid:durableId="1549952790">
    <w:abstractNumId w:val="44"/>
  </w:num>
  <w:num w:numId="8" w16cid:durableId="1139112886">
    <w:abstractNumId w:val="46"/>
  </w:num>
  <w:num w:numId="9" w16cid:durableId="1760516552">
    <w:abstractNumId w:val="52"/>
  </w:num>
  <w:num w:numId="10" w16cid:durableId="438792730">
    <w:abstractNumId w:val="10"/>
    <w:lvlOverride w:ilvl="0">
      <w:lvl w:ilvl="0">
        <w:start w:val="1"/>
        <w:numFmt w:val="decimal"/>
        <w:pStyle w:val="ListanumeradaTEST"/>
        <w:lvlText w:val="%1."/>
        <w:lvlJc w:val="center"/>
        <w:pPr>
          <w:ind w:left="284" w:hanging="284"/>
        </w:pPr>
      </w:lvl>
    </w:lvlOverride>
  </w:num>
  <w:num w:numId="11" w16cid:durableId="2145924669">
    <w:abstractNumId w:val="56"/>
  </w:num>
  <w:num w:numId="12" w16cid:durableId="512380682">
    <w:abstractNumId w:val="28"/>
  </w:num>
  <w:num w:numId="13" w16cid:durableId="1798834358">
    <w:abstractNumId w:val="55"/>
  </w:num>
  <w:num w:numId="14" w16cid:durableId="1756512623">
    <w:abstractNumId w:val="37"/>
  </w:num>
  <w:num w:numId="15" w16cid:durableId="1279869855">
    <w:abstractNumId w:val="16"/>
  </w:num>
  <w:num w:numId="16" w16cid:durableId="1121611781">
    <w:abstractNumId w:val="33"/>
  </w:num>
  <w:num w:numId="17" w16cid:durableId="219024685">
    <w:abstractNumId w:val="31"/>
  </w:num>
  <w:num w:numId="18" w16cid:durableId="191236229">
    <w:abstractNumId w:val="12"/>
  </w:num>
  <w:num w:numId="19" w16cid:durableId="1910843814">
    <w:abstractNumId w:val="50"/>
  </w:num>
  <w:num w:numId="20" w16cid:durableId="999962926">
    <w:abstractNumId w:val="36"/>
  </w:num>
  <w:num w:numId="21" w16cid:durableId="197816318">
    <w:abstractNumId w:val="4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72497430">
    <w:abstractNumId w:val="50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22221684">
    <w:abstractNumId w:val="34"/>
  </w:num>
  <w:num w:numId="24" w16cid:durableId="1579635092">
    <w:abstractNumId w:val="14"/>
  </w:num>
  <w:num w:numId="25" w16cid:durableId="1755740408">
    <w:abstractNumId w:val="15"/>
  </w:num>
  <w:num w:numId="26" w16cid:durableId="1882008986">
    <w:abstractNumId w:val="11"/>
  </w:num>
  <w:num w:numId="27" w16cid:durableId="11636233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05861403">
    <w:abstractNumId w:val="8"/>
  </w:num>
  <w:num w:numId="29" w16cid:durableId="525944872">
    <w:abstractNumId w:val="3"/>
  </w:num>
  <w:num w:numId="30" w16cid:durableId="2127235247">
    <w:abstractNumId w:val="2"/>
  </w:num>
  <w:num w:numId="31" w16cid:durableId="362681373">
    <w:abstractNumId w:val="1"/>
  </w:num>
  <w:num w:numId="32" w16cid:durableId="376273534">
    <w:abstractNumId w:val="0"/>
  </w:num>
  <w:num w:numId="33" w16cid:durableId="2083789219">
    <w:abstractNumId w:val="9"/>
  </w:num>
  <w:num w:numId="34" w16cid:durableId="1841583590">
    <w:abstractNumId w:val="7"/>
  </w:num>
  <w:num w:numId="35" w16cid:durableId="1239248894">
    <w:abstractNumId w:val="6"/>
  </w:num>
  <w:num w:numId="36" w16cid:durableId="300616570">
    <w:abstractNumId w:val="5"/>
  </w:num>
  <w:num w:numId="37" w16cid:durableId="1664822480">
    <w:abstractNumId w:val="4"/>
  </w:num>
  <w:num w:numId="38" w16cid:durableId="339044252">
    <w:abstractNumId w:val="48"/>
  </w:num>
  <w:num w:numId="39" w16cid:durableId="1046102750">
    <w:abstractNumId w:val="13"/>
  </w:num>
  <w:num w:numId="40" w16cid:durableId="1607542469">
    <w:abstractNumId w:val="23"/>
  </w:num>
  <w:num w:numId="41" w16cid:durableId="1671326946">
    <w:abstractNumId w:val="21"/>
  </w:num>
  <w:num w:numId="42" w16cid:durableId="120998338">
    <w:abstractNumId w:val="32"/>
  </w:num>
  <w:num w:numId="43" w16cid:durableId="652836391">
    <w:abstractNumId w:val="53"/>
  </w:num>
  <w:num w:numId="44" w16cid:durableId="1174757160">
    <w:abstractNumId w:val="20"/>
  </w:num>
  <w:num w:numId="45" w16cid:durableId="1067412954">
    <w:abstractNumId w:val="30"/>
  </w:num>
  <w:num w:numId="46" w16cid:durableId="726730739">
    <w:abstractNumId w:val="17"/>
  </w:num>
  <w:num w:numId="47" w16cid:durableId="1472479865">
    <w:abstractNumId w:val="47"/>
  </w:num>
  <w:num w:numId="48" w16cid:durableId="1529560229">
    <w:abstractNumId w:val="54"/>
  </w:num>
  <w:num w:numId="49" w16cid:durableId="1807311824">
    <w:abstractNumId w:val="49"/>
  </w:num>
  <w:num w:numId="50" w16cid:durableId="1423453412">
    <w:abstractNumId w:val="39"/>
  </w:num>
  <w:num w:numId="51" w16cid:durableId="869876395">
    <w:abstractNumId w:val="51"/>
  </w:num>
  <w:num w:numId="52" w16cid:durableId="466552503">
    <w:abstractNumId w:val="42"/>
  </w:num>
  <w:num w:numId="53" w16cid:durableId="1377897696">
    <w:abstractNumId w:val="38"/>
  </w:num>
  <w:num w:numId="54" w16cid:durableId="1366444368">
    <w:abstractNumId w:val="19"/>
  </w:num>
  <w:num w:numId="55" w16cid:durableId="1842164527">
    <w:abstractNumId w:val="29"/>
  </w:num>
  <w:num w:numId="56" w16cid:durableId="1493444704">
    <w:abstractNumId w:val="24"/>
  </w:num>
  <w:num w:numId="57" w16cid:durableId="443967419">
    <w:abstractNumId w:val="43"/>
  </w:num>
  <w:num w:numId="58" w16cid:durableId="105080319">
    <w:abstractNumId w:val="35"/>
  </w:num>
  <w:num w:numId="59" w16cid:durableId="1052464567">
    <w:abstractNumId w:val="22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lena Martinez Garrido">
    <w15:presenceInfo w15:providerId="Windows Live" w15:userId="25f95624b177c60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070C4"/>
    <w:rsid w:val="00016003"/>
    <w:rsid w:val="000241BC"/>
    <w:rsid w:val="00025684"/>
    <w:rsid w:val="00031C55"/>
    <w:rsid w:val="000374E2"/>
    <w:rsid w:val="00043827"/>
    <w:rsid w:val="000458EE"/>
    <w:rsid w:val="0005157B"/>
    <w:rsid w:val="0005178B"/>
    <w:rsid w:val="00052974"/>
    <w:rsid w:val="00054229"/>
    <w:rsid w:val="00055C12"/>
    <w:rsid w:val="00056A2A"/>
    <w:rsid w:val="0005762B"/>
    <w:rsid w:val="00061750"/>
    <w:rsid w:val="00061BDC"/>
    <w:rsid w:val="000628C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5914"/>
    <w:rsid w:val="000A78DB"/>
    <w:rsid w:val="000B3104"/>
    <w:rsid w:val="000B5029"/>
    <w:rsid w:val="000B6012"/>
    <w:rsid w:val="000C3AF0"/>
    <w:rsid w:val="000C4BFF"/>
    <w:rsid w:val="000C4D94"/>
    <w:rsid w:val="000C68D7"/>
    <w:rsid w:val="000D210C"/>
    <w:rsid w:val="000D5FB9"/>
    <w:rsid w:val="000D5FEE"/>
    <w:rsid w:val="000D6C9F"/>
    <w:rsid w:val="000D6CAE"/>
    <w:rsid w:val="000E156D"/>
    <w:rsid w:val="000E4EDE"/>
    <w:rsid w:val="000F1349"/>
    <w:rsid w:val="000F1443"/>
    <w:rsid w:val="000F3E8C"/>
    <w:rsid w:val="000F518E"/>
    <w:rsid w:val="000F5384"/>
    <w:rsid w:val="000F5592"/>
    <w:rsid w:val="000F7E60"/>
    <w:rsid w:val="001028C4"/>
    <w:rsid w:val="001060E2"/>
    <w:rsid w:val="00112B38"/>
    <w:rsid w:val="001136C4"/>
    <w:rsid w:val="00121960"/>
    <w:rsid w:val="001263A0"/>
    <w:rsid w:val="001337B6"/>
    <w:rsid w:val="001353D2"/>
    <w:rsid w:val="00137CF9"/>
    <w:rsid w:val="0015223B"/>
    <w:rsid w:val="00156BC9"/>
    <w:rsid w:val="00157EC1"/>
    <w:rsid w:val="00161226"/>
    <w:rsid w:val="0016326F"/>
    <w:rsid w:val="00163FBB"/>
    <w:rsid w:val="001658DF"/>
    <w:rsid w:val="0017134A"/>
    <w:rsid w:val="00173488"/>
    <w:rsid w:val="0018310A"/>
    <w:rsid w:val="00183C3F"/>
    <w:rsid w:val="00193D6D"/>
    <w:rsid w:val="0019470A"/>
    <w:rsid w:val="00194B1F"/>
    <w:rsid w:val="00196EB1"/>
    <w:rsid w:val="001A1004"/>
    <w:rsid w:val="001A7B6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683"/>
    <w:rsid w:val="001F69FE"/>
    <w:rsid w:val="001F6C80"/>
    <w:rsid w:val="00200BEB"/>
    <w:rsid w:val="0020102E"/>
    <w:rsid w:val="002036CA"/>
    <w:rsid w:val="002039FC"/>
    <w:rsid w:val="00214780"/>
    <w:rsid w:val="0021511C"/>
    <w:rsid w:val="00216EDD"/>
    <w:rsid w:val="002244C2"/>
    <w:rsid w:val="00227368"/>
    <w:rsid w:val="00227800"/>
    <w:rsid w:val="00227C20"/>
    <w:rsid w:val="0023647C"/>
    <w:rsid w:val="00237569"/>
    <w:rsid w:val="00241E15"/>
    <w:rsid w:val="0024674E"/>
    <w:rsid w:val="00250A71"/>
    <w:rsid w:val="00252AE5"/>
    <w:rsid w:val="00253DA9"/>
    <w:rsid w:val="00260B21"/>
    <w:rsid w:val="002619F8"/>
    <w:rsid w:val="00262055"/>
    <w:rsid w:val="00265403"/>
    <w:rsid w:val="00271E65"/>
    <w:rsid w:val="00273725"/>
    <w:rsid w:val="00277FAF"/>
    <w:rsid w:val="002822D0"/>
    <w:rsid w:val="002845C6"/>
    <w:rsid w:val="002A4F10"/>
    <w:rsid w:val="002A6286"/>
    <w:rsid w:val="002A68D9"/>
    <w:rsid w:val="002B1E94"/>
    <w:rsid w:val="002B25F0"/>
    <w:rsid w:val="002B4308"/>
    <w:rsid w:val="002B5D04"/>
    <w:rsid w:val="002C037B"/>
    <w:rsid w:val="002C0E95"/>
    <w:rsid w:val="002C233B"/>
    <w:rsid w:val="002C2425"/>
    <w:rsid w:val="002C34D9"/>
    <w:rsid w:val="002C467C"/>
    <w:rsid w:val="002C59F8"/>
    <w:rsid w:val="002C64FB"/>
    <w:rsid w:val="002D6940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7020"/>
    <w:rsid w:val="0032751A"/>
    <w:rsid w:val="00327C72"/>
    <w:rsid w:val="00327E03"/>
    <w:rsid w:val="00330DE5"/>
    <w:rsid w:val="00330EBD"/>
    <w:rsid w:val="003369FB"/>
    <w:rsid w:val="0034363F"/>
    <w:rsid w:val="003459CF"/>
    <w:rsid w:val="00351EC2"/>
    <w:rsid w:val="00354856"/>
    <w:rsid w:val="003559DD"/>
    <w:rsid w:val="00361683"/>
    <w:rsid w:val="00363246"/>
    <w:rsid w:val="00363DED"/>
    <w:rsid w:val="0037683C"/>
    <w:rsid w:val="00394A34"/>
    <w:rsid w:val="00394AD5"/>
    <w:rsid w:val="003979FB"/>
    <w:rsid w:val="003A10AB"/>
    <w:rsid w:val="003A4543"/>
    <w:rsid w:val="003B0E67"/>
    <w:rsid w:val="003C2275"/>
    <w:rsid w:val="003D0269"/>
    <w:rsid w:val="003D16DC"/>
    <w:rsid w:val="003D5C2C"/>
    <w:rsid w:val="003D5F24"/>
    <w:rsid w:val="003E6E97"/>
    <w:rsid w:val="003F24D7"/>
    <w:rsid w:val="003F41A7"/>
    <w:rsid w:val="004118A4"/>
    <w:rsid w:val="00411CF9"/>
    <w:rsid w:val="0041334B"/>
    <w:rsid w:val="00413379"/>
    <w:rsid w:val="00414382"/>
    <w:rsid w:val="004164E8"/>
    <w:rsid w:val="0041689C"/>
    <w:rsid w:val="004172DF"/>
    <w:rsid w:val="00420AC0"/>
    <w:rsid w:val="0042473F"/>
    <w:rsid w:val="00437389"/>
    <w:rsid w:val="00446F8B"/>
    <w:rsid w:val="004476D3"/>
    <w:rsid w:val="004478AD"/>
    <w:rsid w:val="00455BA7"/>
    <w:rsid w:val="004567F9"/>
    <w:rsid w:val="00457E0B"/>
    <w:rsid w:val="00466671"/>
    <w:rsid w:val="0046796B"/>
    <w:rsid w:val="00470F22"/>
    <w:rsid w:val="0047123B"/>
    <w:rsid w:val="00471424"/>
    <w:rsid w:val="00475EFA"/>
    <w:rsid w:val="004966B9"/>
    <w:rsid w:val="00497C87"/>
    <w:rsid w:val="004A1A48"/>
    <w:rsid w:val="004A2922"/>
    <w:rsid w:val="004B1328"/>
    <w:rsid w:val="004B2B82"/>
    <w:rsid w:val="004B3822"/>
    <w:rsid w:val="004B58FF"/>
    <w:rsid w:val="004B7249"/>
    <w:rsid w:val="004C1059"/>
    <w:rsid w:val="004C760A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66C0"/>
    <w:rsid w:val="00537516"/>
    <w:rsid w:val="005463ED"/>
    <w:rsid w:val="00551A69"/>
    <w:rsid w:val="00555B62"/>
    <w:rsid w:val="00564587"/>
    <w:rsid w:val="00566823"/>
    <w:rsid w:val="00571D5E"/>
    <w:rsid w:val="00574B3D"/>
    <w:rsid w:val="00575580"/>
    <w:rsid w:val="0058112D"/>
    <w:rsid w:val="00585021"/>
    <w:rsid w:val="005B0856"/>
    <w:rsid w:val="005B0CDF"/>
    <w:rsid w:val="005B1961"/>
    <w:rsid w:val="005C1D3F"/>
    <w:rsid w:val="005C4BE9"/>
    <w:rsid w:val="005C520D"/>
    <w:rsid w:val="005D2544"/>
    <w:rsid w:val="005E0B6D"/>
    <w:rsid w:val="005E0C01"/>
    <w:rsid w:val="005F240A"/>
    <w:rsid w:val="005F2851"/>
    <w:rsid w:val="005F4C20"/>
    <w:rsid w:val="006008F8"/>
    <w:rsid w:val="00601320"/>
    <w:rsid w:val="00601C5A"/>
    <w:rsid w:val="00605D5B"/>
    <w:rsid w:val="00607F39"/>
    <w:rsid w:val="00611689"/>
    <w:rsid w:val="00612C9C"/>
    <w:rsid w:val="00613DB8"/>
    <w:rsid w:val="00616F01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1E3"/>
    <w:rsid w:val="006535C1"/>
    <w:rsid w:val="00656B43"/>
    <w:rsid w:val="006613F9"/>
    <w:rsid w:val="00664F67"/>
    <w:rsid w:val="0066551B"/>
    <w:rsid w:val="006825B0"/>
    <w:rsid w:val="0069518C"/>
    <w:rsid w:val="00697E5F"/>
    <w:rsid w:val="006A210E"/>
    <w:rsid w:val="006A5E33"/>
    <w:rsid w:val="006B3751"/>
    <w:rsid w:val="006B683F"/>
    <w:rsid w:val="006C52A0"/>
    <w:rsid w:val="006C79D4"/>
    <w:rsid w:val="006C7BB7"/>
    <w:rsid w:val="006D1870"/>
    <w:rsid w:val="006E3957"/>
    <w:rsid w:val="006E3CE6"/>
    <w:rsid w:val="006E550F"/>
    <w:rsid w:val="006F170A"/>
    <w:rsid w:val="006F550A"/>
    <w:rsid w:val="006F5606"/>
    <w:rsid w:val="006F7317"/>
    <w:rsid w:val="006F79F1"/>
    <w:rsid w:val="00702914"/>
    <w:rsid w:val="00703B95"/>
    <w:rsid w:val="00710277"/>
    <w:rsid w:val="00710705"/>
    <w:rsid w:val="00711B4D"/>
    <w:rsid w:val="00711E4C"/>
    <w:rsid w:val="00712024"/>
    <w:rsid w:val="00717A20"/>
    <w:rsid w:val="007211EF"/>
    <w:rsid w:val="0072465C"/>
    <w:rsid w:val="00732FC1"/>
    <w:rsid w:val="0073726F"/>
    <w:rsid w:val="00737EBF"/>
    <w:rsid w:val="007425E0"/>
    <w:rsid w:val="00744D29"/>
    <w:rsid w:val="00745244"/>
    <w:rsid w:val="00747CE3"/>
    <w:rsid w:val="00747E13"/>
    <w:rsid w:val="00756CD6"/>
    <w:rsid w:val="00756E1A"/>
    <w:rsid w:val="00757566"/>
    <w:rsid w:val="007613BE"/>
    <w:rsid w:val="007616AA"/>
    <w:rsid w:val="00770742"/>
    <w:rsid w:val="00771960"/>
    <w:rsid w:val="007731A9"/>
    <w:rsid w:val="00780124"/>
    <w:rsid w:val="007802EB"/>
    <w:rsid w:val="00790FC0"/>
    <w:rsid w:val="00793399"/>
    <w:rsid w:val="00795B73"/>
    <w:rsid w:val="00797EF2"/>
    <w:rsid w:val="007A0245"/>
    <w:rsid w:val="007A0588"/>
    <w:rsid w:val="007A07E0"/>
    <w:rsid w:val="007A34FD"/>
    <w:rsid w:val="007B115F"/>
    <w:rsid w:val="007B15E7"/>
    <w:rsid w:val="007B66DD"/>
    <w:rsid w:val="007C0D92"/>
    <w:rsid w:val="007C1E0E"/>
    <w:rsid w:val="007C2659"/>
    <w:rsid w:val="007C5E56"/>
    <w:rsid w:val="007C7EC3"/>
    <w:rsid w:val="007D00F6"/>
    <w:rsid w:val="007D09BC"/>
    <w:rsid w:val="007D1B3E"/>
    <w:rsid w:val="007D1E15"/>
    <w:rsid w:val="007D608C"/>
    <w:rsid w:val="007E4840"/>
    <w:rsid w:val="007F3640"/>
    <w:rsid w:val="007F691E"/>
    <w:rsid w:val="0080425D"/>
    <w:rsid w:val="00804A12"/>
    <w:rsid w:val="008127E5"/>
    <w:rsid w:val="008155DA"/>
    <w:rsid w:val="00816222"/>
    <w:rsid w:val="00816578"/>
    <w:rsid w:val="00816888"/>
    <w:rsid w:val="00824C6E"/>
    <w:rsid w:val="00824D80"/>
    <w:rsid w:val="00824F89"/>
    <w:rsid w:val="00826A4C"/>
    <w:rsid w:val="0083178B"/>
    <w:rsid w:val="00832903"/>
    <w:rsid w:val="00833530"/>
    <w:rsid w:val="00833C58"/>
    <w:rsid w:val="008340B7"/>
    <w:rsid w:val="0083542E"/>
    <w:rsid w:val="0083582D"/>
    <w:rsid w:val="00842B1C"/>
    <w:rsid w:val="00845825"/>
    <w:rsid w:val="0084594A"/>
    <w:rsid w:val="00845D5C"/>
    <w:rsid w:val="00847725"/>
    <w:rsid w:val="008600A0"/>
    <w:rsid w:val="008617D7"/>
    <w:rsid w:val="00866DDC"/>
    <w:rsid w:val="00866EC2"/>
    <w:rsid w:val="008745E4"/>
    <w:rsid w:val="008807AF"/>
    <w:rsid w:val="00880E60"/>
    <w:rsid w:val="0088459B"/>
    <w:rsid w:val="00884622"/>
    <w:rsid w:val="00891011"/>
    <w:rsid w:val="00891308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8F311B"/>
    <w:rsid w:val="008F6584"/>
    <w:rsid w:val="00902D15"/>
    <w:rsid w:val="009079FA"/>
    <w:rsid w:val="00912673"/>
    <w:rsid w:val="00917348"/>
    <w:rsid w:val="00921AE9"/>
    <w:rsid w:val="009233B9"/>
    <w:rsid w:val="00934BAB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63CD"/>
    <w:rsid w:val="00976D1B"/>
    <w:rsid w:val="0098228A"/>
    <w:rsid w:val="009848BD"/>
    <w:rsid w:val="00987B51"/>
    <w:rsid w:val="00990F55"/>
    <w:rsid w:val="009959A6"/>
    <w:rsid w:val="00996A31"/>
    <w:rsid w:val="009A1065"/>
    <w:rsid w:val="009A1CF1"/>
    <w:rsid w:val="009A2458"/>
    <w:rsid w:val="009A3C7C"/>
    <w:rsid w:val="009A4CF7"/>
    <w:rsid w:val="009B0764"/>
    <w:rsid w:val="009B111E"/>
    <w:rsid w:val="009B417C"/>
    <w:rsid w:val="009B61E5"/>
    <w:rsid w:val="009B66AE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674"/>
    <w:rsid w:val="009E1948"/>
    <w:rsid w:val="009E76FD"/>
    <w:rsid w:val="009F18E9"/>
    <w:rsid w:val="009F7B85"/>
    <w:rsid w:val="00A03B7E"/>
    <w:rsid w:val="00A17600"/>
    <w:rsid w:val="00A20F71"/>
    <w:rsid w:val="00A22085"/>
    <w:rsid w:val="00A232E5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0F98"/>
    <w:rsid w:val="00A71D6D"/>
    <w:rsid w:val="00A76AA2"/>
    <w:rsid w:val="00A76D45"/>
    <w:rsid w:val="00A77244"/>
    <w:rsid w:val="00A80F5B"/>
    <w:rsid w:val="00A838E4"/>
    <w:rsid w:val="00A839D0"/>
    <w:rsid w:val="00A86F97"/>
    <w:rsid w:val="00A8750C"/>
    <w:rsid w:val="00A9140C"/>
    <w:rsid w:val="00A944F6"/>
    <w:rsid w:val="00A969BA"/>
    <w:rsid w:val="00A976B2"/>
    <w:rsid w:val="00AA3D8B"/>
    <w:rsid w:val="00AB0629"/>
    <w:rsid w:val="00AB2DE2"/>
    <w:rsid w:val="00AB5194"/>
    <w:rsid w:val="00AC4102"/>
    <w:rsid w:val="00AD3CC7"/>
    <w:rsid w:val="00AD4F85"/>
    <w:rsid w:val="00AD5510"/>
    <w:rsid w:val="00AF1487"/>
    <w:rsid w:val="00AF501E"/>
    <w:rsid w:val="00AF5B79"/>
    <w:rsid w:val="00B0196C"/>
    <w:rsid w:val="00B02EF8"/>
    <w:rsid w:val="00B03326"/>
    <w:rsid w:val="00B0793D"/>
    <w:rsid w:val="00B10BBE"/>
    <w:rsid w:val="00B1656E"/>
    <w:rsid w:val="00B22F15"/>
    <w:rsid w:val="00B309CA"/>
    <w:rsid w:val="00B31EC8"/>
    <w:rsid w:val="00B407F7"/>
    <w:rsid w:val="00B417CD"/>
    <w:rsid w:val="00B5171A"/>
    <w:rsid w:val="00B61D67"/>
    <w:rsid w:val="00B67479"/>
    <w:rsid w:val="00B70F9D"/>
    <w:rsid w:val="00B71FC6"/>
    <w:rsid w:val="00B72D4C"/>
    <w:rsid w:val="00B8087F"/>
    <w:rsid w:val="00B808D3"/>
    <w:rsid w:val="00B814A5"/>
    <w:rsid w:val="00B82328"/>
    <w:rsid w:val="00B96994"/>
    <w:rsid w:val="00BA172C"/>
    <w:rsid w:val="00BA17EF"/>
    <w:rsid w:val="00BA38FB"/>
    <w:rsid w:val="00BB523D"/>
    <w:rsid w:val="00BC2EB1"/>
    <w:rsid w:val="00BD13D7"/>
    <w:rsid w:val="00BD5A16"/>
    <w:rsid w:val="00BD614C"/>
    <w:rsid w:val="00BE0B3B"/>
    <w:rsid w:val="00BE0B57"/>
    <w:rsid w:val="00BE65ED"/>
    <w:rsid w:val="00BF1A17"/>
    <w:rsid w:val="00C006FD"/>
    <w:rsid w:val="00C01390"/>
    <w:rsid w:val="00C025D5"/>
    <w:rsid w:val="00C059ED"/>
    <w:rsid w:val="00C13A81"/>
    <w:rsid w:val="00C14AC2"/>
    <w:rsid w:val="00C16D13"/>
    <w:rsid w:val="00C222E6"/>
    <w:rsid w:val="00C26997"/>
    <w:rsid w:val="00C27904"/>
    <w:rsid w:val="00C27F9B"/>
    <w:rsid w:val="00C300BC"/>
    <w:rsid w:val="00C3398B"/>
    <w:rsid w:val="00C34C2E"/>
    <w:rsid w:val="00C35016"/>
    <w:rsid w:val="00C37777"/>
    <w:rsid w:val="00C446B8"/>
    <w:rsid w:val="00C4595C"/>
    <w:rsid w:val="00C45DEE"/>
    <w:rsid w:val="00C50246"/>
    <w:rsid w:val="00C67873"/>
    <w:rsid w:val="00C71FA7"/>
    <w:rsid w:val="00C831BD"/>
    <w:rsid w:val="00C8543E"/>
    <w:rsid w:val="00C870D5"/>
    <w:rsid w:val="00C876E4"/>
    <w:rsid w:val="00C92BE5"/>
    <w:rsid w:val="00CA2352"/>
    <w:rsid w:val="00CA4E9E"/>
    <w:rsid w:val="00CB506B"/>
    <w:rsid w:val="00CB5FA9"/>
    <w:rsid w:val="00CB6D79"/>
    <w:rsid w:val="00CB730E"/>
    <w:rsid w:val="00CC19EE"/>
    <w:rsid w:val="00CC22FD"/>
    <w:rsid w:val="00CC5415"/>
    <w:rsid w:val="00CC7CDF"/>
    <w:rsid w:val="00CD37FC"/>
    <w:rsid w:val="00CD3D49"/>
    <w:rsid w:val="00CD5253"/>
    <w:rsid w:val="00CD7181"/>
    <w:rsid w:val="00CE3504"/>
    <w:rsid w:val="00CE5B43"/>
    <w:rsid w:val="00CF1CAE"/>
    <w:rsid w:val="00CF21CD"/>
    <w:rsid w:val="00CF2718"/>
    <w:rsid w:val="00CF5047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6020D"/>
    <w:rsid w:val="00D65832"/>
    <w:rsid w:val="00D723DB"/>
    <w:rsid w:val="00D74023"/>
    <w:rsid w:val="00D741F6"/>
    <w:rsid w:val="00D76020"/>
    <w:rsid w:val="00D771BD"/>
    <w:rsid w:val="00D80DF0"/>
    <w:rsid w:val="00D901FA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D75F9"/>
    <w:rsid w:val="00DD7F96"/>
    <w:rsid w:val="00DE1440"/>
    <w:rsid w:val="00DE4211"/>
    <w:rsid w:val="00DE4822"/>
    <w:rsid w:val="00DF0BC0"/>
    <w:rsid w:val="00DF30F7"/>
    <w:rsid w:val="00DF4F22"/>
    <w:rsid w:val="00DF784B"/>
    <w:rsid w:val="00E00E03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A6A"/>
    <w:rsid w:val="00E54E03"/>
    <w:rsid w:val="00E62BDA"/>
    <w:rsid w:val="00E63F97"/>
    <w:rsid w:val="00E64B3C"/>
    <w:rsid w:val="00E65011"/>
    <w:rsid w:val="00E7167D"/>
    <w:rsid w:val="00E73C3E"/>
    <w:rsid w:val="00E745AB"/>
    <w:rsid w:val="00E75BB9"/>
    <w:rsid w:val="00E761A0"/>
    <w:rsid w:val="00E7645E"/>
    <w:rsid w:val="00E76C3D"/>
    <w:rsid w:val="00E771D7"/>
    <w:rsid w:val="00E85467"/>
    <w:rsid w:val="00E85931"/>
    <w:rsid w:val="00E8698C"/>
    <w:rsid w:val="00E9509A"/>
    <w:rsid w:val="00EA02E3"/>
    <w:rsid w:val="00EA52F6"/>
    <w:rsid w:val="00EA61E7"/>
    <w:rsid w:val="00EB17CF"/>
    <w:rsid w:val="00EB42DA"/>
    <w:rsid w:val="00EB4FA0"/>
    <w:rsid w:val="00EB5FE2"/>
    <w:rsid w:val="00EC1863"/>
    <w:rsid w:val="00EC2261"/>
    <w:rsid w:val="00EC3E25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2574E"/>
    <w:rsid w:val="00F26CA8"/>
    <w:rsid w:val="00F30751"/>
    <w:rsid w:val="00F339D6"/>
    <w:rsid w:val="00F36633"/>
    <w:rsid w:val="00F37058"/>
    <w:rsid w:val="00F415A3"/>
    <w:rsid w:val="00F4274A"/>
    <w:rsid w:val="00F46137"/>
    <w:rsid w:val="00F46F3D"/>
    <w:rsid w:val="00F5055C"/>
    <w:rsid w:val="00F51132"/>
    <w:rsid w:val="00F5258D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86FFC"/>
    <w:rsid w:val="00FA5FF9"/>
    <w:rsid w:val="00FB0A6F"/>
    <w:rsid w:val="00FB228C"/>
    <w:rsid w:val="00FB31B7"/>
    <w:rsid w:val="00FB6677"/>
    <w:rsid w:val="00FC4435"/>
    <w:rsid w:val="00FC582A"/>
    <w:rsid w:val="00FD1A84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1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71D5E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A232E5"/>
    <w:pPr>
      <w:numPr>
        <w:numId w:val="20"/>
      </w:numPr>
      <w:ind w:left="284" w:hanging="284"/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Apartado1">
    <w:name w:val="Titulo Apartado 1"/>
    <w:basedOn w:val="Normal"/>
    <w:next w:val="Normal"/>
    <w:uiPriority w:val="6"/>
    <w:rsid w:val="00804A12"/>
    <w:pPr>
      <w:jc w:val="left"/>
    </w:pPr>
    <w:rPr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571D5E"/>
    <w:rPr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C45DEE"/>
    <w:pPr>
      <w:pBdr>
        <w:top w:val="single" w:sz="4" w:space="4" w:color="333333"/>
        <w:bottom w:val="single" w:sz="4" w:space="1" w:color="333333"/>
      </w:pBdr>
      <w:shd w:val="clear" w:color="auto" w:fill="F2F2F2" w:themeFill="background1" w:themeFillShade="F2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C45DEE"/>
    <w:pPr>
      <w:pBdr>
        <w:top w:val="single" w:sz="4" w:space="4" w:color="333333"/>
        <w:bottom w:val="single" w:sz="4" w:space="0" w:color="333333"/>
      </w:pBdr>
      <w:jc w:val="center"/>
    </w:pPr>
    <w:rPr>
      <w:rFonts w:cs="UnitOT-Light"/>
      <w:szCs w:val="22"/>
    </w:r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804A12"/>
    <w:pPr>
      <w:numPr>
        <w:ilvl w:val="1"/>
        <w:numId w:val="44"/>
      </w:numPr>
      <w:ind w:left="851" w:hanging="284"/>
      <w:contextualSpacing/>
    </w:pPr>
  </w:style>
  <w:style w:type="paragraph" w:customStyle="1" w:styleId="ListanumeradaTEST">
    <w:name w:val="Lista numerada (TEST)"/>
    <w:basedOn w:val="Normal"/>
    <w:qFormat/>
    <w:rsid w:val="00804A12"/>
    <w:pPr>
      <w:numPr>
        <w:numId w:val="10"/>
      </w:numPr>
    </w:pPr>
  </w:style>
  <w:style w:type="paragraph" w:customStyle="1" w:styleId="Cdigo">
    <w:name w:val="Código"/>
    <w:basedOn w:val="Normal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tuloApartado3">
    <w:name w:val="Título Apartado 3"/>
    <w:basedOn w:val="Ttulo"/>
    <w:next w:val="Normal"/>
    <w:uiPriority w:val="9"/>
    <w:qFormat/>
    <w:rsid w:val="00A232E5"/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Ttulo">
    <w:name w:val="Title"/>
    <w:basedOn w:val="Normal"/>
    <w:next w:val="Normal"/>
    <w:link w:val="TtuloCar"/>
    <w:uiPriority w:val="1"/>
    <w:qFormat/>
    <w:rsid w:val="00571D5E"/>
    <w:rPr>
      <w:rFonts w:eastAsia="Calibri"/>
      <w:b/>
      <w:bCs/>
      <w:lang w:eastAsia="ja-JP"/>
    </w:rPr>
  </w:style>
  <w:style w:type="character" w:customStyle="1" w:styleId="TtuloCar">
    <w:name w:val="Título Car"/>
    <w:basedOn w:val="Fuentedeprrafopredeter"/>
    <w:link w:val="Ttulo"/>
    <w:uiPriority w:val="1"/>
    <w:rsid w:val="00571D5E"/>
    <w:rPr>
      <w:rFonts w:ascii="Calibri" w:eastAsia="Calibri" w:hAnsi="Calibri" w:cs="Times New Roman"/>
      <w:b/>
      <w:bCs/>
      <w:color w:val="333333"/>
      <w:sz w:val="24"/>
      <w:szCs w:val="24"/>
      <w:lang w:eastAsia="ja-JP"/>
    </w:rPr>
  </w:style>
  <w:style w:type="table" w:styleId="Tabladecuadrcula4">
    <w:name w:val="Grid Table 4"/>
    <w:basedOn w:val="Tablanormal"/>
    <w:uiPriority w:val="49"/>
    <w:rsid w:val="003979F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digofuenteinline">
    <w:name w:val="Código fuente inline"/>
    <w:basedOn w:val="CdigoHTML"/>
    <w:uiPriority w:val="1"/>
    <w:qFormat/>
    <w:rsid w:val="0047123B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rsid w:val="0047123B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qFormat/>
    <w:rsid w:val="009B41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17C"/>
    <w:rPr>
      <w:rFonts w:ascii="Calibri" w:hAnsi="Calibri" w:cs="Times New Roman"/>
      <w:color w:val="333333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4B1328"/>
    <w:rPr>
      <w:color w:val="954F72" w:themeColor="followedHyperlink"/>
      <w:u w:val="single"/>
    </w:rPr>
  </w:style>
  <w:style w:type="character" w:customStyle="1" w:styleId="positiondisplay">
    <w:name w:val="positiondisplay"/>
    <w:basedOn w:val="Fuentedeprrafopredeter"/>
    <w:rsid w:val="004B1328"/>
  </w:style>
  <w:style w:type="paragraph" w:styleId="HTMLconformatoprevio">
    <w:name w:val="HTML Preformatted"/>
    <w:basedOn w:val="Normal"/>
    <w:link w:val="HTMLconformatoprevioCar"/>
    <w:uiPriority w:val="99"/>
    <w:unhideWhenUsed/>
    <w:rsid w:val="00D760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76020"/>
    <w:rPr>
      <w:rFonts w:ascii="Courier New" w:hAnsi="Courier New" w:cs="Courier New"/>
      <w:sz w:val="20"/>
      <w:szCs w:val="20"/>
      <w:lang w:eastAsia="es-ES"/>
    </w:rPr>
  </w:style>
  <w:style w:type="character" w:styleId="Refdecomentario">
    <w:name w:val="annotation reference"/>
    <w:basedOn w:val="Fuentedeprrafopredeter"/>
    <w:uiPriority w:val="99"/>
    <w:rsid w:val="009E167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rsid w:val="009E167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E1674"/>
    <w:rPr>
      <w:rFonts w:ascii="Calibri" w:hAnsi="Calibri" w:cs="Times New Roman"/>
      <w:color w:val="333333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rsid w:val="009E167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rsid w:val="009E1674"/>
    <w:rPr>
      <w:rFonts w:ascii="Calibri" w:hAnsi="Calibri" w:cs="Times New Roman"/>
      <w:b/>
      <w:bCs/>
      <w:color w:val="333333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hyperlink" Target="https://genome.ucsc.edu/cgi-bin/hgTracks?db=hg38&amp;lastVirtModeType=default&amp;lastVirtModeExtraState=&amp;virtModeType=default&amp;virtMode=0&amp;nonVirtPosition=&amp;position=chr7%3A155799529%2D155812871&amp;hgsid=3585865419_RQI20bwQLsevtT26LBrjb4iNHAJG" TargetMode="External"/><Relationship Id="rId26" Type="http://schemas.openxmlformats.org/officeDocument/2006/relationships/hyperlink" Target="https://esefinder.ahc.umn.edu/cgi-bin/tools/ESE3/esefinder.cgi" TargetMode="External"/><Relationship Id="rId39" Type="http://schemas.openxmlformats.org/officeDocument/2006/relationships/hyperlink" Target="https://www.ncbi.nlm.nih.gov/gene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ebi.ac.uk/Tools/msa/clustalo/" TargetMode="External"/><Relationship Id="rId34" Type="http://schemas.openxmlformats.org/officeDocument/2006/relationships/hyperlink" Target="https://reactome.org/" TargetMode="External"/><Relationship Id="rId42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www.ensembl.org/Tools/VEP" TargetMode="External"/><Relationship Id="rId25" Type="http://schemas.openxmlformats.org/officeDocument/2006/relationships/hyperlink" Target="https://fruitfly.org/seq_tools/splice.html" TargetMode="External"/><Relationship Id="rId33" Type="http://schemas.openxmlformats.org/officeDocument/2006/relationships/hyperlink" Target="https://www.genome.jp/kegg/pathway.html" TargetMode="External"/><Relationship Id="rId38" Type="http://schemas.openxmlformats.org/officeDocument/2006/relationships/hyperlink" Target="https://www.omim.org/" TargetMode="Externa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openxmlformats.org/officeDocument/2006/relationships/hyperlink" Target="https://www.ncbi.nlm.nih.gov/protein/NP_002294.2" TargetMode="External"/><Relationship Id="rId29" Type="http://schemas.openxmlformats.org/officeDocument/2006/relationships/hyperlink" Target="https://www.omim.org/" TargetMode="External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www.uniprot.org/" TargetMode="External"/><Relationship Id="rId32" Type="http://schemas.openxmlformats.org/officeDocument/2006/relationships/hyperlink" Target="https://www.omim.org/entry/615995" TargetMode="External"/><Relationship Id="rId37" Type="http://schemas.openxmlformats.org/officeDocument/2006/relationships/hyperlink" Target="https://www.ncbi.nlm.nih.gov/snp/" TargetMode="External"/><Relationship Id="rId40" Type="http://schemas.openxmlformats.org/officeDocument/2006/relationships/image" Target="media/image3.jpeg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23" Type="http://schemas.openxmlformats.org/officeDocument/2006/relationships/hyperlink" Target="https://biomodel.uah.es/lab/cibertorio/analysis/trans.htm" TargetMode="External"/><Relationship Id="rId28" Type="http://schemas.openxmlformats.org/officeDocument/2006/relationships/hyperlink" Target="https://www.uniprot.org/" TargetMode="External"/><Relationship Id="rId36" Type="http://schemas.openxmlformats.org/officeDocument/2006/relationships/hyperlink" Target="https://www.ncbi.nlm.nih.gov/clinvar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://www.ncbi.nlm.nih.gov/nuccore/NM_000546.6" TargetMode="External"/><Relationship Id="rId31" Type="http://schemas.openxmlformats.org/officeDocument/2006/relationships/hyperlink" Target="https://www.omim.org/entry/257220" TargetMode="External"/><Relationship Id="rId44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Relationship Id="rId22" Type="http://schemas.openxmlformats.org/officeDocument/2006/relationships/hyperlink" Target="https://www.uniprot.org/" TargetMode="External"/><Relationship Id="rId27" Type="http://schemas.openxmlformats.org/officeDocument/2006/relationships/hyperlink" Target="https://cryp-skip.img.cas.cz/" TargetMode="External"/><Relationship Id="rId30" Type="http://schemas.openxmlformats.org/officeDocument/2006/relationships/hyperlink" Target="https://www.omim.org/entry/601808" TargetMode="External"/><Relationship Id="rId35" Type="http://schemas.openxmlformats.org/officeDocument/2006/relationships/hyperlink" Target="https://genome.ucsc.edu/cgi-bin/hgGateway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lcf76f155ced4ddcb4097134ff3c332f xmlns="27c1adeb-3674-457c-b08c-8a73f31b6e23">
      <Terms xmlns="http://schemas.microsoft.com/office/infopath/2007/PartnerControls"/>
    </lcf76f155ced4ddcb4097134ff3c332f>
    <MediaLengthInSeconds xmlns="27c1adeb-3674-457c-b08c-8a73f31b6e23" xsi:nil="true"/>
    <_Flow_SignoffStatus xmlns="27c1adeb-3674-457c-b08c-8a73f31b6e23" xsi:nil="true"/>
  </documentManagement>
</p:properties>
</file>

<file path=customXml/itemProps1.xml><?xml version="1.0" encoding="utf-8"?>
<ds:datastoreItem xmlns:ds="http://schemas.openxmlformats.org/officeDocument/2006/customXml" ds:itemID="{CB60F5D7-2AF4-4435-B21C-2D16F109A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0a70e875-3d35-4be2-921f-7117c31bab9b"/>
    <ds:schemaRef ds:uri="27c1adeb-3674-457c-b08c-8a73f31b6e23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12</Pages>
  <Words>2950</Words>
  <Characters>16227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Elena Martinez Garrido</cp:lastModifiedBy>
  <cp:revision>22</cp:revision>
  <cp:lastPrinted>2017-11-10T07:47:00Z</cp:lastPrinted>
  <dcterms:created xsi:type="dcterms:W3CDTF">2026-01-19T23:45:00Z</dcterms:created>
  <dcterms:modified xsi:type="dcterms:W3CDTF">2026-02-01T14:54:00Z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CRTarget">
    <vt:i4>-1</vt:i4>
  </property>
  <property fmtid="{D5CDD505-2E9C-101B-9397-08002B2CF9AE}" pid="4" name="MediaServiceImageTags">
    <vt:lpwstr/>
  </property>
  <property fmtid="{D5CDD505-2E9C-101B-9397-08002B2CF9AE}" pid="5" name="Order">
    <vt:r8>276600</vt:r8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GrammarlyDocumentId">
    <vt:lpwstr>0e8d4727-29c8-4259-bc20-4b3456be4e08</vt:lpwstr>
  </property>
</Properties>
</file>