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C67D" w14:textId="77777777" w:rsidR="006B1D12" w:rsidRDefault="006B1D12" w:rsidP="006B1D12">
      <w:pPr>
        <w:jc w:val="center"/>
        <w:rPr>
          <w:b/>
          <w:bCs/>
        </w:rPr>
      </w:pPr>
      <w:r w:rsidRPr="00E20975">
        <w:rPr>
          <w:b/>
          <w:bCs/>
        </w:rPr>
        <w:t>Preguntas sobre las actividades:</w:t>
      </w:r>
    </w:p>
    <w:p w14:paraId="50BAA321" w14:textId="77777777" w:rsidR="006B1D12" w:rsidRDefault="006B1D12" w:rsidP="006B1D12">
      <w:pPr>
        <w:pStyle w:val="ListanumeradaTEST"/>
      </w:pPr>
      <w:r>
        <w:t>Procesamiento de los datos (0,5 puntos):</w:t>
      </w:r>
    </w:p>
    <w:p w14:paraId="1692F98A" w14:textId="77777777" w:rsidR="006B1D12" w:rsidRDefault="006B1D12" w:rsidP="00B902C5">
      <w:pPr>
        <w:pStyle w:val="Vietasegundonivel"/>
        <w:numPr>
          <w:ilvl w:val="1"/>
          <w:numId w:val="4"/>
        </w:numPr>
      </w:pPr>
      <w:r>
        <w:t>¿Qué método habéis escogido para llevar a cabo la imputación de los datos? Razonad vuestra respuesta. (0,3 puntos).</w:t>
      </w:r>
    </w:p>
    <w:p w14:paraId="6B5109F3" w14:textId="6F6744A9" w:rsidR="006B1D12" w:rsidRPr="00F93817" w:rsidRDefault="006B1D12" w:rsidP="00F93817">
      <w:pPr>
        <w:rPr>
          <w:color w:val="4472C4" w:themeColor="accent1"/>
        </w:rPr>
      </w:pPr>
      <w:r w:rsidRPr="00F93817">
        <w:rPr>
          <w:color w:val="4472C4" w:themeColor="accent1"/>
        </w:rPr>
        <w:t xml:space="preserve">No se ha aplicado ninguna técnica de imputación de datos debido a que, tras la exploración inicial, se confirmó que el </w:t>
      </w:r>
      <w:proofErr w:type="spellStart"/>
      <w:r w:rsidRPr="00F93817">
        <w:rPr>
          <w:color w:val="4472C4" w:themeColor="accent1"/>
        </w:rPr>
        <w:t>dataset</w:t>
      </w:r>
      <w:proofErr w:type="spellEnd"/>
      <w:r w:rsidRPr="00F93817">
        <w:rPr>
          <w:color w:val="4472C4" w:themeColor="accent1"/>
        </w:rPr>
        <w:t xml:space="preserve"> no contenía </w:t>
      </w:r>
      <w:proofErr w:type="spellStart"/>
      <w:r w:rsidRPr="00F93817">
        <w:rPr>
          <w:color w:val="4472C4" w:themeColor="accent1"/>
        </w:rPr>
        <w:t>NAs</w:t>
      </w:r>
      <w:proofErr w:type="spellEnd"/>
      <w:r w:rsidRPr="00F93817">
        <w:rPr>
          <w:color w:val="4472C4" w:themeColor="accent1"/>
        </w:rPr>
        <w:t>.</w:t>
      </w:r>
    </w:p>
    <w:p w14:paraId="553950AA" w14:textId="77777777" w:rsidR="006B1D12" w:rsidRDefault="006B1D12" w:rsidP="00B902C5">
      <w:pPr>
        <w:pStyle w:val="Vietasegundonivel"/>
        <w:numPr>
          <w:ilvl w:val="1"/>
          <w:numId w:val="4"/>
        </w:numPr>
      </w:pPr>
      <w:r>
        <w:t>¿Habéis llevado a cabo algún otro tipo de procesamiento? Razonad vuestra respuesta. (0,2 puntos).</w:t>
      </w:r>
    </w:p>
    <w:p w14:paraId="329B0570" w14:textId="4ADF0999" w:rsidR="006B1D12" w:rsidRPr="00754E26" w:rsidRDefault="006B1D12" w:rsidP="006B1D12">
      <w:pPr>
        <w:rPr>
          <w:color w:val="4472C4" w:themeColor="accent1"/>
        </w:rPr>
      </w:pPr>
      <w:r w:rsidRPr="00754E26">
        <w:rPr>
          <w:color w:val="4472C4" w:themeColor="accent1"/>
        </w:rPr>
        <w:t>Durante la fase exploratoria de los datos, se observó que los valores de expresión oscilaban en un rango aproximado de 0 a 17 y presentaban una distribución bimodal (un pico en 0 y una campana alrededor de 10) con tendencia gaussiana en los valores positivos. Estas características indicaron que los datos ya habían sido sometidos a una transformación logarítmica, por lo que se decidió no aplicar una nueva transformación.</w:t>
      </w:r>
    </w:p>
    <w:p w14:paraId="419E5324" w14:textId="6884D4A7" w:rsidR="006B1D12" w:rsidRPr="00754E26" w:rsidRDefault="006B1D12" w:rsidP="006B1D12">
      <w:pPr>
        <w:rPr>
          <w:color w:val="4472C4" w:themeColor="accent1"/>
        </w:rPr>
      </w:pPr>
      <w:r w:rsidRPr="00754E26">
        <w:rPr>
          <w:color w:val="4472C4" w:themeColor="accent1"/>
        </w:rPr>
        <w:t xml:space="preserve">Posteriormente, tras observar la distribución bimodal de los datos, se analizó la presencia de ceros en el </w:t>
      </w:r>
      <w:proofErr w:type="spellStart"/>
      <w:r w:rsidRPr="00754E26">
        <w:rPr>
          <w:color w:val="4472C4" w:themeColor="accent1"/>
        </w:rPr>
        <w:t>dataset</w:t>
      </w:r>
      <w:proofErr w:type="spellEnd"/>
      <w:r w:rsidRPr="00754E26">
        <w:rPr>
          <w:color w:val="4472C4" w:themeColor="accent1"/>
        </w:rPr>
        <w:t>. Se procedió a filtrar aquellos genes que presentaban un porcentaje de ceros superior al 80%, considerando que estos valores corresponden a ausencia de expresión o limitaciones técnicas de detección y, por tanto, no aportarían información biológica relevante.</w:t>
      </w:r>
    </w:p>
    <w:p w14:paraId="71E86970" w14:textId="77777777" w:rsidR="006B1D12" w:rsidRPr="004F6E1A" w:rsidRDefault="006B1D12" w:rsidP="006B1D12">
      <w:r w:rsidRPr="00754E26">
        <w:rPr>
          <w:color w:val="4472C4" w:themeColor="accent1"/>
        </w:rPr>
        <w:t>Finalmente, se escalaron los niveles de expresión de cada gen, centrando cada variable en una media de 0 y una desviación estándar de 1. El objetivo fue homogeneizar las magnitudes para evitar que los genes con mayor expresión basal dominen el análisis, asegurando que todas las variables contribuyan equitativamente. Asimismo, este paso resulta fundamental para la aplicación posterior de determinados algoritmos basados en distancias y varianzas.</w:t>
      </w:r>
    </w:p>
    <w:p w14:paraId="6EAEB0D2" w14:textId="77777777" w:rsidR="006B1D12" w:rsidRDefault="006B1D12" w:rsidP="006B1D12">
      <w:pPr>
        <w:pStyle w:val="ListanumeradaTEST"/>
      </w:pPr>
      <w:r>
        <w:t>Métodos no supervisados (1 punto):</w:t>
      </w:r>
    </w:p>
    <w:p w14:paraId="6B838C6E" w14:textId="77777777" w:rsidR="006B1D12" w:rsidRDefault="006B1D12" w:rsidP="00B21566">
      <w:pPr>
        <w:pStyle w:val="Vietasegundonivel"/>
        <w:numPr>
          <w:ilvl w:val="1"/>
          <w:numId w:val="4"/>
        </w:numPr>
      </w:pPr>
      <w:r>
        <w:t>¿Cuál es el motivo por el cual habéis seleccionado estas técnicas de reducción de dimensionalidad? (0,3 puntos).</w:t>
      </w:r>
    </w:p>
    <w:p w14:paraId="675F6A1A" w14:textId="77777777" w:rsidR="006B1D12" w:rsidRDefault="006B1D12" w:rsidP="00B21566">
      <w:pPr>
        <w:pStyle w:val="Vietasegundonivel"/>
        <w:ind w:left="0" w:firstLine="0"/>
      </w:pPr>
      <w:r w:rsidRPr="00B21566">
        <w:rPr>
          <w:color w:val="4472C4" w:themeColor="accent1"/>
        </w:rPr>
        <w:t>Se ha elegido PCA como técnica de reducción de dimensionalidad lineal que intenta preservar la varianza global, aunque falla cuando la relación entre genes es compleja y no lineal pudiendo visualizar datos de manera amontonada. Por eso como segunda técnica se ha elegido t-SNE, una técnica de dimensionalidad no lineal que se utiliza para</w:t>
      </w:r>
      <w:r>
        <w:t xml:space="preserve"> </w:t>
      </w:r>
      <w:r w:rsidRPr="0076331B">
        <w:rPr>
          <w:color w:val="4472C4" w:themeColor="accent1"/>
        </w:rPr>
        <w:lastRenderedPageBreak/>
        <w:t>identificar subpoblaciones celulares que supera a muchas otras técnicas en visualización de datos.</w:t>
      </w:r>
    </w:p>
    <w:p w14:paraId="7F57DF16" w14:textId="3BD5A4EB" w:rsidR="0076331B" w:rsidRPr="00BA6119" w:rsidRDefault="006B1D12" w:rsidP="00BA6119">
      <w:pPr>
        <w:pStyle w:val="Vietasegundonivel"/>
        <w:numPr>
          <w:ilvl w:val="1"/>
          <w:numId w:val="4"/>
        </w:numPr>
      </w:pPr>
      <w:r>
        <w:t xml:space="preserve">¿Cuál es el motivo por el cual habéis seleccionado estas técnicas de </w:t>
      </w:r>
      <w:proofErr w:type="spellStart"/>
      <w:r>
        <w:t>clusterización</w:t>
      </w:r>
      <w:proofErr w:type="spellEnd"/>
      <w:r>
        <w:t>? (0,3 puntos).</w:t>
      </w:r>
    </w:p>
    <w:p w14:paraId="07BF3F48" w14:textId="027E3F48" w:rsidR="00BA6119" w:rsidRPr="0076331B" w:rsidRDefault="00BA6119" w:rsidP="00BA6119">
      <w:pPr>
        <w:pStyle w:val="Vietasegundonivel"/>
        <w:ind w:left="0" w:firstLine="0"/>
        <w:rPr>
          <w:color w:val="4472C4" w:themeColor="accent1"/>
        </w:rPr>
      </w:pPr>
      <w:r w:rsidRPr="00BA6119">
        <w:rPr>
          <w:color w:val="4472C4" w:themeColor="accent1"/>
        </w:rPr>
        <w:t>Se ha seleccionado K-</w:t>
      </w:r>
      <w:proofErr w:type="spellStart"/>
      <w:r w:rsidRPr="00BA6119">
        <w:rPr>
          <w:color w:val="4472C4" w:themeColor="accent1"/>
        </w:rPr>
        <w:t>means</w:t>
      </w:r>
      <w:proofErr w:type="spellEnd"/>
      <w:r w:rsidRPr="00BA6119">
        <w:rPr>
          <w:color w:val="4472C4" w:themeColor="accent1"/>
        </w:rPr>
        <w:t xml:space="preserve"> como técnica de </w:t>
      </w:r>
      <w:proofErr w:type="spellStart"/>
      <w:r>
        <w:rPr>
          <w:color w:val="4472C4" w:themeColor="accent1"/>
        </w:rPr>
        <w:t>clusterización</w:t>
      </w:r>
      <w:proofErr w:type="spellEnd"/>
      <w:r w:rsidRPr="00BA6119">
        <w:rPr>
          <w:color w:val="4472C4" w:themeColor="accent1"/>
        </w:rPr>
        <w:t xml:space="preserve"> por su eficiencia computacional y simplicidad, permitiendo agrupar las muestras en un número predefinido de </w:t>
      </w:r>
      <w:proofErr w:type="spellStart"/>
      <w:r w:rsidRPr="00BA6119">
        <w:rPr>
          <w:color w:val="4472C4" w:themeColor="accent1"/>
        </w:rPr>
        <w:t>clústers</w:t>
      </w:r>
      <w:proofErr w:type="spellEnd"/>
      <w:r w:rsidRPr="00BA6119">
        <w:rPr>
          <w:color w:val="4472C4" w:themeColor="accent1"/>
        </w:rPr>
        <w:t xml:space="preserve"> basándose en la distancia a los centroides. </w:t>
      </w:r>
      <w:r>
        <w:rPr>
          <w:color w:val="4472C4" w:themeColor="accent1"/>
        </w:rPr>
        <w:t>Además</w:t>
      </w:r>
      <w:r w:rsidRPr="00BA6119">
        <w:rPr>
          <w:color w:val="4472C4" w:themeColor="accent1"/>
        </w:rPr>
        <w:t xml:space="preserve">, se ha elegido la </w:t>
      </w:r>
      <w:proofErr w:type="spellStart"/>
      <w:r>
        <w:rPr>
          <w:color w:val="4472C4" w:themeColor="accent1"/>
        </w:rPr>
        <w:t>c</w:t>
      </w:r>
      <w:r w:rsidRPr="00BA6119">
        <w:rPr>
          <w:color w:val="4472C4" w:themeColor="accent1"/>
        </w:rPr>
        <w:t>lusterización</w:t>
      </w:r>
      <w:proofErr w:type="spellEnd"/>
      <w:r w:rsidRPr="00BA6119">
        <w:rPr>
          <w:color w:val="4472C4" w:themeColor="accent1"/>
        </w:rPr>
        <w:t xml:space="preserve"> </w:t>
      </w:r>
      <w:r>
        <w:rPr>
          <w:color w:val="4472C4" w:themeColor="accent1"/>
        </w:rPr>
        <w:t>j</w:t>
      </w:r>
      <w:r w:rsidRPr="00BA6119">
        <w:rPr>
          <w:color w:val="4472C4" w:themeColor="accent1"/>
        </w:rPr>
        <w:t>erárquica porque, a diferencia de K-</w:t>
      </w:r>
      <w:proofErr w:type="spellStart"/>
      <w:r w:rsidRPr="00BA6119">
        <w:rPr>
          <w:color w:val="4472C4" w:themeColor="accent1"/>
        </w:rPr>
        <w:t>means</w:t>
      </w:r>
      <w:proofErr w:type="spellEnd"/>
      <w:r w:rsidRPr="00BA6119">
        <w:rPr>
          <w:color w:val="4472C4" w:themeColor="accent1"/>
        </w:rPr>
        <w:t>, no requiere definir el número de grupos a priori para visualizar la estructura de los datos y permite observar las relaciones de proximidad y jerarquía "evolutiva" entre las muestras de expresión génica. El uso de ambos métodos permite contrastar una agrupación rígida (K-</w:t>
      </w:r>
      <w:proofErr w:type="spellStart"/>
      <w:r w:rsidRPr="00BA6119">
        <w:rPr>
          <w:color w:val="4472C4" w:themeColor="accent1"/>
        </w:rPr>
        <w:t>means</w:t>
      </w:r>
      <w:proofErr w:type="spellEnd"/>
      <w:r w:rsidRPr="00BA6119">
        <w:rPr>
          <w:color w:val="4472C4" w:themeColor="accent1"/>
        </w:rPr>
        <w:t>) con una basada en la conectividad (</w:t>
      </w:r>
      <w:proofErr w:type="spellStart"/>
      <w:r>
        <w:rPr>
          <w:color w:val="4472C4" w:themeColor="accent1"/>
        </w:rPr>
        <w:t>clusterización</w:t>
      </w:r>
      <w:proofErr w:type="spellEnd"/>
      <w:r>
        <w:rPr>
          <w:color w:val="4472C4" w:themeColor="accent1"/>
        </w:rPr>
        <w:t xml:space="preserve"> j</w:t>
      </w:r>
      <w:r w:rsidRPr="00BA6119">
        <w:rPr>
          <w:color w:val="4472C4" w:themeColor="accent1"/>
        </w:rPr>
        <w:t>erárquica).</w:t>
      </w:r>
    </w:p>
    <w:p w14:paraId="17874750" w14:textId="77777777" w:rsidR="0076331B" w:rsidRDefault="0076331B" w:rsidP="0076331B">
      <w:pPr>
        <w:pStyle w:val="Vietasegundonivel"/>
      </w:pPr>
    </w:p>
    <w:p w14:paraId="46C9690A" w14:textId="77777777" w:rsidR="006B1D12" w:rsidRDefault="006B1D12" w:rsidP="00B902C5">
      <w:pPr>
        <w:pStyle w:val="Vietasegundonivel"/>
        <w:numPr>
          <w:ilvl w:val="1"/>
          <w:numId w:val="4"/>
        </w:numPr>
      </w:pPr>
      <w:r>
        <w:t>En ambos casos, ¿qué aspectos positivos y negativos tienen cada una? (0,2 puntos).</w:t>
      </w:r>
    </w:p>
    <w:p w14:paraId="23E64860" w14:textId="77777777" w:rsidR="006B1D12" w:rsidRPr="00930809" w:rsidRDefault="006B1D12" w:rsidP="0076331B">
      <w:pPr>
        <w:pStyle w:val="Vietasegundonivel"/>
        <w:ind w:left="0" w:firstLine="0"/>
        <w:rPr>
          <w:color w:val="4472C4" w:themeColor="accent1"/>
          <w:u w:val="single"/>
        </w:rPr>
      </w:pPr>
      <w:r w:rsidRPr="00930809">
        <w:rPr>
          <w:color w:val="4472C4" w:themeColor="accent1"/>
          <w:u w:val="single"/>
        </w:rPr>
        <w:t>Para técnicas de reducción de dimensionalidad:</w:t>
      </w:r>
    </w:p>
    <w:p w14:paraId="547345D8" w14:textId="52A2900E" w:rsidR="006B1D12" w:rsidRPr="0076331B" w:rsidRDefault="007450CC" w:rsidP="0076331B">
      <w:pPr>
        <w:pStyle w:val="Vietasegundonivel"/>
        <w:ind w:left="0" w:firstLine="0"/>
        <w:rPr>
          <w:color w:val="4472C4" w:themeColor="accent1"/>
        </w:rPr>
      </w:pPr>
      <w:r>
        <w:rPr>
          <w:color w:val="4472C4" w:themeColor="accent1"/>
        </w:rPr>
        <w:t>-</w:t>
      </w:r>
      <w:r w:rsidR="006B1D12" w:rsidRPr="0076331B">
        <w:rPr>
          <w:color w:val="4472C4" w:themeColor="accent1"/>
        </w:rPr>
        <w:t>La técnica de PCA resulta útil cuando se desea una visualización clara y precisa de los datos con una mayor variabilidad ya que el PCA elimina correlaciones entre variables, mejorando la independencia de datos y siendo una técnica especialmente efectiva cuando los datos poseen altas correlaciones. A pesar de todos los aspectos positivos, PCA solo puede utilizarse en variables que estén linealmente correlacionadas. Además, para una correcta generación de componentes principales necesita seguir procesos de estandarización previos que una vez obtenidos, deben ser seleccionados de manera que expliquen la mayor variabilidad posible.</w:t>
      </w:r>
    </w:p>
    <w:p w14:paraId="654B476F" w14:textId="3DF16F62" w:rsidR="006B1D12" w:rsidRDefault="007450CC" w:rsidP="00FD11CA">
      <w:pPr>
        <w:pStyle w:val="Vietasegundonivel"/>
        <w:ind w:left="0" w:firstLine="0"/>
        <w:rPr>
          <w:color w:val="4472C4" w:themeColor="accent1"/>
        </w:rPr>
      </w:pPr>
      <w:r>
        <w:rPr>
          <w:color w:val="4472C4" w:themeColor="accent1"/>
        </w:rPr>
        <w:t>-</w:t>
      </w:r>
      <w:r w:rsidR="006B1D12" w:rsidRPr="007450CC">
        <w:rPr>
          <w:color w:val="4472C4" w:themeColor="accent1"/>
        </w:rPr>
        <w:t xml:space="preserve">La técnica de t-SNE captura las relaciones polinómicas complejas entre características mejor que otras técnicas no lineales, además es eficiente identificando estructuras de datos al conservar la localidad de estos a la vez que revela la estructura global. Los aspectos negativos de t-SNE incluyen que es un método no determinista y azaroso afectando su reproducibilidad (por eso se añade una semilla o </w:t>
      </w:r>
      <w:proofErr w:type="spellStart"/>
      <w:r w:rsidR="006B1D12" w:rsidRPr="007450CC">
        <w:rPr>
          <w:color w:val="4472C4" w:themeColor="accent1"/>
        </w:rPr>
        <w:t>seed</w:t>
      </w:r>
      <w:proofErr w:type="spellEnd"/>
      <w:r w:rsidR="006B1D12" w:rsidRPr="007450CC">
        <w:rPr>
          <w:color w:val="4472C4" w:themeColor="accent1"/>
        </w:rPr>
        <w:t xml:space="preserve">). t-SNE es recomendado para visualización de datos exclusivamente ya que cuando reduce a más </w:t>
      </w:r>
      <w:r w:rsidR="006B1D12" w:rsidRPr="007450CC">
        <w:rPr>
          <w:color w:val="4472C4" w:themeColor="accent1"/>
        </w:rPr>
        <w:lastRenderedPageBreak/>
        <w:t>de tres dimensiones no es muy claro, si</w:t>
      </w:r>
      <w:r w:rsidR="006B1D12" w:rsidRPr="0003756E">
        <w:rPr>
          <w:color w:val="4472C4" w:themeColor="accent1"/>
        </w:rPr>
        <w:t xml:space="preserve"> se tratara de datos más grandes además es computacionalmente costoso.</w:t>
      </w:r>
    </w:p>
    <w:p w14:paraId="363BE09A" w14:textId="007C730A" w:rsidR="00637F09" w:rsidRDefault="00637F09" w:rsidP="00BA6119">
      <w:pPr>
        <w:pStyle w:val="Vietasegundonivel"/>
        <w:ind w:left="0" w:firstLine="0"/>
        <w:rPr>
          <w:color w:val="4472C4" w:themeColor="accent1"/>
        </w:rPr>
      </w:pPr>
      <w:r w:rsidRPr="00930809">
        <w:rPr>
          <w:color w:val="4472C4" w:themeColor="accent1"/>
          <w:u w:val="single"/>
        </w:rPr>
        <w:t xml:space="preserve">Para técnicas de </w:t>
      </w:r>
      <w:proofErr w:type="spellStart"/>
      <w:r>
        <w:rPr>
          <w:color w:val="4472C4" w:themeColor="accent1"/>
          <w:u w:val="single"/>
        </w:rPr>
        <w:t>clusterizacion</w:t>
      </w:r>
      <w:proofErr w:type="spellEnd"/>
      <w:r w:rsidRPr="00930809">
        <w:rPr>
          <w:color w:val="4472C4" w:themeColor="accent1"/>
          <w:u w:val="single"/>
        </w:rPr>
        <w:t>:</w:t>
      </w:r>
    </w:p>
    <w:p w14:paraId="1CCF3613" w14:textId="16ED573D" w:rsidR="00BA6119" w:rsidRDefault="00BA6119" w:rsidP="00BA6119">
      <w:pPr>
        <w:pStyle w:val="Vietasegundonivel"/>
        <w:ind w:left="0" w:firstLine="0"/>
        <w:rPr>
          <w:color w:val="4472C4" w:themeColor="accent1"/>
        </w:rPr>
      </w:pPr>
      <w:r>
        <w:rPr>
          <w:color w:val="4472C4" w:themeColor="accent1"/>
        </w:rPr>
        <w:t>K-</w:t>
      </w:r>
      <w:proofErr w:type="spellStart"/>
      <w:r>
        <w:rPr>
          <w:color w:val="4472C4" w:themeColor="accent1"/>
        </w:rPr>
        <w:t>means</w:t>
      </w:r>
      <w:proofErr w:type="spellEnd"/>
      <w:r>
        <w:rPr>
          <w:color w:val="4472C4" w:themeColor="accent1"/>
        </w:rPr>
        <w:t xml:space="preserve"> e</w:t>
      </w:r>
      <w:r w:rsidRPr="00BA6119">
        <w:rPr>
          <w:color w:val="4472C4" w:themeColor="accent1"/>
        </w:rPr>
        <w:t>s una técnica muy rápida y escalable para conjuntos de datos grandes. Es fácil de interpretar y suele converger a resultados estables si los grupos son esféricos y están bien separados.</w:t>
      </w:r>
      <w:r>
        <w:rPr>
          <w:color w:val="4472C4" w:themeColor="accent1"/>
        </w:rPr>
        <w:t xml:space="preserve"> Por otro lado, e</w:t>
      </w:r>
      <w:r w:rsidRPr="00BA6119">
        <w:rPr>
          <w:color w:val="4472C4" w:themeColor="accent1"/>
        </w:rPr>
        <w:t xml:space="preserve">s extremadamente sensible a los </w:t>
      </w:r>
      <w:proofErr w:type="spellStart"/>
      <w:r w:rsidRPr="00BA6119">
        <w:rPr>
          <w:color w:val="4472C4" w:themeColor="accent1"/>
        </w:rPr>
        <w:t>outliers</w:t>
      </w:r>
      <w:proofErr w:type="spellEnd"/>
      <w:r w:rsidRPr="00BA6119">
        <w:rPr>
          <w:color w:val="4472C4" w:themeColor="accent1"/>
        </w:rPr>
        <w:t xml:space="preserve"> y a la selección inicial de los centroides. Además, asume que los </w:t>
      </w:r>
      <w:proofErr w:type="spellStart"/>
      <w:r w:rsidRPr="00BA6119">
        <w:rPr>
          <w:color w:val="4472C4" w:themeColor="accent1"/>
        </w:rPr>
        <w:t>clústers</w:t>
      </w:r>
      <w:proofErr w:type="spellEnd"/>
      <w:r w:rsidRPr="00BA6119">
        <w:rPr>
          <w:color w:val="4472C4" w:themeColor="accent1"/>
        </w:rPr>
        <w:t xml:space="preserve"> tienen formas esféricas, lo cual no siempre ocurre en datos biológicos complejos.</w:t>
      </w:r>
    </w:p>
    <w:p w14:paraId="631DBF52" w14:textId="6D3E2FA3" w:rsidR="00637F09" w:rsidRPr="0003756E" w:rsidRDefault="00BA6119" w:rsidP="00487CB3">
      <w:pPr>
        <w:pStyle w:val="Vietasegundonivel"/>
        <w:ind w:left="0" w:firstLine="0"/>
        <w:rPr>
          <w:color w:val="4472C4" w:themeColor="accent1"/>
        </w:rPr>
      </w:pPr>
      <w:r>
        <w:rPr>
          <w:color w:val="4472C4" w:themeColor="accent1"/>
        </w:rPr>
        <w:t xml:space="preserve">En contraste, la </w:t>
      </w:r>
      <w:proofErr w:type="spellStart"/>
      <w:r>
        <w:rPr>
          <w:color w:val="4472C4" w:themeColor="accent1"/>
        </w:rPr>
        <w:t>clusterización</w:t>
      </w:r>
      <w:proofErr w:type="spellEnd"/>
      <w:r>
        <w:rPr>
          <w:color w:val="4472C4" w:themeColor="accent1"/>
        </w:rPr>
        <w:t xml:space="preserve"> jerárquica</w:t>
      </w:r>
      <w:r w:rsidRPr="00BA6119">
        <w:rPr>
          <w:color w:val="4472C4" w:themeColor="accent1"/>
        </w:rPr>
        <w:t xml:space="preserve"> </w:t>
      </w:r>
      <w:r>
        <w:rPr>
          <w:color w:val="4472C4" w:themeColor="accent1"/>
        </w:rPr>
        <w:t>n</w:t>
      </w:r>
      <w:r w:rsidRPr="00BA6119">
        <w:rPr>
          <w:color w:val="4472C4" w:themeColor="accent1"/>
        </w:rPr>
        <w:t xml:space="preserve">o asume una forma específica para los </w:t>
      </w:r>
      <w:proofErr w:type="spellStart"/>
      <w:r w:rsidRPr="00BA6119">
        <w:rPr>
          <w:color w:val="4472C4" w:themeColor="accent1"/>
        </w:rPr>
        <w:t>clústers</w:t>
      </w:r>
      <w:proofErr w:type="spellEnd"/>
      <w:r w:rsidRPr="00BA6119">
        <w:rPr>
          <w:color w:val="4472C4" w:themeColor="accent1"/>
        </w:rPr>
        <w:t xml:space="preserve"> y es muy útil para descubrir la taxonomía interna de los datos.</w:t>
      </w:r>
      <w:r>
        <w:rPr>
          <w:color w:val="4472C4" w:themeColor="accent1"/>
        </w:rPr>
        <w:t xml:space="preserve"> </w:t>
      </w:r>
      <w:r w:rsidR="00487CB3">
        <w:rPr>
          <w:color w:val="4472C4" w:themeColor="accent1"/>
        </w:rPr>
        <w:t xml:space="preserve">Además, la visualización del </w:t>
      </w:r>
      <w:proofErr w:type="spellStart"/>
      <w:r w:rsidR="00487CB3">
        <w:rPr>
          <w:color w:val="4472C4" w:themeColor="accent1"/>
        </w:rPr>
        <w:t>dendograma</w:t>
      </w:r>
      <w:proofErr w:type="spellEnd"/>
      <w:r w:rsidR="00487CB3">
        <w:rPr>
          <w:color w:val="4472C4" w:themeColor="accent1"/>
        </w:rPr>
        <w:t xml:space="preserve"> facilita la identificación de subgrupos </w:t>
      </w:r>
      <w:r w:rsidRPr="00BA6119">
        <w:rPr>
          <w:color w:val="4472C4" w:themeColor="accent1"/>
        </w:rPr>
        <w:t>dentro de los clústeres principales.</w:t>
      </w:r>
      <w:r w:rsidR="00BC6DEF">
        <w:rPr>
          <w:color w:val="4472C4" w:themeColor="accent1"/>
        </w:rPr>
        <w:t xml:space="preserve"> Por otra parte, esta técnica es tiene un coste computacional </w:t>
      </w:r>
      <w:r w:rsidRPr="00BA6119">
        <w:rPr>
          <w:color w:val="4472C4" w:themeColor="accent1"/>
        </w:rPr>
        <w:t>cuando el número de muestras aumenta significativamente. Además, una vez que se decide fusionar dos grupos en un paso temprano, esta decisión no puede revertirse, lo que puede arrastrar errores a lo largo del proceso.</w:t>
      </w:r>
    </w:p>
    <w:p w14:paraId="5C89F333" w14:textId="77777777" w:rsidR="006B1D12" w:rsidRDefault="006B1D12" w:rsidP="00B902C5">
      <w:pPr>
        <w:pStyle w:val="Vietasegundonivel"/>
        <w:numPr>
          <w:ilvl w:val="1"/>
          <w:numId w:val="4"/>
        </w:numPr>
      </w:pPr>
      <w:r>
        <w:t xml:space="preserve">En el caso de la </w:t>
      </w:r>
      <w:proofErr w:type="spellStart"/>
      <w:r>
        <w:t>clusterización</w:t>
      </w:r>
      <w:proofErr w:type="spellEnd"/>
      <w:r>
        <w:t>, ¿podéis afirmar con certeza que los clústeres generados son los mejores posibles? Razonad vuestra respuesta. (0,2 puntos).</w:t>
      </w:r>
    </w:p>
    <w:p w14:paraId="3343CC90" w14:textId="7B5AB3B2" w:rsidR="006B1D12" w:rsidRPr="00A860D4" w:rsidRDefault="00A860D4" w:rsidP="00A860D4">
      <w:pPr>
        <w:pStyle w:val="Vietasegundonivel"/>
        <w:ind w:left="0" w:firstLine="0"/>
        <w:rPr>
          <w:color w:val="4472C4" w:themeColor="accent1"/>
        </w:rPr>
      </w:pPr>
      <w:r w:rsidRPr="00A860D4">
        <w:rPr>
          <w:color w:val="4472C4" w:themeColor="accent1"/>
        </w:rPr>
        <w:t>No se puede afirmar con total certeza por varias razones. Para empezar, estas técnicas son no supervisadas, por lo que el algoritmo no cuenta con la ayuda de etiquetas que puedan confirmar la clasificación de cada muestra durante el entrenamiento. Por otro lado, ambas técnicas son sensibles a los parámetros introducidos. En el caso de k-</w:t>
      </w:r>
      <w:proofErr w:type="spellStart"/>
      <w:r w:rsidRPr="00A860D4">
        <w:rPr>
          <w:color w:val="4472C4" w:themeColor="accent1"/>
        </w:rPr>
        <w:t>means</w:t>
      </w:r>
      <w:proofErr w:type="spellEnd"/>
      <w:r w:rsidRPr="00A860D4">
        <w:rPr>
          <w:color w:val="4472C4" w:themeColor="accent1"/>
        </w:rPr>
        <w:t xml:space="preserve">, la elección del número de centroides y su posición central pueden alterar significativamente la convergencia del modelo. En cuanto a la </w:t>
      </w:r>
      <w:proofErr w:type="spellStart"/>
      <w:r w:rsidRPr="00A860D4">
        <w:rPr>
          <w:color w:val="4472C4" w:themeColor="accent1"/>
        </w:rPr>
        <w:t>clusterización</w:t>
      </w:r>
      <w:proofErr w:type="spellEnd"/>
      <w:r w:rsidRPr="00A860D4">
        <w:rPr>
          <w:color w:val="4472C4" w:themeColor="accent1"/>
        </w:rPr>
        <w:t xml:space="preserve"> jerárquica, los resultados son dependientes del criterio de vinculación. En este análisis se ha seleccionado el método de Ward porque minimiza la varianza dentro de los grupos, lo que genera </w:t>
      </w:r>
      <w:proofErr w:type="spellStart"/>
      <w:r w:rsidRPr="00A860D4">
        <w:rPr>
          <w:color w:val="4472C4" w:themeColor="accent1"/>
        </w:rPr>
        <w:t>clústers</w:t>
      </w:r>
      <w:proofErr w:type="spellEnd"/>
      <w:r w:rsidRPr="00A860D4">
        <w:rPr>
          <w:color w:val="4472C4" w:themeColor="accent1"/>
        </w:rPr>
        <w:t xml:space="preserve"> más compactos y esféricos, que facilitan la identificación de perfiles de expresión génica similares. En contraste, utilizar métodos como </w:t>
      </w:r>
      <w:proofErr w:type="gramStart"/>
      <w:r w:rsidRPr="00A860D4">
        <w:rPr>
          <w:color w:val="4472C4" w:themeColor="accent1"/>
        </w:rPr>
        <w:t>Single</w:t>
      </w:r>
      <w:proofErr w:type="gramEnd"/>
      <w:r w:rsidRPr="00A860D4">
        <w:rPr>
          <w:color w:val="4472C4" w:themeColor="accent1"/>
        </w:rPr>
        <w:t xml:space="preserve"> </w:t>
      </w:r>
      <w:proofErr w:type="spellStart"/>
      <w:r w:rsidRPr="00A860D4">
        <w:rPr>
          <w:color w:val="4472C4" w:themeColor="accent1"/>
        </w:rPr>
        <w:t>Linkage</w:t>
      </w:r>
      <w:proofErr w:type="spellEnd"/>
      <w:r w:rsidRPr="00A860D4">
        <w:rPr>
          <w:color w:val="4472C4" w:themeColor="accent1"/>
        </w:rPr>
        <w:t xml:space="preserve"> podría provocar el efecto de 'encadenamiento' (unir muestras por proximidad mínima creando grupos alargados y poco representativos), </w:t>
      </w:r>
      <w:r>
        <w:rPr>
          <w:color w:val="4472C4" w:themeColor="accent1"/>
        </w:rPr>
        <w:t>o métodos como</w:t>
      </w:r>
      <w:r w:rsidRPr="00A860D4">
        <w:rPr>
          <w:color w:val="4472C4" w:themeColor="accent1"/>
        </w:rPr>
        <w:t xml:space="preserve"> </w:t>
      </w:r>
      <w:proofErr w:type="spellStart"/>
      <w:r w:rsidRPr="00A860D4">
        <w:rPr>
          <w:color w:val="4472C4" w:themeColor="accent1"/>
        </w:rPr>
        <w:t>Average</w:t>
      </w:r>
      <w:proofErr w:type="spellEnd"/>
      <w:r>
        <w:rPr>
          <w:color w:val="4472C4" w:themeColor="accent1"/>
        </w:rPr>
        <w:t>, que</w:t>
      </w:r>
      <w:r w:rsidRPr="00A860D4">
        <w:rPr>
          <w:color w:val="4472C4" w:themeColor="accent1"/>
        </w:rPr>
        <w:t xml:space="preserve"> podría diluir </w:t>
      </w:r>
      <w:r w:rsidRPr="00A860D4">
        <w:rPr>
          <w:color w:val="4472C4" w:themeColor="accent1"/>
        </w:rPr>
        <w:lastRenderedPageBreak/>
        <w:t>las diferencias biológicas al hacer el promedio de todas las distancias, dificultando la separación de clases con alta variabilidad interna.</w:t>
      </w:r>
    </w:p>
    <w:p w14:paraId="4B0B6C68" w14:textId="77777777" w:rsidR="006B1D12" w:rsidRDefault="006B1D12" w:rsidP="006B1D12">
      <w:pPr>
        <w:pStyle w:val="ListanumeradaTEST"/>
      </w:pPr>
      <w:r>
        <w:t>Métodos supervisados (1,75 puntos):</w:t>
      </w:r>
    </w:p>
    <w:p w14:paraId="104A9F2F" w14:textId="77777777" w:rsidR="006B1D12" w:rsidRDefault="006B1D12" w:rsidP="00B902C5">
      <w:pPr>
        <w:pStyle w:val="Vietasegundonivel"/>
        <w:numPr>
          <w:ilvl w:val="1"/>
          <w:numId w:val="4"/>
        </w:numPr>
      </w:pPr>
      <w:r>
        <w:t>¿Cuál es el motivo por el cual habéis seleccionado ambas técnicas de aprendizaje supervisado? ¿Cuál ha dado mejores resultados a la hora de clasificar las muestras? Razonad vuestra respuesta (1 punto).</w:t>
      </w:r>
    </w:p>
    <w:p w14:paraId="5F724EC6" w14:textId="2ACC9E00" w:rsidR="00D15A18" w:rsidRPr="008B7B61" w:rsidRDefault="00D15A18" w:rsidP="008B7B61">
      <w:pPr>
        <w:pStyle w:val="Vietasegundonivel"/>
        <w:ind w:left="0" w:firstLine="0"/>
        <w:rPr>
          <w:color w:val="4472C4" w:themeColor="accent1"/>
        </w:rPr>
      </w:pPr>
      <w:r w:rsidRPr="008B7B61">
        <w:rPr>
          <w:color w:val="4472C4" w:themeColor="accent1"/>
        </w:rPr>
        <w:t xml:space="preserve">Hemos seleccionado Random Forest por su robustez en alta dimensionalidad (500+ genes), capacidad para manejar correlaciones entre variables y resistencia al sobreajuste, además de proporcionar importancia de genes discriminativos. KNN fue elegido como contraste por su simplicidad conceptual y buen rendimiento con datos normalizados. En cuanto a resultados, tanto SVM como KNN alcanzaron </w:t>
      </w:r>
      <w:proofErr w:type="spellStart"/>
      <w:r w:rsidRPr="008B7B61">
        <w:rPr>
          <w:color w:val="4472C4" w:themeColor="accent1"/>
        </w:rPr>
        <w:t>Accuracy</w:t>
      </w:r>
      <w:proofErr w:type="spellEnd"/>
      <w:r w:rsidRPr="008B7B61">
        <w:rPr>
          <w:color w:val="4472C4" w:themeColor="accent1"/>
        </w:rPr>
        <w:t xml:space="preserve"> perfecta (1.000), superando ligeramente a Random Forest (0.987). Consideramos que SVM y KNN son igualmente efectivos para este </w:t>
      </w:r>
      <w:proofErr w:type="spellStart"/>
      <w:r w:rsidRPr="008B7B61">
        <w:rPr>
          <w:color w:val="4472C4" w:themeColor="accent1"/>
        </w:rPr>
        <w:t>dataset</w:t>
      </w:r>
      <w:proofErr w:type="spellEnd"/>
      <w:r w:rsidRPr="008B7B61">
        <w:rPr>
          <w:color w:val="4472C4" w:themeColor="accent1"/>
        </w:rPr>
        <w:t>, donde las cinco clases son altamente separables tras el preprocesamiento realizado.</w:t>
      </w:r>
    </w:p>
    <w:p w14:paraId="19C999E8" w14:textId="77777777" w:rsidR="006B1D12" w:rsidRDefault="006B1D12" w:rsidP="00B902C5">
      <w:pPr>
        <w:pStyle w:val="Vietasegundonivel"/>
        <w:numPr>
          <w:ilvl w:val="1"/>
          <w:numId w:val="4"/>
        </w:numPr>
      </w:pPr>
      <w:r>
        <w:t>¿Habéis considerado oportuno implementar algún método de reducción de dimensionalidad para procesar los datos antes de implementarlos en dichas técnicas? ¿Por qué? (0,5 puntos).</w:t>
      </w:r>
    </w:p>
    <w:p w14:paraId="64956A30" w14:textId="6FE0EAFA" w:rsidR="00D15A18" w:rsidRPr="008B1277" w:rsidRDefault="00D15A18" w:rsidP="008B1277">
      <w:pPr>
        <w:pStyle w:val="Vietasegundonivel"/>
        <w:ind w:left="0" w:firstLine="0"/>
        <w:rPr>
          <w:color w:val="4472C4" w:themeColor="accent1"/>
        </w:rPr>
      </w:pPr>
      <w:r w:rsidRPr="008B1277">
        <w:rPr>
          <w:color w:val="4472C4" w:themeColor="accent1"/>
        </w:rPr>
        <w:t>No implementamos métodos adicionales de reducción dimensional porque el filtrado de genes con &gt;80% de ceros ya constituye una reducción sustancial que preserva la información biológica relevante. Dado el alto desempeño obtenido (</w:t>
      </w:r>
      <w:proofErr w:type="spellStart"/>
      <w:r w:rsidRPr="008B1277">
        <w:rPr>
          <w:color w:val="4472C4" w:themeColor="accent1"/>
        </w:rPr>
        <w:t>Accuracy</w:t>
      </w:r>
      <w:proofErr w:type="spellEnd"/>
      <w:r w:rsidRPr="008B1277">
        <w:rPr>
          <w:color w:val="4472C4" w:themeColor="accent1"/>
        </w:rPr>
        <w:t xml:space="preserve"> 0.987-1.000), no existe necesidad técnica de reducir más la dimensionalidad, y mantener los genes originales permite analizar su importancia biológica mediante Random Forest. Además, la relación muestras-genes (800 muestras, ~500 genes) es adecuada sin necesidad de transformaciones adicionales.</w:t>
      </w:r>
    </w:p>
    <w:p w14:paraId="662205DD" w14:textId="77777777" w:rsidR="006B1D12" w:rsidRDefault="006B1D12" w:rsidP="00B902C5">
      <w:pPr>
        <w:pStyle w:val="Vietasegundonivel"/>
        <w:numPr>
          <w:ilvl w:val="1"/>
          <w:numId w:val="4"/>
        </w:numPr>
      </w:pPr>
      <w:r>
        <w:t>¿Qué aspectos positivos y negativos tienen cada una de las técnicas que habéis escogido? (0,25 puntos).</w:t>
      </w:r>
    </w:p>
    <w:p w14:paraId="41CE7E26" w14:textId="0F02CC8B" w:rsidR="00D15A18" w:rsidRPr="009E053D" w:rsidRDefault="00D15A18" w:rsidP="009E053D">
      <w:pPr>
        <w:pStyle w:val="Vietasegundonivel"/>
        <w:ind w:left="0" w:firstLine="0"/>
        <w:rPr>
          <w:color w:val="4472C4" w:themeColor="accent1"/>
        </w:rPr>
      </w:pPr>
      <w:r w:rsidRPr="009E053D">
        <w:rPr>
          <w:color w:val="4472C4" w:themeColor="accent1"/>
        </w:rPr>
        <w:t xml:space="preserve">Random Forest presenta como ventajas su robustez al sobreajuste, capacidad para manejar relaciones no lineales y proporcionar importancia de variables, mientras que su principal limitación es la menor interpretabilidad frente a modelos lineales. KNN destaca por su simplicidad conceptual y buen rendimiento con clases bien separadas, pero es sensible a la escala de los datos y no ofrece importancia de variables. La elección entre </w:t>
      </w:r>
      <w:r w:rsidRPr="009E053D">
        <w:rPr>
          <w:color w:val="4472C4" w:themeColor="accent1"/>
        </w:rPr>
        <w:lastRenderedPageBreak/>
        <w:t xml:space="preserve">técnicas dependerá del objetivo: interpretabilidad biológica (Random Forest) versus simplicidad y </w:t>
      </w:r>
      <w:proofErr w:type="spellStart"/>
      <w:r w:rsidRPr="009E053D">
        <w:rPr>
          <w:color w:val="4472C4" w:themeColor="accent1"/>
        </w:rPr>
        <w:t>Accuracy</w:t>
      </w:r>
      <w:proofErr w:type="spellEnd"/>
      <w:r w:rsidRPr="009E053D">
        <w:rPr>
          <w:color w:val="4472C4" w:themeColor="accent1"/>
        </w:rPr>
        <w:t xml:space="preserve"> máxima (KNN).</w:t>
      </w:r>
    </w:p>
    <w:p w14:paraId="4247CC0C" w14:textId="77777777" w:rsidR="006B1D12" w:rsidRDefault="006B1D12" w:rsidP="006B1D12"/>
    <w:p w14:paraId="576BBD41" w14:textId="77777777" w:rsidR="006B1D12" w:rsidRDefault="006B1D12" w:rsidP="006B1D12">
      <w:pPr>
        <w:pStyle w:val="ListanumeradaTEST"/>
      </w:pPr>
      <w:r>
        <w:t xml:space="preserve">De estas cuatro opciones, ¿qué tipo de arquitectura de </w:t>
      </w:r>
      <w:proofErr w:type="spellStart"/>
      <w:r w:rsidRPr="0057096C">
        <w:rPr>
          <w:i/>
          <w:iCs/>
        </w:rPr>
        <w:t>deep</w:t>
      </w:r>
      <w:proofErr w:type="spellEnd"/>
      <w:r w:rsidRPr="0057096C">
        <w:rPr>
          <w:i/>
          <w:iCs/>
        </w:rPr>
        <w:t xml:space="preserve"> </w:t>
      </w:r>
      <w:proofErr w:type="spellStart"/>
      <w:r w:rsidRPr="0057096C">
        <w:rPr>
          <w:i/>
          <w:iCs/>
        </w:rPr>
        <w:t>learning</w:t>
      </w:r>
      <w:proofErr w:type="spellEnd"/>
      <w:r>
        <w:t xml:space="preserve"> sería la más adecuada para procesar datos de expresión génica? Razonad vuestra respuesta (0,25 puntos).</w:t>
      </w:r>
    </w:p>
    <w:p w14:paraId="5B4838BC" w14:textId="77777777" w:rsidR="006B1D12" w:rsidRDefault="006B1D12" w:rsidP="00B902C5">
      <w:pPr>
        <w:pStyle w:val="Vietasegundonivel"/>
        <w:numPr>
          <w:ilvl w:val="1"/>
          <w:numId w:val="4"/>
        </w:numPr>
      </w:pPr>
      <w:r>
        <w:t xml:space="preserve">a) Red de perceptrones </w:t>
      </w:r>
      <w:r w:rsidRPr="0057096C">
        <w:t>(</w:t>
      </w:r>
      <w:proofErr w:type="spellStart"/>
      <w:r w:rsidRPr="0057096C">
        <w:t>multiperceptron</w:t>
      </w:r>
      <w:proofErr w:type="spellEnd"/>
      <w:r w:rsidRPr="0057096C">
        <w:t xml:space="preserve"> </w:t>
      </w:r>
      <w:proofErr w:type="spellStart"/>
      <w:r w:rsidRPr="0057096C">
        <w:t>layers</w:t>
      </w:r>
      <w:proofErr w:type="spellEnd"/>
      <w:r w:rsidRPr="0057096C">
        <w:t>).</w:t>
      </w:r>
    </w:p>
    <w:p w14:paraId="7CB56121" w14:textId="77777777" w:rsidR="006B1D12" w:rsidRDefault="006B1D12" w:rsidP="00B902C5">
      <w:pPr>
        <w:pStyle w:val="Vietasegundonivel"/>
        <w:numPr>
          <w:ilvl w:val="1"/>
          <w:numId w:val="4"/>
        </w:numPr>
      </w:pPr>
      <w:r>
        <w:t>b) Redes convolucionales.</w:t>
      </w:r>
    </w:p>
    <w:p w14:paraId="555C3136" w14:textId="77777777" w:rsidR="006B1D12" w:rsidRDefault="006B1D12" w:rsidP="00B902C5">
      <w:pPr>
        <w:pStyle w:val="Vietasegundonivel"/>
        <w:numPr>
          <w:ilvl w:val="1"/>
          <w:numId w:val="4"/>
        </w:numPr>
      </w:pPr>
      <w:r>
        <w:t>c) Redes recurrentes.</w:t>
      </w:r>
    </w:p>
    <w:p w14:paraId="4CD8D921" w14:textId="77777777" w:rsidR="006B1D12" w:rsidRDefault="006B1D12" w:rsidP="00B902C5">
      <w:pPr>
        <w:pStyle w:val="Vietasegundonivel"/>
        <w:numPr>
          <w:ilvl w:val="1"/>
          <w:numId w:val="4"/>
        </w:numPr>
      </w:pPr>
      <w:r>
        <w:t>d) Redes de grafos.</w:t>
      </w:r>
    </w:p>
    <w:p w14:paraId="3C7CFC3E" w14:textId="77777777" w:rsidR="006B1D12" w:rsidRDefault="006B1D12" w:rsidP="00B902C5">
      <w:pPr>
        <w:pStyle w:val="Vietasegundonivel"/>
      </w:pPr>
    </w:p>
    <w:p w14:paraId="5657ED92" w14:textId="77777777" w:rsidR="00833A00" w:rsidRPr="00833A00" w:rsidRDefault="00833A00" w:rsidP="00833A00">
      <w:pPr>
        <w:pStyle w:val="Vietasegundonivel"/>
        <w:ind w:left="0" w:firstLine="0"/>
        <w:rPr>
          <w:color w:val="4472C4" w:themeColor="accent1"/>
        </w:rPr>
      </w:pPr>
      <w:r w:rsidRPr="00833A00">
        <w:rPr>
          <w:color w:val="4472C4" w:themeColor="accent1"/>
        </w:rPr>
        <w:t xml:space="preserve">La opción más adecuada es la d) Redes de grafos (Graph Neural Networks o </w:t>
      </w:r>
      <w:proofErr w:type="spellStart"/>
      <w:r w:rsidRPr="00833A00">
        <w:rPr>
          <w:color w:val="4472C4" w:themeColor="accent1"/>
        </w:rPr>
        <w:t>GNNs</w:t>
      </w:r>
      <w:proofErr w:type="spellEnd"/>
      <w:r w:rsidRPr="00833A00">
        <w:rPr>
          <w:color w:val="4472C4" w:themeColor="accent1"/>
        </w:rPr>
        <w:t>).</w:t>
      </w:r>
    </w:p>
    <w:p w14:paraId="0641CDD0" w14:textId="77777777" w:rsidR="00833A00" w:rsidRPr="00833A00" w:rsidRDefault="00833A00" w:rsidP="00833A00">
      <w:pPr>
        <w:pStyle w:val="Vietasegundonivel"/>
        <w:ind w:left="0" w:firstLine="0"/>
        <w:rPr>
          <w:color w:val="4472C4" w:themeColor="accent1"/>
        </w:rPr>
      </w:pPr>
      <w:r w:rsidRPr="00833A00">
        <w:rPr>
          <w:color w:val="4472C4" w:themeColor="accent1"/>
        </w:rPr>
        <w:t>Razonamiento:</w:t>
      </w:r>
    </w:p>
    <w:p w14:paraId="25815AE3" w14:textId="77777777" w:rsidR="00833A00" w:rsidRPr="00833A00" w:rsidRDefault="00833A00" w:rsidP="00833A00">
      <w:pPr>
        <w:pStyle w:val="Vietasegundonivel"/>
        <w:numPr>
          <w:ilvl w:val="0"/>
          <w:numId w:val="8"/>
        </w:numPr>
        <w:rPr>
          <w:color w:val="4472C4" w:themeColor="accent1"/>
        </w:rPr>
      </w:pPr>
      <w:r w:rsidRPr="00833A00">
        <w:rPr>
          <w:color w:val="4472C4" w:themeColor="accent1"/>
        </w:rPr>
        <w:t>Naturaleza de los datos: A diferencia de las imágenes (cuadrículas de píxeles) o el texto (secuencias), la expresión génica no ocurre de forma aislada. Los genes interactúan entre sí formando redes de regulación génica (GRN) y rutas metabólicas complejas.</w:t>
      </w:r>
    </w:p>
    <w:p w14:paraId="6E888463" w14:textId="77777777" w:rsidR="00833A00" w:rsidRPr="00833A00" w:rsidRDefault="00833A00" w:rsidP="00833A00">
      <w:pPr>
        <w:pStyle w:val="Vietasegundonivel"/>
        <w:numPr>
          <w:ilvl w:val="0"/>
          <w:numId w:val="8"/>
        </w:numPr>
        <w:rPr>
          <w:color w:val="4472C4" w:themeColor="accent1"/>
        </w:rPr>
      </w:pPr>
      <w:r w:rsidRPr="00833A00">
        <w:rPr>
          <w:color w:val="4472C4" w:themeColor="accent1"/>
        </w:rPr>
        <w:t>Modelado de interacciones: Las redes de grafos permiten representar a los genes como nodos y a sus interacciones o correlaciones como aristas. Esto permite capturar la estructura biológica subyacente y las dependencias funcionales que otras arquitecturas ignoran.</w:t>
      </w:r>
    </w:p>
    <w:p w14:paraId="064BC693" w14:textId="77777777" w:rsidR="00833A00" w:rsidRPr="00833A00" w:rsidRDefault="00833A00" w:rsidP="00833A00">
      <w:pPr>
        <w:pStyle w:val="Vietasegundonivel"/>
        <w:numPr>
          <w:ilvl w:val="0"/>
          <w:numId w:val="8"/>
        </w:numPr>
        <w:rPr>
          <w:color w:val="4472C4" w:themeColor="accent1"/>
        </w:rPr>
      </w:pPr>
      <w:r w:rsidRPr="00833A00">
        <w:rPr>
          <w:color w:val="4472C4" w:themeColor="accent1"/>
        </w:rPr>
        <w:t>Limitaciones de las otras opciones:</w:t>
      </w:r>
    </w:p>
    <w:p w14:paraId="240DAB94" w14:textId="77777777" w:rsidR="00833A00" w:rsidRPr="00833A00" w:rsidRDefault="00833A00" w:rsidP="00833A00">
      <w:pPr>
        <w:pStyle w:val="Vietasegundonivel"/>
        <w:ind w:left="1068" w:firstLine="0"/>
        <w:rPr>
          <w:color w:val="4472C4" w:themeColor="accent1"/>
        </w:rPr>
      </w:pPr>
      <w:r w:rsidRPr="00833A00">
        <w:rPr>
          <w:color w:val="4472C4" w:themeColor="accent1"/>
        </w:rPr>
        <w:t>a) Red de perceptrones (MLP): Aunque se usan para clasificación básica (como tipos de cáncer), tratan cada gen como una característica independiente, perdiendo la información sobre las relaciones biológicas.</w:t>
      </w:r>
    </w:p>
    <w:p w14:paraId="3B7C0CC1" w14:textId="77777777" w:rsidR="00833A00" w:rsidRPr="00833A00" w:rsidRDefault="00833A00" w:rsidP="00833A00">
      <w:pPr>
        <w:pStyle w:val="Vietasegundonivel"/>
        <w:ind w:left="1068" w:firstLine="0"/>
        <w:rPr>
          <w:color w:val="4472C4" w:themeColor="accent1"/>
        </w:rPr>
      </w:pPr>
      <w:r w:rsidRPr="00833A00">
        <w:rPr>
          <w:color w:val="4472C4" w:themeColor="accent1"/>
        </w:rPr>
        <w:t>b) Redes convolucionales (CNN): Son excelentes para detectar patrones locales en secuencias de ADN (motivos), pero no son óptimas para datos de expresión donde no hay un orden espacial fijo entre los genes.</w:t>
      </w:r>
    </w:p>
    <w:p w14:paraId="2102269A" w14:textId="77777777" w:rsidR="00833A00" w:rsidRDefault="00833A00" w:rsidP="00833A00">
      <w:pPr>
        <w:pStyle w:val="Vietasegundonivel"/>
        <w:ind w:left="1068" w:firstLine="0"/>
        <w:rPr>
          <w:color w:val="4472C4" w:themeColor="accent1"/>
        </w:rPr>
      </w:pPr>
      <w:r w:rsidRPr="00833A00">
        <w:rPr>
          <w:color w:val="4472C4" w:themeColor="accent1"/>
        </w:rPr>
        <w:t xml:space="preserve">c) Redes recurrentes (RNN): Se diseñan para datos secuenciales (como series temporales o cadenas de nucleótidos). Los perfiles de expresión génica </w:t>
      </w:r>
      <w:r w:rsidRPr="00833A00">
        <w:rPr>
          <w:color w:val="4472C4" w:themeColor="accent1"/>
        </w:rPr>
        <w:lastRenderedPageBreak/>
        <w:t>estándar suelen ser estáticos y no tienen una estructura de "pasos de tiempo" natural. </w:t>
      </w:r>
    </w:p>
    <w:p w14:paraId="39C6835A" w14:textId="77777777" w:rsidR="00833A00" w:rsidRPr="00833A00" w:rsidRDefault="00833A00" w:rsidP="00833A00">
      <w:pPr>
        <w:pStyle w:val="Vietasegundonivel"/>
        <w:ind w:left="1068" w:firstLine="0"/>
        <w:rPr>
          <w:color w:val="4472C4" w:themeColor="accent1"/>
        </w:rPr>
      </w:pPr>
    </w:p>
    <w:p w14:paraId="6A8F974B" w14:textId="77777777" w:rsidR="00833A00" w:rsidRPr="00833A00" w:rsidRDefault="00833A00" w:rsidP="00833A00">
      <w:pPr>
        <w:pStyle w:val="Vietasegundonivel"/>
        <w:ind w:left="0" w:firstLine="0"/>
        <w:rPr>
          <w:color w:val="4472C4" w:themeColor="accent1"/>
        </w:rPr>
      </w:pPr>
      <w:r w:rsidRPr="00833A00">
        <w:rPr>
          <w:color w:val="4472C4" w:themeColor="accent1"/>
        </w:rPr>
        <w:t>En resumen, las </w:t>
      </w:r>
      <w:proofErr w:type="spellStart"/>
      <w:r w:rsidRPr="00833A00">
        <w:rPr>
          <w:color w:val="4472C4" w:themeColor="accent1"/>
        </w:rPr>
        <w:t>GNNs</w:t>
      </w:r>
      <w:proofErr w:type="spellEnd"/>
      <w:r w:rsidRPr="00833A00">
        <w:rPr>
          <w:color w:val="4472C4" w:themeColor="accent1"/>
        </w:rPr>
        <w:t> destacan al integrar el conocimiento previo de las redes biológicas, lo que mejora tanto la precisión de las predicciones como la interpretabilidad biológica del modelo. </w:t>
      </w:r>
    </w:p>
    <w:p w14:paraId="76ADAA4C" w14:textId="77777777" w:rsidR="00833A00" w:rsidRPr="00833A00" w:rsidRDefault="00833A00" w:rsidP="00833A00">
      <w:pPr>
        <w:pStyle w:val="Vietasegundonivel"/>
        <w:ind w:left="0" w:firstLine="0"/>
        <w:rPr>
          <w:color w:val="4472C4" w:themeColor="accent1"/>
        </w:rPr>
      </w:pPr>
    </w:p>
    <w:p w14:paraId="110E467E" w14:textId="77777777" w:rsidR="006B1D12" w:rsidRPr="00833A00" w:rsidRDefault="006B1D12" w:rsidP="00833A00">
      <w:pPr>
        <w:pStyle w:val="Vietasegundonivel"/>
        <w:ind w:left="0" w:firstLine="0"/>
        <w:rPr>
          <w:color w:val="4472C4" w:themeColor="accent1"/>
        </w:rPr>
      </w:pPr>
    </w:p>
    <w:p w14:paraId="161273B7" w14:textId="77777777" w:rsidR="006B1D12" w:rsidRPr="00833A00" w:rsidRDefault="006B1D12" w:rsidP="00833A00">
      <w:pPr>
        <w:pStyle w:val="Vietasegundonivel"/>
        <w:ind w:left="0" w:firstLine="0"/>
        <w:rPr>
          <w:color w:val="4472C4" w:themeColor="accent1"/>
        </w:rPr>
      </w:pPr>
    </w:p>
    <w:p w14:paraId="752FBCF7" w14:textId="77777777" w:rsidR="006B1D12" w:rsidRPr="00833A00" w:rsidRDefault="006B1D12" w:rsidP="00833A00">
      <w:pPr>
        <w:pStyle w:val="Vietasegundonivel"/>
        <w:ind w:left="0" w:firstLine="0"/>
        <w:rPr>
          <w:color w:val="4472C4" w:themeColor="accent1"/>
        </w:rPr>
      </w:pPr>
    </w:p>
    <w:p w14:paraId="171A9F8A" w14:textId="77777777" w:rsidR="006B1D12" w:rsidRPr="00833A00" w:rsidRDefault="006B1D12" w:rsidP="00833A00">
      <w:pPr>
        <w:pStyle w:val="Vietasegundonivel"/>
        <w:ind w:left="0" w:firstLine="0"/>
        <w:rPr>
          <w:color w:val="4472C4" w:themeColor="accent1"/>
        </w:rPr>
      </w:pPr>
    </w:p>
    <w:p w14:paraId="1EF98642" w14:textId="77777777" w:rsidR="006B1D12" w:rsidRPr="00833A00" w:rsidRDefault="006B1D12" w:rsidP="00833A00">
      <w:pPr>
        <w:pStyle w:val="Vietasegundonivel"/>
        <w:ind w:left="0" w:firstLine="0"/>
        <w:rPr>
          <w:color w:val="4472C4" w:themeColor="accent1"/>
        </w:rPr>
      </w:pPr>
    </w:p>
    <w:p w14:paraId="00FD5B75" w14:textId="77777777" w:rsidR="00E000D5" w:rsidRPr="00833A00" w:rsidRDefault="00E000D5" w:rsidP="00833A00">
      <w:pPr>
        <w:pStyle w:val="Vietasegundonivel"/>
        <w:ind w:left="0" w:firstLine="0"/>
        <w:rPr>
          <w:color w:val="4472C4" w:themeColor="accent1"/>
        </w:rPr>
      </w:pPr>
    </w:p>
    <w:sectPr w:rsidR="00E000D5" w:rsidRPr="00833A00">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729D4" w14:textId="77777777" w:rsidR="00E56579" w:rsidRDefault="00E56579" w:rsidP="006B1D12">
      <w:pPr>
        <w:spacing w:line="240" w:lineRule="auto"/>
      </w:pPr>
      <w:r>
        <w:separator/>
      </w:r>
    </w:p>
  </w:endnote>
  <w:endnote w:type="continuationSeparator" w:id="0">
    <w:p w14:paraId="751F4EEB" w14:textId="77777777" w:rsidR="00E56579" w:rsidRDefault="00E56579" w:rsidP="006B1D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2611"/>
      <w:docPartObj>
        <w:docPartGallery w:val="Page Numbers (Bottom of Page)"/>
        <w:docPartUnique/>
      </w:docPartObj>
    </w:sdtPr>
    <w:sdtContent>
      <w:p w14:paraId="4B2E72F6" w14:textId="3AE1B798" w:rsidR="006B1D12" w:rsidRDefault="006B1D12">
        <w:pPr>
          <w:pStyle w:val="Piedepgina"/>
          <w:jc w:val="right"/>
        </w:pPr>
        <w:r>
          <w:fldChar w:fldCharType="begin"/>
        </w:r>
        <w:r>
          <w:instrText>PAGE   \* MERGEFORMAT</w:instrText>
        </w:r>
        <w:r>
          <w:fldChar w:fldCharType="separate"/>
        </w:r>
        <w:r>
          <w:t>2</w:t>
        </w:r>
        <w:r>
          <w:fldChar w:fldCharType="end"/>
        </w:r>
      </w:p>
    </w:sdtContent>
  </w:sdt>
  <w:p w14:paraId="2623AF2D" w14:textId="77777777" w:rsidR="006B1D12" w:rsidRDefault="006B1D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00877" w14:textId="77777777" w:rsidR="00E56579" w:rsidRDefault="00E56579" w:rsidP="006B1D12">
      <w:pPr>
        <w:spacing w:line="240" w:lineRule="auto"/>
      </w:pPr>
      <w:r>
        <w:separator/>
      </w:r>
    </w:p>
  </w:footnote>
  <w:footnote w:type="continuationSeparator" w:id="0">
    <w:p w14:paraId="0CDC4119" w14:textId="77777777" w:rsidR="00E56579" w:rsidRDefault="00E56579" w:rsidP="006B1D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7F75" w14:textId="4BC0075E" w:rsidR="006B1D12" w:rsidRPr="006B1D12" w:rsidRDefault="006B1D12">
    <w:pPr>
      <w:pStyle w:val="Encabezado"/>
    </w:pPr>
    <w:r w:rsidRPr="006B1D12">
      <w:rPr>
        <w:b/>
        <w:bCs/>
      </w:rPr>
      <w:t>Nombre y apellidos</w:t>
    </w:r>
    <w:r w:rsidRPr="006B1D12">
      <w:t>: Lidia Conde Matos, Lucía Martínez Garrido,</w:t>
    </w:r>
    <w:r>
      <w:t xml:space="preserve"> </w:t>
    </w:r>
    <w:r w:rsidRPr="006B1D12">
      <w:t>María Elena Martínez Garrido</w:t>
    </w:r>
    <w:r>
      <w:t xml:space="preserve">, </w:t>
    </w:r>
    <w:r w:rsidRPr="006B1D12">
      <w:t>Miguel Grande Falceto</w:t>
    </w:r>
    <w:r>
      <w:t xml:space="preserve">, </w:t>
    </w:r>
    <w:r w:rsidRPr="006B1D12">
      <w:t>Paula Andrea Sánchez Álvarez</w:t>
    </w:r>
    <w:r>
      <w:t>.</w:t>
    </w:r>
  </w:p>
  <w:p w14:paraId="340CC16F" w14:textId="77777777" w:rsidR="006B1D12" w:rsidRPr="006B1D12" w:rsidRDefault="006B1D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47ED0"/>
    <w:multiLevelType w:val="multilevel"/>
    <w:tmpl w:val="B0E0186E"/>
    <w:numStyleLink w:val="NumeracinTest"/>
  </w:abstractNum>
  <w:abstractNum w:abstractNumId="1" w15:restartNumberingAfterBreak="0">
    <w:nsid w:val="0F4614E2"/>
    <w:multiLevelType w:val="multilevel"/>
    <w:tmpl w:val="AFA00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93C21"/>
    <w:multiLevelType w:val="hybridMultilevel"/>
    <w:tmpl w:val="DFFC6F6C"/>
    <w:lvl w:ilvl="0" w:tplc="FFFFFFFF">
      <w:start w:val="1"/>
      <w:numFmt w:val="bullet"/>
      <w:lvlText w:val=""/>
      <w:lvlJc w:val="left"/>
      <w:pPr>
        <w:ind w:left="360" w:hanging="360"/>
      </w:pPr>
      <w:rPr>
        <w:rFonts w:ascii="Symbol" w:hAnsi="Symbol" w:hint="default"/>
      </w:rPr>
    </w:lvl>
    <w:lvl w:ilvl="1" w:tplc="0366B48A">
      <w:start w:val="1"/>
      <w:numFmt w:val="bullet"/>
      <w:lvlText w:val=""/>
      <w:lvlJc w:val="left"/>
      <w:pPr>
        <w:ind w:left="1080" w:hanging="360"/>
      </w:pPr>
      <w:rPr>
        <w:rFonts w:ascii="Symbol" w:hAnsi="Symbol" w:hint="default"/>
      </w:rPr>
    </w:lvl>
    <w:lvl w:ilvl="2" w:tplc="0FC8AF1C">
      <w:numFmt w:val="bullet"/>
      <w:lvlText w:val="-"/>
      <w:lvlJc w:val="left"/>
      <w:pPr>
        <w:ind w:left="1800" w:hanging="360"/>
      </w:pPr>
      <w:rPr>
        <w:rFonts w:ascii="Calibri" w:eastAsia="Times New Roman" w:hAnsi="Calibri" w:cs="Calibri"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3CDA4A41"/>
    <w:multiLevelType w:val="hybridMultilevel"/>
    <w:tmpl w:val="E202FA9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 w15:restartNumberingAfterBreak="0">
    <w:nsid w:val="445B2C14"/>
    <w:multiLevelType w:val="hybridMultilevel"/>
    <w:tmpl w:val="EF86A136"/>
    <w:lvl w:ilvl="0" w:tplc="1826B8F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E234C0A"/>
    <w:multiLevelType w:val="multilevel"/>
    <w:tmpl w:val="AFA00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775A110B"/>
    <w:multiLevelType w:val="hybridMultilevel"/>
    <w:tmpl w:val="B1D4B0F6"/>
    <w:lvl w:ilvl="0" w:tplc="1826B8F8">
      <w:start w:val="1"/>
      <w:numFmt w:val="bullet"/>
      <w:lvlText w:val=""/>
      <w:lvlJc w:val="left"/>
      <w:pPr>
        <w:ind w:left="644" w:hanging="360"/>
      </w:pPr>
      <w:rPr>
        <w:rFonts w:ascii="Symbol" w:hAnsi="Symbol" w:hint="default"/>
      </w:rPr>
    </w:lvl>
    <w:lvl w:ilvl="1" w:tplc="40C0625E">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46277328">
    <w:abstractNumId w:val="6"/>
  </w:num>
  <w:num w:numId="2" w16cid:durableId="1267276788">
    <w:abstractNumId w:val="0"/>
    <w:lvlOverride w:ilvl="0">
      <w:lvl w:ilvl="0">
        <w:start w:val="1"/>
        <w:numFmt w:val="decimal"/>
        <w:pStyle w:val="ListanumeradaTEST"/>
        <w:lvlText w:val="%1."/>
        <w:lvlJc w:val="center"/>
        <w:pPr>
          <w:ind w:left="284" w:hanging="284"/>
        </w:pPr>
      </w:lvl>
    </w:lvlOverride>
  </w:num>
  <w:num w:numId="3" w16cid:durableId="1157190566">
    <w:abstractNumId w:val="3"/>
  </w:num>
  <w:num w:numId="4" w16cid:durableId="542599855">
    <w:abstractNumId w:val="2"/>
  </w:num>
  <w:num w:numId="5" w16cid:durableId="719593438">
    <w:abstractNumId w:val="4"/>
  </w:num>
  <w:num w:numId="6" w16cid:durableId="1930577093">
    <w:abstractNumId w:val="7"/>
  </w:num>
  <w:num w:numId="7" w16cid:durableId="482430779">
    <w:abstractNumId w:val="1"/>
  </w:num>
  <w:num w:numId="8" w16cid:durableId="12117243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12"/>
    <w:rsid w:val="0003756E"/>
    <w:rsid w:val="001E3B99"/>
    <w:rsid w:val="00307445"/>
    <w:rsid w:val="003910F2"/>
    <w:rsid w:val="00487CB3"/>
    <w:rsid w:val="00637F09"/>
    <w:rsid w:val="006B1D12"/>
    <w:rsid w:val="006E2707"/>
    <w:rsid w:val="006F63C6"/>
    <w:rsid w:val="007450CC"/>
    <w:rsid w:val="00754E26"/>
    <w:rsid w:val="0076331B"/>
    <w:rsid w:val="007A1209"/>
    <w:rsid w:val="00833A00"/>
    <w:rsid w:val="008B1277"/>
    <w:rsid w:val="008B7B61"/>
    <w:rsid w:val="00930809"/>
    <w:rsid w:val="009D2B5B"/>
    <w:rsid w:val="009D65DE"/>
    <w:rsid w:val="009E053D"/>
    <w:rsid w:val="00A860D4"/>
    <w:rsid w:val="00AA4914"/>
    <w:rsid w:val="00B10523"/>
    <w:rsid w:val="00B21566"/>
    <w:rsid w:val="00B902C5"/>
    <w:rsid w:val="00BA6119"/>
    <w:rsid w:val="00BC6DEF"/>
    <w:rsid w:val="00C04784"/>
    <w:rsid w:val="00CB7407"/>
    <w:rsid w:val="00CF2B65"/>
    <w:rsid w:val="00D15A18"/>
    <w:rsid w:val="00E000D5"/>
    <w:rsid w:val="00E56579"/>
    <w:rsid w:val="00F907A8"/>
    <w:rsid w:val="00F93817"/>
    <w:rsid w:val="00FD11CA"/>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B56DA"/>
  <w15:chartTrackingRefBased/>
  <w15:docId w15:val="{F502F489-078B-48B6-99DD-1353D0890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D12"/>
    <w:pPr>
      <w:spacing w:after="0" w:line="360" w:lineRule="auto"/>
      <w:jc w:val="both"/>
    </w:pPr>
    <w:rPr>
      <w:rFonts w:ascii="Calibri" w:eastAsia="Times New Roman" w:hAnsi="Calibri" w:cs="Times New Roman"/>
      <w:color w:val="333333"/>
      <w:kern w:val="0"/>
      <w:sz w:val="24"/>
      <w:szCs w:val="24"/>
      <w:lang w:eastAsia="es-ES"/>
      <w14:ligatures w14:val="none"/>
    </w:rPr>
  </w:style>
  <w:style w:type="paragraph" w:styleId="Ttulo1">
    <w:name w:val="heading 1"/>
    <w:basedOn w:val="Normal"/>
    <w:next w:val="Normal"/>
    <w:link w:val="Ttulo1Car"/>
    <w:uiPriority w:val="9"/>
    <w:qFormat/>
    <w:rsid w:val="006B1D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B1D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B1D1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B1D1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B1D1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B1D1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1D1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1D1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1D1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1D12"/>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link w:val="Ttulo2"/>
    <w:uiPriority w:val="9"/>
    <w:semiHidden/>
    <w:rsid w:val="006B1D12"/>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link w:val="Ttulo3"/>
    <w:uiPriority w:val="9"/>
    <w:semiHidden/>
    <w:rsid w:val="006B1D12"/>
    <w:rPr>
      <w:rFonts w:eastAsiaTheme="majorEastAsia" w:cstheme="majorBidi"/>
      <w:color w:val="2F5496" w:themeColor="accent1" w:themeShade="BF"/>
      <w:sz w:val="28"/>
      <w:szCs w:val="28"/>
      <w:lang w:val="en-GB"/>
    </w:rPr>
  </w:style>
  <w:style w:type="character" w:customStyle="1" w:styleId="Ttulo4Car">
    <w:name w:val="Título 4 Car"/>
    <w:basedOn w:val="Fuentedeprrafopredeter"/>
    <w:link w:val="Ttulo4"/>
    <w:uiPriority w:val="9"/>
    <w:semiHidden/>
    <w:rsid w:val="006B1D12"/>
    <w:rPr>
      <w:rFonts w:eastAsiaTheme="majorEastAsia" w:cstheme="majorBidi"/>
      <w:i/>
      <w:iCs/>
      <w:color w:val="2F5496" w:themeColor="accent1" w:themeShade="BF"/>
      <w:lang w:val="en-GB"/>
    </w:rPr>
  </w:style>
  <w:style w:type="character" w:customStyle="1" w:styleId="Ttulo5Car">
    <w:name w:val="Título 5 Car"/>
    <w:basedOn w:val="Fuentedeprrafopredeter"/>
    <w:link w:val="Ttulo5"/>
    <w:uiPriority w:val="9"/>
    <w:semiHidden/>
    <w:rsid w:val="006B1D12"/>
    <w:rPr>
      <w:rFonts w:eastAsiaTheme="majorEastAsia" w:cstheme="majorBidi"/>
      <w:color w:val="2F5496" w:themeColor="accent1" w:themeShade="BF"/>
      <w:lang w:val="en-GB"/>
    </w:rPr>
  </w:style>
  <w:style w:type="character" w:customStyle="1" w:styleId="Ttulo6Car">
    <w:name w:val="Título 6 Car"/>
    <w:basedOn w:val="Fuentedeprrafopredeter"/>
    <w:link w:val="Ttulo6"/>
    <w:uiPriority w:val="9"/>
    <w:semiHidden/>
    <w:rsid w:val="006B1D12"/>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6B1D12"/>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6B1D12"/>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6B1D12"/>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6B1D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1D12"/>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6B1D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1D12"/>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6B1D12"/>
    <w:pPr>
      <w:spacing w:before="160"/>
      <w:jc w:val="center"/>
    </w:pPr>
    <w:rPr>
      <w:i/>
      <w:iCs/>
      <w:color w:val="404040" w:themeColor="text1" w:themeTint="BF"/>
    </w:rPr>
  </w:style>
  <w:style w:type="character" w:customStyle="1" w:styleId="CitaCar">
    <w:name w:val="Cita Car"/>
    <w:basedOn w:val="Fuentedeprrafopredeter"/>
    <w:link w:val="Cita"/>
    <w:uiPriority w:val="29"/>
    <w:rsid w:val="006B1D12"/>
    <w:rPr>
      <w:i/>
      <w:iCs/>
      <w:color w:val="404040" w:themeColor="text1" w:themeTint="BF"/>
      <w:lang w:val="en-GB"/>
    </w:rPr>
  </w:style>
  <w:style w:type="paragraph" w:styleId="Prrafodelista">
    <w:name w:val="List Paragraph"/>
    <w:basedOn w:val="Normal"/>
    <w:uiPriority w:val="34"/>
    <w:qFormat/>
    <w:rsid w:val="006B1D12"/>
    <w:pPr>
      <w:ind w:left="720"/>
      <w:contextualSpacing/>
    </w:pPr>
  </w:style>
  <w:style w:type="character" w:styleId="nfasisintenso">
    <w:name w:val="Intense Emphasis"/>
    <w:basedOn w:val="Fuentedeprrafopredeter"/>
    <w:uiPriority w:val="21"/>
    <w:qFormat/>
    <w:rsid w:val="006B1D12"/>
    <w:rPr>
      <w:i/>
      <w:iCs/>
      <w:color w:val="2F5496" w:themeColor="accent1" w:themeShade="BF"/>
    </w:rPr>
  </w:style>
  <w:style w:type="paragraph" w:styleId="Citadestacada">
    <w:name w:val="Intense Quote"/>
    <w:basedOn w:val="Normal"/>
    <w:next w:val="Normal"/>
    <w:link w:val="CitadestacadaCar"/>
    <w:uiPriority w:val="30"/>
    <w:qFormat/>
    <w:rsid w:val="006B1D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B1D12"/>
    <w:rPr>
      <w:i/>
      <w:iCs/>
      <w:color w:val="2F5496" w:themeColor="accent1" w:themeShade="BF"/>
      <w:lang w:val="en-GB"/>
    </w:rPr>
  </w:style>
  <w:style w:type="character" w:styleId="Referenciaintensa">
    <w:name w:val="Intense Reference"/>
    <w:basedOn w:val="Fuentedeprrafopredeter"/>
    <w:uiPriority w:val="32"/>
    <w:qFormat/>
    <w:rsid w:val="006B1D12"/>
    <w:rPr>
      <w:b/>
      <w:bCs/>
      <w:smallCaps/>
      <w:color w:val="2F5496" w:themeColor="accent1" w:themeShade="BF"/>
      <w:spacing w:val="5"/>
    </w:rPr>
  </w:style>
  <w:style w:type="paragraph" w:styleId="Encabezado">
    <w:name w:val="header"/>
    <w:basedOn w:val="Normal"/>
    <w:link w:val="EncabezadoCar"/>
    <w:uiPriority w:val="99"/>
    <w:unhideWhenUsed/>
    <w:rsid w:val="006B1D1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B1D12"/>
    <w:rPr>
      <w:lang w:val="en-GB"/>
    </w:rPr>
  </w:style>
  <w:style w:type="paragraph" w:styleId="Piedepgina">
    <w:name w:val="footer"/>
    <w:basedOn w:val="Normal"/>
    <w:link w:val="PiedepginaCar"/>
    <w:uiPriority w:val="99"/>
    <w:unhideWhenUsed/>
    <w:rsid w:val="006B1D1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B1D12"/>
    <w:rPr>
      <w:lang w:val="en-GB"/>
    </w:rPr>
  </w:style>
  <w:style w:type="numbering" w:customStyle="1" w:styleId="NumeracinTest">
    <w:name w:val="Numeración Test"/>
    <w:uiPriority w:val="99"/>
    <w:rsid w:val="006B1D12"/>
    <w:pPr>
      <w:numPr>
        <w:numId w:val="1"/>
      </w:numPr>
    </w:pPr>
  </w:style>
  <w:style w:type="paragraph" w:customStyle="1" w:styleId="ListanumeradaTEST">
    <w:name w:val="Lista numerada (TEST)"/>
    <w:basedOn w:val="Normal"/>
    <w:qFormat/>
    <w:rsid w:val="006B1D12"/>
    <w:pPr>
      <w:numPr>
        <w:numId w:val="2"/>
      </w:numPr>
    </w:pPr>
  </w:style>
  <w:style w:type="paragraph" w:customStyle="1" w:styleId="Vietasegundonivel">
    <w:name w:val="Viñeta segundo nivel"/>
    <w:basedOn w:val="Normal"/>
    <w:autoRedefine/>
    <w:rsid w:val="00B902C5"/>
    <w:pPr>
      <w:ind w:left="993"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6</Pages>
  <Words>1649</Words>
  <Characters>9073</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martinez  garrido</dc:creator>
  <cp:keywords/>
  <dc:description/>
  <cp:lastModifiedBy>Lidia Conde Matos</cp:lastModifiedBy>
  <cp:revision>34</cp:revision>
  <dcterms:created xsi:type="dcterms:W3CDTF">2026-01-30T17:39:00Z</dcterms:created>
  <dcterms:modified xsi:type="dcterms:W3CDTF">2026-01-31T22:46:00Z</dcterms:modified>
</cp:coreProperties>
</file>