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25D4" w14:textId="1853853D" w:rsidR="002217C8" w:rsidRDefault="00FE5F30">
      <w:r>
        <w:t>Bei diesen Rates wurde FAH aufgrund fehlender Mortalitätswerte weggelassen.</w:t>
      </w:r>
    </w:p>
    <w:sectPr w:rsidR="00221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6"/>
    <w:rsid w:val="002217C8"/>
    <w:rsid w:val="00326FD9"/>
    <w:rsid w:val="00E70EF6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2A0"/>
  <w15:chartTrackingRefBased/>
  <w15:docId w15:val="{BD2A0E54-9956-43FE-A3FC-52B922F5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Elles, Lucian Georg Johannes</dc:creator>
  <cp:keywords/>
  <dc:description/>
  <cp:lastModifiedBy>Elles, Lucian Georg Johannes</cp:lastModifiedBy>
  <cp:revision>2</cp:revision>
  <dcterms:created xsi:type="dcterms:W3CDTF">2023-07-06T16:19:00Z</dcterms:created>
  <dcterms:modified xsi:type="dcterms:W3CDTF">2023-07-06T16:20:00Z</dcterms:modified>
</cp:coreProperties>
</file>