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34A5" w:rsidRPr="009D34A5" w:rsidRDefault="009D34A5" w:rsidP="009A2E5B">
      <w:pPr>
        <w:jc w:val="both"/>
        <w:rPr>
          <w:rFonts w:ascii="Arial" w:hAnsi="Arial" w:cs="Arial"/>
          <w:b/>
        </w:rPr>
      </w:pPr>
      <w:r w:rsidRPr="009D34A5">
        <w:rPr>
          <w:rFonts w:ascii="Arial" w:hAnsi="Arial" w:cs="Arial"/>
          <w:b/>
        </w:rPr>
        <w:t>Definiciones</w:t>
      </w:r>
    </w:p>
    <w:p w:rsidR="005231AE" w:rsidRDefault="005231AE" w:rsidP="009A2E5B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-Vivienda: </w:t>
      </w:r>
      <w:r w:rsidRPr="005231AE">
        <w:rPr>
          <w:rFonts w:ascii="Arial" w:hAnsi="Arial" w:cs="Arial"/>
        </w:rPr>
        <w:t>espacio donde viven personas, que se halla separado por paredes u otros elementos cubiertos por un techo, y sus ocupantes pueden entrar o salir sin pasar por el interior de otras viviendas. Las viviendas pueden haber sido construidas o adaptadas para ser habitadas o bien se utilicen con ese fin la noche de referencia del censo.</w:t>
      </w:r>
    </w:p>
    <w:p w:rsidR="005231AE" w:rsidRDefault="005231AE" w:rsidP="009A2E5B">
      <w:pPr>
        <w:jc w:val="both"/>
        <w:rPr>
          <w:rFonts w:ascii="Arial" w:hAnsi="Arial" w:cs="Arial"/>
          <w:b/>
        </w:rPr>
      </w:pPr>
      <w:r w:rsidRPr="005231AE">
        <w:rPr>
          <w:rFonts w:ascii="Arial" w:hAnsi="Arial" w:cs="Arial"/>
          <w:b/>
        </w:rPr>
        <w:t>-Vivienda particular</w:t>
      </w:r>
      <w:r>
        <w:rPr>
          <w:rFonts w:ascii="Arial" w:hAnsi="Arial" w:cs="Arial"/>
        </w:rPr>
        <w:t xml:space="preserve">: vivienda destinada a alojar personas que viven bajo un mismo régimen familiar. Constituyen tipos de viviendas particulares: casas, ranchos, casillas, departamentos, piezas en inquilinato, piezas en hotel familiar o pensión, viviendas </w:t>
      </w:r>
      <w:bookmarkStart w:id="0" w:name="_GoBack"/>
      <w:bookmarkEnd w:id="0"/>
      <w:r>
        <w:rPr>
          <w:rFonts w:ascii="Arial" w:hAnsi="Arial" w:cs="Arial"/>
        </w:rPr>
        <w:t>móviles, viviendas en lugares de trabajo, locales no construidos para habitación. Las viviendas móviles y los locales no construidos para habitación se consideran viviendas particulares, solo si hubo personas que pasaron la noche de referencia del Censo.</w:t>
      </w:r>
    </w:p>
    <w:p w:rsidR="009A2E5B" w:rsidRPr="009A2E5B" w:rsidRDefault="0018025C" w:rsidP="009A2E5B">
      <w:pPr>
        <w:jc w:val="both"/>
        <w:rPr>
          <w:rFonts w:ascii="Arial" w:hAnsi="Arial" w:cs="Arial"/>
        </w:rPr>
      </w:pPr>
      <w:r w:rsidRPr="009D34A5">
        <w:rPr>
          <w:rFonts w:ascii="Arial" w:hAnsi="Arial" w:cs="Arial"/>
          <w:b/>
        </w:rPr>
        <w:t>-</w:t>
      </w:r>
      <w:r w:rsidR="009A2E5B" w:rsidRPr="009D34A5">
        <w:rPr>
          <w:rFonts w:ascii="Arial" w:hAnsi="Arial" w:cs="Arial"/>
          <w:b/>
        </w:rPr>
        <w:t>Hogar:</w:t>
      </w:r>
      <w:r w:rsidR="009A2E5B" w:rsidRPr="009A2E5B">
        <w:rPr>
          <w:rFonts w:ascii="Arial" w:hAnsi="Arial" w:cs="Arial"/>
        </w:rPr>
        <w:t xml:space="preserve"> Es una persona o grupo de personas, parientes o no, que viven en la misma vivienda y comparten los gastos para la comida. Las personas solas también constituyen un hogar.</w:t>
      </w:r>
    </w:p>
    <w:p w:rsidR="00772BDA" w:rsidRPr="00772BDA" w:rsidRDefault="0018025C" w:rsidP="00772B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772BDA" w:rsidRPr="009D34A5">
        <w:rPr>
          <w:rFonts w:ascii="Arial" w:hAnsi="Arial" w:cs="Arial"/>
          <w:b/>
        </w:rPr>
        <w:t>Población total</w:t>
      </w:r>
      <w:r w:rsidR="00772BDA" w:rsidRPr="00772BDA">
        <w:rPr>
          <w:rFonts w:ascii="Arial" w:hAnsi="Arial" w:cs="Arial"/>
        </w:rPr>
        <w:t>: Es el volumen de población en un año determinado.</w:t>
      </w:r>
    </w:p>
    <w:p w:rsidR="00772BDA" w:rsidRPr="00772BDA" w:rsidRDefault="0018025C" w:rsidP="00772BDA">
      <w:pPr>
        <w:jc w:val="both"/>
        <w:rPr>
          <w:rFonts w:ascii="Arial" w:hAnsi="Arial" w:cs="Arial"/>
        </w:rPr>
      </w:pPr>
      <w:r w:rsidRPr="009D34A5">
        <w:rPr>
          <w:rFonts w:ascii="Arial" w:hAnsi="Arial" w:cs="Arial"/>
          <w:b/>
        </w:rPr>
        <w:t>-</w:t>
      </w:r>
      <w:r w:rsidR="00772BDA" w:rsidRPr="009D34A5">
        <w:rPr>
          <w:rFonts w:ascii="Arial" w:hAnsi="Arial" w:cs="Arial"/>
          <w:b/>
        </w:rPr>
        <w:t>Participación</w:t>
      </w:r>
      <w:r w:rsidR="00772BDA" w:rsidRPr="00772BDA">
        <w:rPr>
          <w:rFonts w:ascii="Arial" w:hAnsi="Arial" w:cs="Arial"/>
        </w:rPr>
        <w:t>: Se refiere al peso de</w:t>
      </w:r>
      <w:r w:rsidR="009D34A5">
        <w:rPr>
          <w:rFonts w:ascii="Arial" w:hAnsi="Arial" w:cs="Arial"/>
        </w:rPr>
        <w:t xml:space="preserve"> un subgrupo poblacional, </w:t>
      </w:r>
      <w:r>
        <w:rPr>
          <w:rFonts w:ascii="Arial" w:hAnsi="Arial" w:cs="Arial"/>
        </w:rPr>
        <w:t xml:space="preserve">respecto de la población total de la provincia </w:t>
      </w:r>
      <w:r w:rsidR="00772BDA" w:rsidRPr="00772BDA">
        <w:rPr>
          <w:rFonts w:ascii="Arial" w:hAnsi="Arial" w:cs="Arial"/>
        </w:rPr>
        <w:t>de Buenos Aires</w:t>
      </w:r>
      <w:r>
        <w:rPr>
          <w:rFonts w:ascii="Arial" w:hAnsi="Arial" w:cs="Arial"/>
        </w:rPr>
        <w:t>.</w:t>
      </w:r>
    </w:p>
    <w:p w:rsidR="00E127FF" w:rsidRPr="00E127FF" w:rsidRDefault="00E127FF" w:rsidP="00E127FF">
      <w:pPr>
        <w:jc w:val="both"/>
        <w:rPr>
          <w:rFonts w:ascii="Arial" w:hAnsi="Arial" w:cs="Arial"/>
        </w:rPr>
      </w:pPr>
      <w:r w:rsidRPr="00E127FF">
        <w:rPr>
          <w:rFonts w:ascii="Arial" w:hAnsi="Arial" w:cs="Arial"/>
          <w:b/>
        </w:rPr>
        <w:t xml:space="preserve">- </w:t>
      </w:r>
      <w:r w:rsidRPr="00E127FF">
        <w:rPr>
          <w:rFonts w:ascii="Arial" w:hAnsi="Arial" w:cs="Arial"/>
          <w:b/>
        </w:rPr>
        <w:t>Tipo de beneficio</w:t>
      </w:r>
      <w:r>
        <w:rPr>
          <w:rFonts w:ascii="Arial" w:hAnsi="Arial" w:cs="Arial"/>
          <w:b/>
        </w:rPr>
        <w:t>:</w:t>
      </w:r>
    </w:p>
    <w:p w:rsidR="00E127FF" w:rsidRPr="00E127FF" w:rsidRDefault="00E127FF" w:rsidP="00E127FF">
      <w:pPr>
        <w:jc w:val="both"/>
        <w:rPr>
          <w:rFonts w:ascii="Arial" w:hAnsi="Arial" w:cs="Arial"/>
        </w:rPr>
      </w:pPr>
      <w:r w:rsidRPr="00E127FF">
        <w:rPr>
          <w:rFonts w:ascii="Arial" w:hAnsi="Arial" w:cs="Arial"/>
          <w:b/>
        </w:rPr>
        <w:t xml:space="preserve">- </w:t>
      </w:r>
      <w:r w:rsidRPr="00E127FF">
        <w:rPr>
          <w:rFonts w:ascii="Arial" w:hAnsi="Arial" w:cs="Arial"/>
          <w:b/>
        </w:rPr>
        <w:t>Percepción de jubilación o pensión</w:t>
      </w:r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</w:t>
      </w:r>
    </w:p>
    <w:p w:rsidR="00DA7B79" w:rsidRPr="00DA7B79" w:rsidRDefault="00DA7B79" w:rsidP="00DA7B79">
      <w:pPr>
        <w:jc w:val="both"/>
        <w:rPr>
          <w:rFonts w:ascii="Arial" w:hAnsi="Arial" w:cs="Arial"/>
        </w:rPr>
      </w:pPr>
      <w:r w:rsidRPr="00DA7B79">
        <w:rPr>
          <w:rFonts w:ascii="Arial" w:hAnsi="Arial" w:cs="Arial"/>
        </w:rPr>
        <w:t>-</w:t>
      </w:r>
      <w:r w:rsidRPr="009D34A5">
        <w:rPr>
          <w:rFonts w:ascii="Arial" w:hAnsi="Arial" w:cs="Arial"/>
          <w:b/>
        </w:rPr>
        <w:t>Cobertura de salud</w:t>
      </w:r>
      <w:r w:rsidRPr="00DA7B79">
        <w:rPr>
          <w:rFonts w:ascii="Arial" w:hAnsi="Arial" w:cs="Arial"/>
        </w:rPr>
        <w:t>:</w:t>
      </w:r>
    </w:p>
    <w:p w:rsidR="009A2E5B" w:rsidRDefault="00DA7B79" w:rsidP="00DA7B79">
      <w:pPr>
        <w:jc w:val="both"/>
        <w:rPr>
          <w:rFonts w:ascii="Arial" w:hAnsi="Arial" w:cs="Arial"/>
        </w:rPr>
      </w:pPr>
      <w:r w:rsidRPr="00DA7B79">
        <w:rPr>
          <w:rFonts w:ascii="Arial" w:hAnsi="Arial" w:cs="Arial"/>
        </w:rPr>
        <w:t>A los fines censales se considera que la población tiene cobertura de salud cuando declara tener obra social (incluyendo al PAMI), prepaga a través de obra social, prepaga sólo por contratación voluntaria, o programas o planes estatales de salud.</w:t>
      </w:r>
      <w:r w:rsidR="00E127FF">
        <w:rPr>
          <w:rFonts w:ascii="Arial" w:hAnsi="Arial" w:cs="Arial"/>
        </w:rPr>
        <w:t xml:space="preserve"> </w:t>
      </w:r>
    </w:p>
    <w:p w:rsidR="00896A6A" w:rsidRDefault="00896A6A" w:rsidP="00896A6A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896A6A">
        <w:rPr>
          <w:rFonts w:ascii="Arial" w:hAnsi="Arial" w:cs="Arial"/>
          <w:b/>
        </w:rPr>
        <w:t>Obra social (Incluye PAMI)</w:t>
      </w:r>
      <w:r>
        <w:rPr>
          <w:rFonts w:ascii="Arial" w:hAnsi="Arial" w:cs="Arial"/>
        </w:rPr>
        <w:t xml:space="preserve">: cobertura de salud que obtienen los trabajadores por el descuento en sus salarios, en su haber previsional o a través de su aporte (para los </w:t>
      </w:r>
      <w:proofErr w:type="spellStart"/>
      <w:r>
        <w:rPr>
          <w:rFonts w:ascii="Arial" w:hAnsi="Arial" w:cs="Arial"/>
        </w:rPr>
        <w:t>monotributistas</w:t>
      </w:r>
      <w:proofErr w:type="spellEnd"/>
      <w:r>
        <w:rPr>
          <w:rFonts w:ascii="Arial" w:hAnsi="Arial" w:cs="Arial"/>
        </w:rPr>
        <w:t xml:space="preserve"> o autónomos). Incluye a los familiares del titular. Este descuento les permite estar afiliados a obras sociales sindicales, de empleados estatales nacionales, provinciales o municipales, del poder judicial, del poder legislativo o del PAMI.</w:t>
      </w:r>
    </w:p>
    <w:p w:rsidR="00896A6A" w:rsidRDefault="00896A6A" w:rsidP="00896A6A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896A6A">
        <w:rPr>
          <w:rFonts w:ascii="Arial" w:hAnsi="Arial" w:cs="Arial"/>
          <w:b/>
        </w:rPr>
        <w:t>Prepaga a través de obra social:</w:t>
      </w:r>
      <w:r>
        <w:rPr>
          <w:rFonts w:ascii="Arial" w:hAnsi="Arial" w:cs="Arial"/>
        </w:rPr>
        <w:t xml:space="preserve"> pertenencia al sistema de medicina privada a través del aporte de una obra social.</w:t>
      </w:r>
    </w:p>
    <w:p w:rsidR="00896A6A" w:rsidRDefault="00896A6A" w:rsidP="00896A6A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896A6A">
        <w:rPr>
          <w:rFonts w:ascii="Arial" w:hAnsi="Arial" w:cs="Arial"/>
          <w:b/>
        </w:rPr>
        <w:t>Prepaga solo por contratación voluntaria</w:t>
      </w:r>
      <w:r>
        <w:rPr>
          <w:rFonts w:ascii="Arial" w:hAnsi="Arial" w:cs="Arial"/>
        </w:rPr>
        <w:t>: sistema de salud privado contratado voluntariamente y pagado en su totalidad por el titular. Se excluye la contratación de un servicio de emergencias médicas que solamente preste el servicio de traslado en ambulancia desde el domicilio particular a un centro de atención de salud.</w:t>
      </w:r>
    </w:p>
    <w:p w:rsidR="00896A6A" w:rsidRDefault="00896A6A" w:rsidP="00896A6A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Programas o planes estatales de salud</w:t>
      </w:r>
      <w:r w:rsidRPr="00896A6A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programas o planes de salud estatales nacionales-como el PROFE o el plan NACER-, provinciales, </w:t>
      </w:r>
      <w:r w:rsidR="00380764">
        <w:rPr>
          <w:rFonts w:ascii="Arial" w:hAnsi="Arial" w:cs="Arial"/>
        </w:rPr>
        <w:t>municipales entre otros, que otorgan derecho a atención médica mediante la inscripción en un padrón.</w:t>
      </w:r>
    </w:p>
    <w:p w:rsidR="00380764" w:rsidRPr="00380764" w:rsidRDefault="00380764" w:rsidP="00380764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Por el contrario, aquellas personas que declaran no poseer ninguna de las opciones mencionadas son consideradas como “población sin cobertura de salud”.</w:t>
      </w:r>
    </w:p>
    <w:p w:rsidR="009D34A5" w:rsidRPr="009A2E5B" w:rsidRDefault="009D34A5" w:rsidP="00DA7B79">
      <w:pPr>
        <w:jc w:val="both"/>
        <w:rPr>
          <w:rFonts w:ascii="Arial" w:hAnsi="Arial" w:cs="Arial"/>
        </w:rPr>
      </w:pPr>
    </w:p>
    <w:p w:rsidR="009A2E5B" w:rsidRPr="009A2E5B" w:rsidRDefault="009A2E5B" w:rsidP="009A2E5B">
      <w:pPr>
        <w:jc w:val="both"/>
        <w:rPr>
          <w:rFonts w:ascii="Arial" w:hAnsi="Arial" w:cs="Arial"/>
        </w:rPr>
      </w:pPr>
    </w:p>
    <w:p w:rsidR="009A2E5B" w:rsidRPr="009A2E5B" w:rsidRDefault="009A2E5B" w:rsidP="009A2E5B">
      <w:pPr>
        <w:jc w:val="both"/>
        <w:rPr>
          <w:rFonts w:ascii="Arial" w:hAnsi="Arial" w:cs="Arial"/>
        </w:rPr>
      </w:pPr>
    </w:p>
    <w:p w:rsidR="009A2E5B" w:rsidRPr="00E33D18" w:rsidRDefault="009A2E5B" w:rsidP="00E33D18">
      <w:pPr>
        <w:jc w:val="both"/>
        <w:rPr>
          <w:rFonts w:ascii="Arial" w:hAnsi="Arial" w:cs="Arial"/>
        </w:rPr>
      </w:pPr>
    </w:p>
    <w:sectPr w:rsidR="009A2E5B" w:rsidRPr="00E33D18" w:rsidSect="0022273E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03679"/>
    <w:multiLevelType w:val="hybridMultilevel"/>
    <w:tmpl w:val="EAB2698C"/>
    <w:lvl w:ilvl="0" w:tplc="E100659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A57669"/>
    <w:multiLevelType w:val="hybridMultilevel"/>
    <w:tmpl w:val="3F8C3476"/>
    <w:lvl w:ilvl="0" w:tplc="5C00EA2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C05D2F"/>
    <w:multiLevelType w:val="hybridMultilevel"/>
    <w:tmpl w:val="2E6673F2"/>
    <w:lvl w:ilvl="0" w:tplc="2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EE2"/>
    <w:rsid w:val="000F402D"/>
    <w:rsid w:val="0018025C"/>
    <w:rsid w:val="001C3BA7"/>
    <w:rsid w:val="0022273E"/>
    <w:rsid w:val="00257C04"/>
    <w:rsid w:val="002B458E"/>
    <w:rsid w:val="002D54D7"/>
    <w:rsid w:val="00320728"/>
    <w:rsid w:val="00380764"/>
    <w:rsid w:val="0043374C"/>
    <w:rsid w:val="00512CF4"/>
    <w:rsid w:val="005231AE"/>
    <w:rsid w:val="0056567B"/>
    <w:rsid w:val="005C2430"/>
    <w:rsid w:val="00633799"/>
    <w:rsid w:val="006F0851"/>
    <w:rsid w:val="00772BDA"/>
    <w:rsid w:val="007C0023"/>
    <w:rsid w:val="008016ED"/>
    <w:rsid w:val="008103C3"/>
    <w:rsid w:val="0082649D"/>
    <w:rsid w:val="00896A6A"/>
    <w:rsid w:val="008E251B"/>
    <w:rsid w:val="009A2E5B"/>
    <w:rsid w:val="009D34A5"/>
    <w:rsid w:val="00A04CDD"/>
    <w:rsid w:val="00A608FF"/>
    <w:rsid w:val="00A62EE2"/>
    <w:rsid w:val="00A86FCD"/>
    <w:rsid w:val="00AB5C01"/>
    <w:rsid w:val="00C30B28"/>
    <w:rsid w:val="00C32426"/>
    <w:rsid w:val="00C975F8"/>
    <w:rsid w:val="00DA7B79"/>
    <w:rsid w:val="00E127FF"/>
    <w:rsid w:val="00E33D18"/>
    <w:rsid w:val="00E84A2A"/>
    <w:rsid w:val="00EC11A3"/>
    <w:rsid w:val="00EC7013"/>
    <w:rsid w:val="00EC7610"/>
    <w:rsid w:val="00F24879"/>
    <w:rsid w:val="00F7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F08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F0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434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Ortale</dc:creator>
  <cp:lastModifiedBy>Juan Bampi</cp:lastModifiedBy>
  <cp:revision>3</cp:revision>
  <cp:lastPrinted>2016-09-28T14:25:00Z</cp:lastPrinted>
  <dcterms:created xsi:type="dcterms:W3CDTF">2016-09-28T14:40:00Z</dcterms:created>
  <dcterms:modified xsi:type="dcterms:W3CDTF">2016-09-28T20:35:00Z</dcterms:modified>
</cp:coreProperties>
</file>