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Arquitetura Técnica Consolidada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Experimento 3 — Esquema Híbrido de Assinatura (PS256 + ML-DSA-65) via Strong Nesting</w:t>
      </w:r>
    </w:p>
    <w:p>
      <w:pPr>
        <w:pBdr>
          <w:bottom w:val="single" w:color="1F3864" w:sz="6" w:space="4"/>
        </w:pBdr>
        <w:spacing w:after="8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Luciano Figueiredo Coelho   |   PPGCC/LabSEC/UFSC</w:t>
      </w:r>
    </w:p>
    <w:p>
      <w:pPr>
        <w:spacing w:after="2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Objetivo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Este documento reúne a arquitetura definitiva do Experimento 3 — o esquema híbrido de assinatura que combina PS256 (clássico) e ML-DSA-65 (pós-quântico) no fluxo de consentimento OPIN. Cada decisão é explicada de forma direta, em linguagem simples, com a referência científica que a sustenta.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Princípio Central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SAD (Slide 14 — Hybrid Signature Mechanism) define a ideia base: cada artefato assinado no fluxo — o token que o cliente usa para se identificar, os tokens emitidos pelo Servidor de Autorização, as respostas do Servidor de Dados — passa a carregar duas assinaturas ao mesmo tempo, uma clássica e uma pós-quântica. Quem recebe esse artefato só aceita se as duas assinaturas forem válidas. Se qualquer uma delas falhar, o artefato inteiro é rejeitado.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Mecanismo de Composição — Strong Nesting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 duas assinaturas não são geradas de forma independente — elas são encadeadas, seguindo a técnica chamada Strong Nesting (Bindel, Herath, McKague &amp; Stebila, 2017, PQCrypto). O processo tem duas etapas.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Primeiro, a mensagem é assinada com PS256, produzindo σ1 (lê-se "sigma um"). Depois, em vez de assinar a mensagem original de novo, o algoritmo ML-DSA-65 assina a mensagem junto com σ1 — ou seja, a segunda assinatura "abraça" a primeira. O resultado final transmitido é σ1 seguido de σ2 ("sigma dois").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Essa amarração entre as duas assinaturas é o que diferencia o Strong Nesting de uma simples concatenação, onde as duas assinaturas seriam geradas separadamente, sem relação entre si. Com o encadeamento, ninguém consegue pegar um σ1 válido e trocar por um σ2 de outra mensagem — a combinação só é válida se as duas peças pertencerem exatamente uma à outra.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Bindel et al. (2017) provam formalmente que essa técnica garante um nível de segurança mais forte (chamado SUF-CMA) do que a concatenação simples, que garante apenas um nível mais fraco (EUF-CMA). Janneck (2025) confirma esse mesmo resultado com uma prova mais recente.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verificação segue a mesma lógica, na ordem inversa: primeiro verifica σ1 contra a mensagem original; depois reconstrói "mensagem + σ1" e verifica σ2 contra essa reconstrução. Só se as duas verificações passarem é que o artefato é aceito.</w:t>
      </w:r>
    </w:p>
    <w:p>
      <w:pPr>
        <w:spacing w:after="120"/>
      </w:pPr>
      <w:r>
        <w:t xml:space="preserve"/>
      </w:r>
    </w:p>
    <w:p>
      <w:pPr>
        <w:spacing w:after="120" w:line="2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Como ler a Figura 1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diagrama tem duas metades. A de cima mostra o que acontece quando uma mensagem é assinada; a de baixo, o que acontece quando ela é verificada pelo lado que a recebe.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 caixas azuis são operações do algoritmo clássico (PS256). As caixas laranjas são operações do algoritmo pós-quântico (ML-DSA-65). As caixas roxas são os passos de concatenação, onde duas informações são coladas em uma só. No final, o losango vermelho é o ponto de decisão: só passa dali para "aceito" se as duas verificações anteriores tiverem dado certo.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Siga as setas de cima para baixo: a mensagem entra no topo, passa pelas duas assinaturas em sequência — primeiro a azul, depois a laranja, porque a laranja depende do resultado da azul —, sai como um token pronto, é recebida do outro lado, passa pelas duas verificações na mesma ordem, e termina no losango de decisão.</w:t>
      </w:r>
    </w:p>
    <w:p>
      <w:pPr>
        <w:spacing w:after="120"/>
      </w:pPr>
      <w:r>
        <w:t xml:space="preserve"/>
      </w:r>
    </w:p>
    <w:p>
      <w:pPr>
        <w:spacing w:after="80"/>
        <w:jc w:val="center"/>
      </w:pPr>
      <w:r>
        <w:drawing>
          <wp:inline distT="0" distB="0" distL="0" distR="0">
            <wp:extent cx="2476500" cy="1223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23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100"/>
        <w:jc w:val="center"/>
      </w:pPr>
      <w:r>
        <w:rPr>
          <w:rFonts w:ascii="Arial" w:cs="Arial" w:eastAsia="Arial" w:hAnsi="Arial"/>
          <w:i/>
          <w:iCs/>
          <w:color w:val="1F3864"/>
          <w:sz w:val="18"/>
          <w:szCs w:val="18"/>
        </w:rPr>
        <w:t xml:space="preserve">Figura 1 — Diagrama de Atividades UML: mecanismo de assinatura e verificação via Strong Nesting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Justificativa da Porta AND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verificação exige que as duas assinaturas sejam válidas, não apenas uma. Para forjar um artefato, um atacante precisaria quebrar PS256 e ML-DSA-65 ao mesmo tempo — enquanto pelo menos um dos dois permanecer seguro, o esquema resiste (Bindel et al., 2017).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Essa escolha também é reforçada pela diferença de maturidade entre os dois algoritmos. PS256/RSA acumula décadas de uso e de tentativas de ataque, sem falhas estruturais conhecidas. ML-DSA, padronizado pelo NIST em 2024, ainda está em fase inicial de validação pela comunidade científica. Se o sistema aceitasse qualquer uma das duas assinaturas isoladamente, bastaria comprometer o algoritmo mais fraco entre os dois para forjar um artefato aceito — a exigência de que as duas sejam válidas usa a maturidade do algoritmo clássico como rede de segurança enquanto o pós-quântico acumula o mesmo tempo de validação.</w:t>
      </w:r>
    </w:p>
    <w:p>
      <w:pPr>
        <w:spacing w:after="280" w:line="28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Referências: </w:t>
      </w:r>
      <w:r>
        <w:rPr>
          <w:rFonts w:ascii="Arial" w:cs="Arial" w:eastAsia="Arial" w:hAnsi="Arial"/>
          <w:sz w:val="22"/>
          <w:szCs w:val="22"/>
        </w:rPr>
        <w:t xml:space="preserve">Bindel, N., Herath, U., McKague, M., Stebila, D. "Transitioning to a Quantum-Resistant Public Key Infrastructure." PQCrypto 2017. — Janneck, J. "Bird of Prey: Practical Signature Combiners Preserving Strong Unforgeability." 2025 (Springer, DOI 10.1007/978-3-032-25317-0_8).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Formato do Header do JWT Híbrido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Todo JWT tem uma parte inicial (o header) que diz qual algoritmo foi usado para assinar e qual chave usar para verificar. No esquema híbrido, o campo que identifica o algoritmo passa a declarar a combinação: MLDSA65-RSA2048-PSS-SHA256. O componente RSA permanece em 2048 bits — não em 3072 bits, como seria recomendado para casar o nível de segurança com o ML-DSA-65 — para manter continuidade direta com o que já foi medido nos Experimentos 1 e 2.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Essa combinação de algoritmos sempre significa Strong Nesting neste projeto — não existe ambiguidade sobre qual método usar na hora de verificar, porque essa convenção fica documentada na arquitetura, não escondida no código. O identificador da chave (kid) é único, apontando para a chave pública híbrida composta, explicada na próxima seção. Como nenhuma biblioteca pronta do mercado reconhece esse algoritmo combinado, a verificação continua sendo implementação própria — o mesmo caminho que a tese já seguiu desde o Experimento 2.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Arquitetura de Chaves Públicas Híbridas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Para verificar as duas assinaturas, quem recebe o artefato precisa conseguir encontrar as duas chaves públicas de quem assinou. A identidade pública de cada participante — Servidor de Autorização, Servidor de Dados, ou o próprio cliente — passa a ser a junção das duas chaves em uma só, publicada num único identificador no endereço público onde as chaves ficam disponíveis (o /jwks). Quem recebe o artefato consulta esse endereço, pega essa chave conjunta, e a separa de volta nas suas duas partes, porque cada algoritmo tem um tamanho fixo e conhecido — a separação nunca é ambígua.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Esse princípio de juntar duas chaves em uma só já existe na literatura, aplicado a contas de blockchain (Coelho et al.), onde a chave é obtida matematicamente a partir do próprio endereço da conta, sem precisar de um local público de consulta. O OPIN tem um problema diferente: vários participantes precisam descobrir as chaves uns dos outros através de um endereço público na internet. Essa aplicação do princípio a um cenário de descoberta pública ainda não aparece na literatura revisada, e é uma contribuição original desta tese.</w:t>
      </w:r>
    </w:p>
    <w:p>
      <w:pPr>
        <w:spacing w:after="120"/>
      </w:pPr>
      <w:r>
        <w:t xml:space="preserve"/>
      </w:r>
    </w:p>
    <w:p>
      <w:pPr>
        <w:spacing w:after="120" w:line="2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Como ler a Figura 2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Esse diagrama não é sobre assinar uma mensagem — é sobre como cada participante prepara e divulga sua identidade digital, para que os outros consigam verificá-la depois.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faixa amarela no topo mostra o ponto de partida: cada participante gera dois pares de chaves, um clássico e um pós-quântico. As caixas roxas mostram o que acontece com essas chaves — elas são coladas em uma única chave composta, recebem um único identificador, e são publicadas num endereço público que qualquer participante pode consultar. O cilindro amarelo representa esse local de publicação, como um repositório.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Da metade para baixo, o diagrama mostra o caminho inverso: outro participante, ao receber um token assinado, precisa descobrir a chave pública de quem assinou. Ele consulta o repositório, recupera a chave composta, e a separa de volta nas suas duas partes originais. As duas caixas no final, azul e laranja, mostram para onde essas chaves separadas vão: alimentar exatamente os dois passos de verificação que aparecem na Figura 1.</w:t>
      </w:r>
    </w:p>
    <w:p>
      <w:pPr>
        <w:spacing w:after="120"/>
      </w:pPr>
      <w:r>
        <w:t xml:space="preserve"/>
      </w:r>
    </w:p>
    <w:p>
      <w:pPr>
        <w:spacing w:after="80"/>
        <w:jc w:val="center"/>
      </w:pPr>
      <w:r>
        <w:drawing>
          <wp:inline distT="0" distB="0" distL="0" distR="0">
            <wp:extent cx="2857500" cy="854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5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before="100"/>
        <w:jc w:val="center"/>
      </w:pPr>
      <w:r>
        <w:rPr>
          <w:rFonts w:ascii="Arial" w:cs="Arial" w:eastAsia="Arial" w:hAnsi="Arial"/>
          <w:i/>
          <w:iCs/>
          <w:color w:val="1F3864"/>
          <w:sz w:val="18"/>
          <w:szCs w:val="18"/>
        </w:rPr>
        <w:t xml:space="preserve">Figura 2 — Arquitetura de composição, publicação e descoberta de chaves públicas híbridas via JWKS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Certificado mTLS Híbrido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>O certificado do cliente e o certificado do servidor do gateway seguem o mesmo princípio de encadeamento da Seção 3, adaptado por Bindel et al. (2019) para o caso específico de certificados — mas em ordem invertida em relação à Seção 3, por um motivo prático: um verificador tradicional, que não entende PQC, só confere uma única assinatura — a que já existe hoje, no campo padrão do certificado. Para que ninguém consiga trocar o material pós-quântico sem ser percebido nem por esse verificador antigo, essa única assinatura clássica precisa cobrir tudo, inclusive os campos novos. Por isso a assinatura pós-quântica é feita primeiro, sobre o certificado ainda incompleto (sem o campo que vai guardar essa própria assinatura); só depois, com esse campo já preenchido, a assinatura clássica é feita por último, sobre o certificado já completo, com todos os campos novos inclusos.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>Essas duas assinaturas são guardadas fisicamente no certificado através de três campos adicionais, não-obrigatórios (Bindel et al., 2019): um carrega a chave pública ML-DSA-65, outro carrega a assinatura pós-quântica, e o terceiro identifica qual algoritmo pós-quântico foi usado. Por não serem obrigatórios, um sistema antigo que ainda não entende PQC simplesmente os ignora e continua validando o certificado pela assinatura RSA normal — nada quebra para quem ainda não migrou, e essa assinatura RSA, por cobrir o certificado já completo, também protege os campos novos contra adulteração, mesmo para quem não sabe verificá-los. A autoridade certificadora local assina o certificado duas vezes: primeiro com ML-DSA-65, sobre o certificado ainda sem o campo da própria assinatura pós-quântica; depois com RSA, como sempre fez, mas agora por último, já sobre o certificado completo.</w:t>
      </w:r>
    </w:p>
    <w:p>
      <w:pPr>
        <w:spacing w:after="280" w:line="28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Referências: </w:t>
      </w:r>
      <w:r>
        <w:rPr>
          <w:rFonts w:ascii="Arial" w:cs="Arial" w:eastAsia="Arial" w:hAnsi="Arial"/>
          <w:sz w:val="22"/>
          <w:szCs w:val="22"/>
        </w:rPr>
        <w:t xml:space="preserve">Bindel, N., Herath, U., McKague, M., Stebila, D. "Transitioning to a Quantum-Resistant Public Key Infrastructure." PQCrypto 2017. — Bindel, N. et al. "X.509-Compliant Hybrid Certificates for the Post-Quantum Transition." Journal of Open Source Software, 4(40), 1606, 2019.</w:t>
      </w:r>
    </w:p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Mapeamento para os Componentes já Implementados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arquitetura híbrida reutiliza integralmente o que já foi construído e validado nos Experimentos 1 e 2 — nenhum componente precisa ser feito do zero.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Reaproveitado dos Experimentos 1/2</w:t>
            </w:r>
          </w:p>
        </w:tc>
        <w:tc>
          <w:tcPr>
            <w:tcW w:type="dxa" w:w="36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F3864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Extensão para o Experimento 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Authorization Server (Node.js, jose v6)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Assina com PS256 ou ML-DSA-65, conforme CRYPTO_PROFILE.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Assina com PS256, concatena com a mensagem, assina o resultado com ML-DSA-65 — ativado por CRYPTO_PROFILE=hybrid.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Resource Server (Java, BouncyCastle 1.79)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ResponseSigningFilter já assina respostas com PS256 ou ML-DSA-65.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Mesma lógica de encadeamento aplicada ao filtro já existente.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Certificado mTLS (cliente e gateway)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Certificados PQC puros já gerados e validados (client_one_pqc, op_pqc, mtls_pqc).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Certificado clássico com três extensões X.509 não-críticas carregando a camada pós-quântica encadeada (Seção 7).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Configuração (CRYPTO_PROFILE)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Alterna entre classic e pqc, um crypto-profiles/*.json por vez.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Novo valor hybrid ativa a rotina de assinatura encadeada em cada componente.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Verificação (nos dois lados)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 uma assinatura por vez.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 σ1, reconstrói m‖σ1, verifica σ2 sobre essa reconstrução, aplica a porta AND.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Métricas e pipeline (opin_flow.py, Equação OPINsize)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Válidos e reutilizados integralmente.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line="256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Produzem um terceiro conjunto de valores, usando os novos tamanhos de JWT, handshake e chave como entrada da mesma equação.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Metodologia Experimental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Experimento 3 mantém os mesmos 6 cenários de latência dos Experimentos 1 e 2 (0ms, 14ms, 30ms, 140ms, 225ms, 320ms), para que a comparação entre os três experimentos continue direta. O objetivo aqui é confirmar que a arquitetura híbrida funciona de verdade e produz um overhead coerente com o que já sabemos de cada algoritmo isoladamente — não medir desempenho em escala industrial.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Como no Strong Nesting a segunda verificação depende do resultado da primeira por construção, e não só por uma limitação de como o computador executa instruções, espera-se que o tempo de verificação seja cumulativo — a soma das duas etapas, não o tempo da mais lenta das duas. Esse mesmo padrão foi observado por Coelho et al. num contexto de blockchain: como o ML-DSA não recupera a chave pública automaticamente (diferente do RSA), o tempo total de autenticação ali também foi a soma das duas verificações. Essa expectativa pode ser testada diretamente com a mesma Equação OPINsize que a tese já usa, sem precisar de nenhuma medição nova.</w:t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O teste de capacidade sob carga concorrente que aparece no mesmo artigo não faz parte desta arquitetura — ele mede um gargalo específico de redes de blockchain com múltiplos validadores replicando blocos, um problema que não existe na estrutura cliente-servidor do OPIN.</w:t>
      </w:r>
    </w:p>
    <w:p>
      <w:pPr>
        <w:spacing w:after="140"/>
      </w:pPr>
      <w:r>
        <w:t xml:space="preserve"/>
      </w:r>
    </w:p>
    <w:p>
      <w:pPr>
        <w:spacing w:after="200" w:line="280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Este documento está submetido à validação dos orientadores.</w:t>
      </w:r>
    </w:p>
    <w:sectPr>
      <w:pgSz w:w="12240" w:h="15840" w:orient="portrait"/>
      <w:pgMar w:top="1260" w:right="1080" w:bottom="12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30bc2fcec3e264663b43f65c870689ac8e0831.png"/><Relationship Id="rId8" Type="http://schemas.openxmlformats.org/officeDocument/2006/relationships/image" Target="media/b4f2b7542f58d58d049a070c43d768d15fee48d8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2026-08-22T00:49:36.412Z</dcterms:created>
  <dcterms:modified xsi:type="dcterms:W3CDTF">2026-08-22T00:49:36.427Z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