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539C" w14:textId="77777777" w:rsidR="004702ED" w:rsidRPr="004702ED" w:rsidRDefault="004702ED" w:rsidP="004702ED">
      <w:pPr>
        <w:rPr>
          <w:b/>
          <w:bCs/>
        </w:rPr>
      </w:pPr>
      <w:r w:rsidRPr="004702ED">
        <w:rPr>
          <w:b/>
          <w:bCs/>
        </w:rPr>
        <w:t>Paper introduttivo e argomentativo per la marcatura TEI della Prefazione e del Capitolo Primo</w:t>
      </w:r>
    </w:p>
    <w:p w14:paraId="4ACE55AC" w14:textId="77777777" w:rsidR="004702ED" w:rsidRPr="004702ED" w:rsidRDefault="004702ED" w:rsidP="004702ED">
      <w:pPr>
        <w:rPr>
          <w:b/>
          <w:bCs/>
        </w:rPr>
      </w:pPr>
      <w:r w:rsidRPr="004702ED">
        <w:rPr>
          <w:b/>
          <w:bCs/>
        </w:rPr>
        <w:t>1. Introduzione</w:t>
      </w:r>
    </w:p>
    <w:p w14:paraId="68B984B1" w14:textId="35A45C90" w:rsidR="004702ED" w:rsidRPr="004702ED" w:rsidRDefault="004702ED" w:rsidP="004702ED">
      <w:r w:rsidRPr="004702ED">
        <w:t xml:space="preserve">Le sezioni iniziali del </w:t>
      </w:r>
      <w:r w:rsidRPr="004702ED">
        <w:rPr>
          <w:i/>
          <w:iCs/>
        </w:rPr>
        <w:t>Castello dell’anima</w:t>
      </w:r>
      <w:r w:rsidRPr="004702ED">
        <w:t xml:space="preserve"> – la Prefazione al Libro III e il Capitolo Primo (“Disposizione che lascia nell’anima la notte dello spirito”) – costituiscono uno dei punti più delicati dell’autografo di suor Teresa di San Geronimo, sia sotto il profilo dottrinale sia come struttura retorico-prudenziale. L’edizione critica e gli studi di riferimento mostrano che proprio in queste carte la monaca attua la più alta densità di strategie difensive, cautelative e regolative. Tali strategie non vanno lette solo come topoi della scrittura spirituale femminile, ma come risposte </w:t>
      </w:r>
      <w:r w:rsidRPr="004702ED">
        <w:rPr>
          <w:i/>
          <w:iCs/>
        </w:rPr>
        <w:t>materiali</w:t>
      </w:r>
      <w:r w:rsidRPr="004702ED">
        <w:t xml:space="preserve"> a un contesto storico altamente sorvegliato, segnato dal processo inquisitoriale per quietismo che la coinvolse fra il 1695 e il 1703. </w:t>
      </w:r>
    </w:p>
    <w:p w14:paraId="30247901" w14:textId="7D7FC46B" w:rsidR="004702ED" w:rsidRPr="004702ED" w:rsidRDefault="004702ED" w:rsidP="004702ED">
      <w:r w:rsidRPr="004702ED">
        <w:t xml:space="preserve">Le pagine autografe del Libro III presentano infatti non solo dichiarazioni esplicite, ma anche una costellazione di </w:t>
      </w:r>
      <w:r w:rsidRPr="004702ED">
        <w:rPr>
          <w:b/>
          <w:bCs/>
        </w:rPr>
        <w:t>glosse marginali</w:t>
      </w:r>
      <w:r w:rsidRPr="004702ED">
        <w:t xml:space="preserve">, </w:t>
      </w:r>
      <w:r w:rsidRPr="004702ED">
        <w:rPr>
          <w:b/>
          <w:bCs/>
        </w:rPr>
        <w:t>aggiunte interlineari</w:t>
      </w:r>
      <w:r w:rsidRPr="004702ED">
        <w:t xml:space="preserve">, </w:t>
      </w:r>
      <w:r w:rsidRPr="004702ED">
        <w:rPr>
          <w:b/>
          <w:bCs/>
        </w:rPr>
        <w:t>precisazioni tecniche</w:t>
      </w:r>
      <w:r w:rsidRPr="004702ED">
        <w:t xml:space="preserve"> e </w:t>
      </w:r>
      <w:r w:rsidRPr="004702ED">
        <w:rPr>
          <w:b/>
          <w:bCs/>
        </w:rPr>
        <w:t>rettifiche dottrinali</w:t>
      </w:r>
      <w:r w:rsidRPr="004702ED">
        <w:t xml:space="preserve"> vergate con inchiostro differente e, secondo l’analisi paleografica, </w:t>
      </w:r>
      <w:r w:rsidRPr="004702ED">
        <w:rPr>
          <w:i/>
          <w:iCs/>
        </w:rPr>
        <w:t>per lo più posteriori alla stesura originaria</w:t>
      </w:r>
      <w:r w:rsidRPr="004702ED">
        <w:t xml:space="preserve">. Queste glosse svolgono una funzione decisiva di contenimento e “raffreddamento” di formule potenzialmente eterodosse: passaggi sulla luce divina, sull’unione trasformante, sull’annichilazione delle potenze, sul ruolo ormai superfluo del padre spirituale, o sull’essere l’anima “divenuta un altro Dio”, punti espressamente attenzionati dagli inquisitori. </w:t>
      </w:r>
    </w:p>
    <w:p w14:paraId="0242FB20" w14:textId="77777777" w:rsidR="004702ED" w:rsidRPr="004702ED" w:rsidRDefault="004702ED" w:rsidP="004702ED">
      <w:r w:rsidRPr="004702ED">
        <w:t xml:space="preserve">La marcatura TEI proposta intende mettere a sistema questa dinamica, organizzando le porzioni testuali secondo un paradigma di </w:t>
      </w:r>
      <w:r w:rsidRPr="004702ED">
        <w:rPr>
          <w:b/>
          <w:bCs/>
        </w:rPr>
        <w:t>funzioni prudenziali</w:t>
      </w:r>
      <w:r w:rsidRPr="004702ED">
        <w:t xml:space="preserve">: </w:t>
      </w:r>
      <w:proofErr w:type="spellStart"/>
      <w:r w:rsidRPr="004702ED">
        <w:t>attenuatio</w:t>
      </w:r>
      <w:proofErr w:type="spellEnd"/>
      <w:r w:rsidRPr="004702ED">
        <w:t xml:space="preserve">, </w:t>
      </w:r>
      <w:proofErr w:type="spellStart"/>
      <w:r w:rsidRPr="004702ED">
        <w:t>legitimatio</w:t>
      </w:r>
      <w:proofErr w:type="spellEnd"/>
      <w:r w:rsidRPr="004702ED">
        <w:t xml:space="preserve">, </w:t>
      </w:r>
      <w:proofErr w:type="spellStart"/>
      <w:r w:rsidRPr="004702ED">
        <w:t>declaratio</w:t>
      </w:r>
      <w:proofErr w:type="spellEnd"/>
      <w:r w:rsidRPr="004702ED">
        <w:t xml:space="preserve">, </w:t>
      </w:r>
      <w:proofErr w:type="spellStart"/>
      <w:r w:rsidRPr="004702ED">
        <w:t>precisatio</w:t>
      </w:r>
      <w:proofErr w:type="spellEnd"/>
      <w:r w:rsidRPr="004702ED">
        <w:t xml:space="preserve">, </w:t>
      </w:r>
      <w:proofErr w:type="spellStart"/>
      <w:r w:rsidRPr="004702ED">
        <w:t>biblic</w:t>
      </w:r>
      <w:proofErr w:type="spellEnd"/>
      <w:r w:rsidRPr="004702ED">
        <w:t xml:space="preserve"> </w:t>
      </w:r>
      <w:proofErr w:type="spellStart"/>
      <w:r w:rsidRPr="004702ED">
        <w:t>anchoring</w:t>
      </w:r>
      <w:proofErr w:type="spellEnd"/>
      <w:r w:rsidRPr="004702ED">
        <w:t>, e glosse correttive. Il frammento TEI non mira dunque solo ad annotare le strutture retoriche, ma a ricostruire il comportamento regolativo del testo come “macchina difensiva”, in cui la scrittura, l’autocensura e la correzione postuma si stratificano in un dispositivo unitario.</w:t>
      </w:r>
    </w:p>
    <w:p w14:paraId="5EA8B358" w14:textId="77777777" w:rsidR="004702ED" w:rsidRPr="004702ED" w:rsidRDefault="00000000" w:rsidP="004702ED">
      <w:r>
        <w:pict w14:anchorId="33F94EEB">
          <v:rect id="_x0000_i1025" style="width:0;height:1.5pt" o:hralign="center" o:hrstd="t" o:hr="t" fillcolor="#a0a0a0" stroked="f"/>
        </w:pict>
      </w:r>
    </w:p>
    <w:p w14:paraId="08F52412" w14:textId="77777777" w:rsidR="004702ED" w:rsidRPr="004702ED" w:rsidRDefault="004702ED" w:rsidP="004702ED">
      <w:pPr>
        <w:rPr>
          <w:b/>
          <w:bCs/>
        </w:rPr>
      </w:pPr>
      <w:r w:rsidRPr="004702ED">
        <w:rPr>
          <w:b/>
          <w:bCs/>
        </w:rPr>
        <w:t>2. Argomentazione: perché questi due blocchi testuali sono ideali per un prototipo TEI</w:t>
      </w:r>
    </w:p>
    <w:p w14:paraId="3F757CA3" w14:textId="77777777" w:rsidR="004702ED" w:rsidRPr="004702ED" w:rsidRDefault="004702ED" w:rsidP="004702ED">
      <w:pPr>
        <w:rPr>
          <w:b/>
          <w:bCs/>
        </w:rPr>
      </w:pPr>
      <w:r w:rsidRPr="004702ED">
        <w:rPr>
          <w:b/>
          <w:bCs/>
        </w:rPr>
        <w:t>2.1. Prefazione: il paratesto come soglia protettiva</w:t>
      </w:r>
    </w:p>
    <w:p w14:paraId="193B589A" w14:textId="77777777" w:rsidR="004702ED" w:rsidRPr="004702ED" w:rsidRDefault="004702ED" w:rsidP="004702ED">
      <w:r w:rsidRPr="004702ED">
        <w:t>La Prefazione al Libro III non è un mero prologo ma una vera “zona franca” teologicamente monitorata. In essa Teresa attua tre mosse retoriche, ampiamente riconosciute dagli studi:</w:t>
      </w:r>
    </w:p>
    <w:p w14:paraId="14C2C831" w14:textId="77777777" w:rsidR="004702ED" w:rsidRPr="004702ED" w:rsidRDefault="004702ED" w:rsidP="004702ED">
      <w:pPr>
        <w:numPr>
          <w:ilvl w:val="0"/>
          <w:numId w:val="1"/>
        </w:numPr>
      </w:pPr>
      <w:r w:rsidRPr="004702ED">
        <w:rPr>
          <w:b/>
          <w:bCs/>
        </w:rPr>
        <w:t>Obbedienza performativa</w:t>
      </w:r>
      <w:r w:rsidRPr="004702ED">
        <w:t xml:space="preserve"> (scrivo per comando del padre spirituale).</w:t>
      </w:r>
      <w:r w:rsidRPr="004702ED">
        <w:br/>
        <w:t xml:space="preserve">Tale formula è un dispositivo di autorizzazione e deresponsabilizzazione, il cui valore è testimoniato dalle deposizioni processuali, nelle quali l’accusa principale era proprio la “presunzione di farsi maestra”. </w:t>
      </w:r>
      <w:hyperlink r:id="rId5" w:history="1">
        <w:r w:rsidRPr="004702ED">
          <w:rPr>
            <w:rStyle w:val="Collegamentoipertestuale"/>
          </w:rPr>
          <w:t>[00_Il_Cast...eresa_di-1 | PDF]</w:t>
        </w:r>
      </w:hyperlink>
    </w:p>
    <w:p w14:paraId="0F86B4C7" w14:textId="77777777" w:rsidR="004702ED" w:rsidRPr="004702ED" w:rsidRDefault="004702ED" w:rsidP="004702ED">
      <w:pPr>
        <w:numPr>
          <w:ilvl w:val="0"/>
          <w:numId w:val="1"/>
        </w:numPr>
      </w:pPr>
      <w:r w:rsidRPr="004702ED">
        <w:rPr>
          <w:b/>
          <w:bCs/>
        </w:rPr>
        <w:t>Invocazione della sapienza divina e dichiarazione d’ignoranza.</w:t>
      </w:r>
      <w:r w:rsidRPr="004702ED">
        <w:br/>
        <w:t xml:space="preserve">La formula è insieme </w:t>
      </w:r>
      <w:r w:rsidRPr="004702ED">
        <w:rPr>
          <w:i/>
          <w:iCs/>
        </w:rPr>
        <w:t xml:space="preserve">captatio </w:t>
      </w:r>
      <w:proofErr w:type="spellStart"/>
      <w:r w:rsidRPr="004702ED">
        <w:rPr>
          <w:i/>
          <w:iCs/>
        </w:rPr>
        <w:t>indulgentiae</w:t>
      </w:r>
      <w:proofErr w:type="spellEnd"/>
      <w:r w:rsidRPr="004702ED">
        <w:t xml:space="preserve">, auto-declassamento retorico e dichiarazione strategica di incompetenza teologica, cruciale per una donna senza </w:t>
      </w:r>
      <w:r w:rsidRPr="004702ED">
        <w:lastRenderedPageBreak/>
        <w:t>lettere umane, in un ambiente che vietava alle religiose non claustrali l’insegnamento dottrinale.</w:t>
      </w:r>
    </w:p>
    <w:p w14:paraId="3DD1F9E1" w14:textId="77777777" w:rsidR="004702ED" w:rsidRPr="004702ED" w:rsidRDefault="004702ED" w:rsidP="004702ED">
      <w:pPr>
        <w:numPr>
          <w:ilvl w:val="0"/>
          <w:numId w:val="1"/>
        </w:numPr>
      </w:pPr>
      <w:r w:rsidRPr="004702ED">
        <w:rPr>
          <w:b/>
          <w:bCs/>
        </w:rPr>
        <w:t>Clausola ortodossa esplicita</w:t>
      </w:r>
      <w:r w:rsidRPr="004702ED">
        <w:t>:</w:t>
      </w:r>
      <w:r w:rsidRPr="004702ED">
        <w:br/>
        <w:t xml:space="preserve">La più importante: «se ciò </w:t>
      </w:r>
      <w:proofErr w:type="spellStart"/>
      <w:r w:rsidRPr="004702ED">
        <w:t>accaderà</w:t>
      </w:r>
      <w:proofErr w:type="spellEnd"/>
      <w:r w:rsidRPr="004702ED">
        <w:t xml:space="preserve">, non sarà per malizia… non sarà per </w:t>
      </w:r>
      <w:r w:rsidRPr="004702ED">
        <w:rPr>
          <w:i/>
          <w:iCs/>
        </w:rPr>
        <w:t>molinia</w:t>
      </w:r>
      <w:r w:rsidRPr="004702ED">
        <w:t>, ma per ignoranza» (II.I.1).</w:t>
      </w:r>
      <w:r w:rsidRPr="004702ED">
        <w:br/>
        <w:t xml:space="preserve">Qui la monaca pronuncia il nome proibito — </w:t>
      </w:r>
      <w:proofErr w:type="spellStart"/>
      <w:r w:rsidRPr="004702ED">
        <w:rPr>
          <w:i/>
          <w:iCs/>
        </w:rPr>
        <w:t>Molinos</w:t>
      </w:r>
      <w:proofErr w:type="spellEnd"/>
      <w:r w:rsidRPr="004702ED">
        <w:t xml:space="preserve"> — solo per negarlo. È un punto nodale dell’intero processo. Nel </w:t>
      </w:r>
      <w:r w:rsidRPr="004702ED">
        <w:rPr>
          <w:b/>
          <w:bCs/>
        </w:rPr>
        <w:t>modello TEI</w:t>
      </w:r>
      <w:r w:rsidRPr="004702ED">
        <w:t xml:space="preserve"> va marcato come: </w:t>
      </w:r>
      <w:hyperlink r:id="rId6" w:history="1">
        <w:r w:rsidRPr="004702ED">
          <w:rPr>
            <w:rStyle w:val="Collegamentoipertestuale"/>
          </w:rPr>
          <w:t>[0_Casapull...</w:t>
        </w:r>
        <w:proofErr w:type="spellStart"/>
        <w:r w:rsidRPr="004702ED">
          <w:rPr>
            <w:rStyle w:val="Collegamentoipertestuale"/>
          </w:rPr>
          <w:t>o_edizione</w:t>
        </w:r>
        <w:proofErr w:type="spellEnd"/>
        <w:r w:rsidRPr="004702ED">
          <w:rPr>
            <w:rStyle w:val="Collegamentoipertestuale"/>
          </w:rPr>
          <w:t xml:space="preserve"> | PDF]</w:t>
        </w:r>
      </w:hyperlink>
    </w:p>
    <w:p w14:paraId="3B6C006F" w14:textId="77777777" w:rsidR="004702ED" w:rsidRPr="004702ED" w:rsidRDefault="004702ED" w:rsidP="004702ED">
      <w:pPr>
        <w:numPr>
          <w:ilvl w:val="0"/>
          <w:numId w:val="2"/>
        </w:numPr>
      </w:pPr>
      <w:r w:rsidRPr="004702ED">
        <w:rPr>
          <w:i/>
          <w:iCs/>
        </w:rPr>
        <w:t>disclaimer anti-quietista</w:t>
      </w:r>
    </w:p>
    <w:p w14:paraId="3959780B" w14:textId="77777777" w:rsidR="004702ED" w:rsidRPr="004702ED" w:rsidRDefault="004702ED" w:rsidP="004702ED">
      <w:pPr>
        <w:numPr>
          <w:ilvl w:val="0"/>
          <w:numId w:val="2"/>
        </w:numPr>
      </w:pPr>
      <w:r w:rsidRPr="004702ED">
        <w:t>indicatore di rischio teologico</w:t>
      </w:r>
    </w:p>
    <w:p w14:paraId="385F100B" w14:textId="77777777" w:rsidR="004702ED" w:rsidRPr="004702ED" w:rsidRDefault="004702ED" w:rsidP="004702ED">
      <w:pPr>
        <w:numPr>
          <w:ilvl w:val="0"/>
          <w:numId w:val="2"/>
        </w:numPr>
      </w:pPr>
      <w:r w:rsidRPr="004702ED">
        <w:t>punto di controllo per le varianti controfattuali (cosa accadrebbe rimuovendo il riferimento a “molinia”).</w:t>
      </w:r>
    </w:p>
    <w:p w14:paraId="31F74BDD" w14:textId="77777777" w:rsidR="004702ED" w:rsidRPr="004702ED" w:rsidRDefault="004702ED" w:rsidP="004702ED">
      <w:r w:rsidRPr="004702ED">
        <w:t>La Prefazione è quindi un testo “di protocollo”: definisce l’orizzonte di autorizzazione, delimita i perimetri, rinsalda l’ortodossia. È la soglia perfetta per sperimentare un sistema TEI che modelli la prudenza discorsiva non solo come gesto stilistico, ma come comportamento storico-materiale.</w:t>
      </w:r>
    </w:p>
    <w:p w14:paraId="77263D44" w14:textId="77777777" w:rsidR="004702ED" w:rsidRPr="004702ED" w:rsidRDefault="00000000" w:rsidP="004702ED">
      <w:r>
        <w:pict w14:anchorId="7E5567BB">
          <v:rect id="_x0000_i1026" style="width:0;height:1.5pt" o:hralign="center" o:hrstd="t" o:hr="t" fillcolor="#a0a0a0" stroked="f"/>
        </w:pict>
      </w:r>
    </w:p>
    <w:p w14:paraId="11094DB2" w14:textId="77777777" w:rsidR="004702ED" w:rsidRPr="004702ED" w:rsidRDefault="004702ED" w:rsidP="004702ED">
      <w:pPr>
        <w:rPr>
          <w:b/>
          <w:bCs/>
        </w:rPr>
      </w:pPr>
      <w:r w:rsidRPr="004702ED">
        <w:rPr>
          <w:b/>
          <w:bCs/>
        </w:rPr>
        <w:t>2.2. Capitolo Primo: la più alta densità mistico-dottrinale</w:t>
      </w:r>
    </w:p>
    <w:p w14:paraId="2CF66009" w14:textId="77777777" w:rsidR="004702ED" w:rsidRPr="004702ED" w:rsidRDefault="004702ED" w:rsidP="004702ED">
      <w:r w:rsidRPr="004702ED">
        <w:t xml:space="preserve">Il Capitolo Primo inaugura la sezione contemplativa del Libro III. La fenomenologia della “notte dello spirito” riprende schemi carmelitani, ma presenta un numero elevato di consonanze formali con la </w:t>
      </w:r>
      <w:r w:rsidRPr="004702ED">
        <w:rPr>
          <w:i/>
          <w:iCs/>
        </w:rPr>
        <w:t>Guida spirituale</w:t>
      </w:r>
      <w:r w:rsidRPr="004702ED">
        <w:t xml:space="preserve"> di Miguel de Molinos, come ricostruito da </w:t>
      </w:r>
      <w:proofErr w:type="spellStart"/>
      <w:r w:rsidRPr="004702ED">
        <w:t>Casapullo</w:t>
      </w:r>
      <w:proofErr w:type="spellEnd"/>
      <w:r w:rsidRPr="004702ED">
        <w:t xml:space="preserve"> (pp. 451–454). </w:t>
      </w:r>
      <w:hyperlink r:id="rId7" w:history="1">
        <w:r w:rsidRPr="004702ED">
          <w:rPr>
            <w:rStyle w:val="Collegamentoipertestuale"/>
          </w:rPr>
          <w:t>[00_Il_Cast...eresa_di-1 | PDF]</w:t>
        </w:r>
      </w:hyperlink>
    </w:p>
    <w:p w14:paraId="02CEFFDB" w14:textId="77777777" w:rsidR="004702ED" w:rsidRPr="004702ED" w:rsidRDefault="004702ED" w:rsidP="004702ED">
      <w:r w:rsidRPr="004702ED">
        <w:t>Proprio per questo, nel Capitolo Primo si registrano:</w:t>
      </w:r>
    </w:p>
    <w:p w14:paraId="5A3A2C14" w14:textId="77777777" w:rsidR="004702ED" w:rsidRPr="004702ED" w:rsidRDefault="004702ED" w:rsidP="004702ED">
      <w:pPr>
        <w:numPr>
          <w:ilvl w:val="0"/>
          <w:numId w:val="3"/>
        </w:numPr>
      </w:pPr>
      <w:r w:rsidRPr="004702ED">
        <w:rPr>
          <w:b/>
          <w:bCs/>
        </w:rPr>
        <w:t>i passaggi più rischiosi</w:t>
      </w:r>
      <w:r w:rsidRPr="004702ED">
        <w:t xml:space="preserve"> dal punto di vista inquisitoriale (luce che fa godere/patire; annichilazione; sospensione delle potenze; disintermediazione del padre spirituale);</w:t>
      </w:r>
    </w:p>
    <w:p w14:paraId="04B9EBF7" w14:textId="77777777" w:rsidR="004702ED" w:rsidRPr="004702ED" w:rsidRDefault="004702ED" w:rsidP="004702ED">
      <w:pPr>
        <w:numPr>
          <w:ilvl w:val="0"/>
          <w:numId w:val="3"/>
        </w:numPr>
      </w:pPr>
      <w:r w:rsidRPr="004702ED">
        <w:rPr>
          <w:b/>
          <w:bCs/>
        </w:rPr>
        <w:t>la più alta concentrazione di glosse</w:t>
      </w:r>
      <w:r w:rsidRPr="004702ED">
        <w:t xml:space="preserve"> (spesso a posteriori), con formule stabilizzatrici del tipo: </w:t>
      </w:r>
    </w:p>
    <w:p w14:paraId="6B9E0E09" w14:textId="77777777" w:rsidR="004702ED" w:rsidRPr="004702ED" w:rsidRDefault="004702ED" w:rsidP="004702ED">
      <w:pPr>
        <w:numPr>
          <w:ilvl w:val="1"/>
          <w:numId w:val="3"/>
        </w:numPr>
      </w:pPr>
      <w:r w:rsidRPr="004702ED">
        <w:t>«cioè: …»</w:t>
      </w:r>
    </w:p>
    <w:p w14:paraId="298D6F06" w14:textId="77777777" w:rsidR="004702ED" w:rsidRPr="004702ED" w:rsidRDefault="004702ED" w:rsidP="004702ED">
      <w:pPr>
        <w:numPr>
          <w:ilvl w:val="1"/>
          <w:numId w:val="3"/>
        </w:numPr>
      </w:pPr>
      <w:r w:rsidRPr="004702ED">
        <w:t>«questo non s’intende…»</w:t>
      </w:r>
    </w:p>
    <w:p w14:paraId="31E9077B" w14:textId="77777777" w:rsidR="004702ED" w:rsidRPr="004702ED" w:rsidRDefault="004702ED" w:rsidP="004702ED">
      <w:pPr>
        <w:numPr>
          <w:ilvl w:val="1"/>
          <w:numId w:val="3"/>
        </w:numPr>
      </w:pPr>
      <w:r w:rsidRPr="004702ED">
        <w:t>«io mi dichiaro che…»</w:t>
      </w:r>
    </w:p>
    <w:p w14:paraId="53D0CC67" w14:textId="77777777" w:rsidR="004702ED" w:rsidRPr="004702ED" w:rsidRDefault="004702ED" w:rsidP="004702ED">
      <w:pPr>
        <w:numPr>
          <w:ilvl w:val="0"/>
          <w:numId w:val="3"/>
        </w:numPr>
      </w:pPr>
      <w:r w:rsidRPr="004702ED">
        <w:rPr>
          <w:b/>
          <w:bCs/>
        </w:rPr>
        <w:t>un uso sistematico di metafore barocche e semicolte</w:t>
      </w:r>
      <w:r w:rsidRPr="004702ED">
        <w:t xml:space="preserve"> (statua “</w:t>
      </w:r>
      <w:proofErr w:type="spellStart"/>
      <w:r w:rsidRPr="004702ED">
        <w:t>astinuata</w:t>
      </w:r>
      <w:proofErr w:type="spellEnd"/>
      <w:r w:rsidRPr="004702ED">
        <w:t>”, acque, mare, Mongibello), che da un lato facilitano l’espressione di concetti difficili, dall’altro generano ulteriori necessità di chiarificazione.</w:t>
      </w:r>
    </w:p>
    <w:p w14:paraId="0C3E79A4" w14:textId="77777777" w:rsidR="004702ED" w:rsidRPr="004702ED" w:rsidRDefault="004702ED" w:rsidP="004702ED">
      <w:r w:rsidRPr="004702ED">
        <w:t xml:space="preserve">L’operazione centrale del Capitolo Primo è un </w:t>
      </w:r>
      <w:r w:rsidRPr="004702ED">
        <w:rPr>
          <w:i/>
          <w:iCs/>
        </w:rPr>
        <w:t>doppio movimento</w:t>
      </w:r>
      <w:r w:rsidRPr="004702ED">
        <w:t>:</w:t>
      </w:r>
    </w:p>
    <w:p w14:paraId="53CD4379" w14:textId="77777777" w:rsidR="004702ED" w:rsidRPr="004702ED" w:rsidRDefault="004702ED" w:rsidP="004702ED">
      <w:pPr>
        <w:numPr>
          <w:ilvl w:val="0"/>
          <w:numId w:val="4"/>
        </w:numPr>
      </w:pPr>
      <w:r w:rsidRPr="004702ED">
        <w:rPr>
          <w:b/>
          <w:bCs/>
        </w:rPr>
        <w:lastRenderedPageBreak/>
        <w:t>affermazione mistica massimalista</w:t>
      </w:r>
      <w:r w:rsidRPr="004702ED">
        <w:t>, tendente all’assoluto (“unione”, “luce divina”, “investitura”, “vita nuova”);</w:t>
      </w:r>
    </w:p>
    <w:p w14:paraId="04A249F5" w14:textId="77777777" w:rsidR="004702ED" w:rsidRPr="004702ED" w:rsidRDefault="004702ED" w:rsidP="004702ED">
      <w:pPr>
        <w:numPr>
          <w:ilvl w:val="0"/>
          <w:numId w:val="4"/>
        </w:numPr>
      </w:pPr>
      <w:r w:rsidRPr="004702ED">
        <w:rPr>
          <w:b/>
          <w:bCs/>
        </w:rPr>
        <w:t>intervento immediato di chiarificazione, raffreddamento, normazione</w:t>
      </w:r>
      <w:r w:rsidRPr="004702ED">
        <w:t xml:space="preserve"> – spesso in forma di glossa materiale.</w:t>
      </w:r>
    </w:p>
    <w:p w14:paraId="60FBFD0A" w14:textId="77777777" w:rsidR="004702ED" w:rsidRPr="004702ED" w:rsidRDefault="004702ED" w:rsidP="004702ED">
      <w:r w:rsidRPr="004702ED">
        <w:t>Questo modello discorsivo (afflato → glossa → ripresa chiarita) è altamente adatto a essere modellato in TEI attraverso:</w:t>
      </w:r>
    </w:p>
    <w:p w14:paraId="3E275BF3" w14:textId="77777777" w:rsidR="004702ED" w:rsidRPr="004702ED" w:rsidRDefault="004702ED" w:rsidP="004702ED">
      <w:pPr>
        <w:numPr>
          <w:ilvl w:val="0"/>
          <w:numId w:val="5"/>
        </w:numPr>
      </w:pPr>
      <w:r w:rsidRPr="004702ED">
        <w:t>marcature di sequenze testuali “a rischio” (@risk="quietism"),</w:t>
      </w:r>
    </w:p>
    <w:p w14:paraId="06FF41A9" w14:textId="77777777" w:rsidR="004702ED" w:rsidRPr="004702ED" w:rsidRDefault="004702ED" w:rsidP="004702ED">
      <w:pPr>
        <w:numPr>
          <w:ilvl w:val="0"/>
          <w:numId w:val="5"/>
        </w:numPr>
      </w:pPr>
      <w:r w:rsidRPr="004702ED">
        <w:t xml:space="preserve">annotazione delle glosse come </w:t>
      </w:r>
      <w:r w:rsidRPr="004702ED">
        <w:rPr>
          <w:b/>
          <w:bCs/>
        </w:rPr>
        <w:t>istanze separate</w:t>
      </w:r>
      <w:r w:rsidRPr="004702ED">
        <w:t xml:space="preserve">, con attributi di: </w:t>
      </w:r>
    </w:p>
    <w:p w14:paraId="0986B5B5" w14:textId="77777777" w:rsidR="004702ED" w:rsidRPr="004702ED" w:rsidRDefault="004702ED" w:rsidP="004702ED">
      <w:pPr>
        <w:numPr>
          <w:ilvl w:val="1"/>
          <w:numId w:val="5"/>
        </w:numPr>
      </w:pPr>
      <w:r w:rsidRPr="004702ED">
        <w:t>intervento correttivo,</w:t>
      </w:r>
    </w:p>
    <w:p w14:paraId="0FF594E8" w14:textId="77777777" w:rsidR="004702ED" w:rsidRPr="004702ED" w:rsidRDefault="004702ED" w:rsidP="004702ED">
      <w:pPr>
        <w:numPr>
          <w:ilvl w:val="1"/>
          <w:numId w:val="5"/>
        </w:numPr>
      </w:pPr>
      <w:r w:rsidRPr="004702ED">
        <w:t>temporalità diversa della scrittura,</w:t>
      </w:r>
    </w:p>
    <w:p w14:paraId="5B5E4BF1" w14:textId="77777777" w:rsidR="004702ED" w:rsidRPr="004702ED" w:rsidRDefault="004702ED" w:rsidP="004702ED">
      <w:pPr>
        <w:numPr>
          <w:ilvl w:val="1"/>
          <w:numId w:val="5"/>
        </w:numPr>
      </w:pPr>
      <w:r w:rsidRPr="004702ED">
        <w:t>funzione prudenziale.</w:t>
      </w:r>
    </w:p>
    <w:p w14:paraId="4B943737" w14:textId="77777777" w:rsidR="004702ED" w:rsidRPr="004702ED" w:rsidRDefault="004702ED" w:rsidP="004702ED">
      <w:r w:rsidRPr="004702ED">
        <w:t>Il Capitolo Primo diventa così un laboratorio ideale per testare un algoritmo di IA dedicato alla rilevazione automatica di segmenti ad alta esposizione teologica e delle relative contromisure.</w:t>
      </w:r>
    </w:p>
    <w:p w14:paraId="10170A95" w14:textId="77777777" w:rsidR="004702ED" w:rsidRPr="004702ED" w:rsidRDefault="00000000" w:rsidP="004702ED">
      <w:r>
        <w:pict w14:anchorId="2D797363">
          <v:rect id="_x0000_i1027" style="width:0;height:1.5pt" o:hralign="center" o:hrstd="t" o:hr="t" fillcolor="#a0a0a0" stroked="f"/>
        </w:pict>
      </w:r>
    </w:p>
    <w:p w14:paraId="5EFDA22F" w14:textId="77777777" w:rsidR="004702ED" w:rsidRPr="004702ED" w:rsidRDefault="004702ED" w:rsidP="004702ED">
      <w:pPr>
        <w:rPr>
          <w:b/>
          <w:bCs/>
        </w:rPr>
      </w:pPr>
      <w:r w:rsidRPr="004702ED">
        <w:rPr>
          <w:b/>
          <w:bCs/>
        </w:rPr>
        <w:t>2.3. Il valore delle glosse materiali come oggetto TEI</w:t>
      </w:r>
    </w:p>
    <w:p w14:paraId="4343DDC9" w14:textId="77777777" w:rsidR="004702ED" w:rsidRPr="004702ED" w:rsidRDefault="004702ED" w:rsidP="004702ED">
      <w:r w:rsidRPr="004702ED">
        <w:t xml:space="preserve">La lezione più innovativa offerta dagli allegati è che le glosse non sono meri segnali retorici: sono </w:t>
      </w:r>
      <w:r w:rsidRPr="004702ED">
        <w:rPr>
          <w:b/>
          <w:bCs/>
        </w:rPr>
        <w:t>materiali, fisiche, visibili</w:t>
      </w:r>
      <w:r w:rsidRPr="004702ED">
        <w:t>, spesso in margine o negli interstizi, con inchiostro diverso e grafia più rapida. Costituiscono una “seconda voce” dentro il testo, talvolta in relazione dialettica con la voce primaria.</w:t>
      </w:r>
    </w:p>
    <w:p w14:paraId="1DA03366" w14:textId="77777777" w:rsidR="004702ED" w:rsidRPr="004702ED" w:rsidRDefault="004702ED" w:rsidP="004702ED">
      <w:r w:rsidRPr="004702ED">
        <w:t>Per un progetto TEI+IA, questo implica introduzione di categorie quali:</w:t>
      </w:r>
    </w:p>
    <w:p w14:paraId="25E09F8E" w14:textId="77777777" w:rsidR="004702ED" w:rsidRPr="004702ED" w:rsidRDefault="004702ED" w:rsidP="004702ED">
      <w:pPr>
        <w:numPr>
          <w:ilvl w:val="0"/>
          <w:numId w:val="6"/>
        </w:numPr>
      </w:pPr>
      <w:r w:rsidRPr="004702ED">
        <w:t>con @place (</w:t>
      </w:r>
      <w:proofErr w:type="spellStart"/>
      <w:r w:rsidRPr="004702ED">
        <w:t>margin</w:t>
      </w:r>
      <w:proofErr w:type="spellEnd"/>
      <w:r w:rsidRPr="004702ED">
        <w:t>, interlinear, bottom)</w:t>
      </w:r>
    </w:p>
    <w:p w14:paraId="3555D9B6" w14:textId="77777777" w:rsidR="004702ED" w:rsidRPr="004702ED" w:rsidRDefault="004702ED" w:rsidP="004702ED">
      <w:pPr>
        <w:numPr>
          <w:ilvl w:val="0"/>
          <w:numId w:val="6"/>
        </w:numPr>
      </w:pPr>
      <w:r w:rsidRPr="004702ED">
        <w:rPr>
          <w:b/>
          <w:bCs/>
        </w:rPr>
        <w:t>@hand</w:t>
      </w:r>
      <w:r w:rsidRPr="004702ED">
        <w:t xml:space="preserve"> per distinguere mani diverse</w:t>
      </w:r>
    </w:p>
    <w:p w14:paraId="398DEDC4" w14:textId="77777777" w:rsidR="004702ED" w:rsidRPr="004702ED" w:rsidRDefault="004702ED" w:rsidP="004702ED">
      <w:pPr>
        <w:numPr>
          <w:ilvl w:val="0"/>
          <w:numId w:val="6"/>
        </w:numPr>
      </w:pPr>
      <w:r w:rsidRPr="004702ED">
        <w:rPr>
          <w:b/>
          <w:bCs/>
        </w:rPr>
        <w:t>@type="prudential"</w:t>
      </w:r>
    </w:p>
    <w:p w14:paraId="14E73918" w14:textId="77777777" w:rsidR="004702ED" w:rsidRPr="004702ED" w:rsidRDefault="004702ED" w:rsidP="004702ED">
      <w:pPr>
        <w:numPr>
          <w:ilvl w:val="0"/>
          <w:numId w:val="6"/>
        </w:numPr>
        <w:rPr>
          <w:lang w:val="pt-BR"/>
        </w:rPr>
      </w:pPr>
      <w:r w:rsidRPr="004702ED">
        <w:rPr>
          <w:b/>
          <w:bCs/>
          <w:lang w:val="pt-BR"/>
        </w:rPr>
        <w:t>@function="attenuatio" | "</w:t>
      </w:r>
      <w:proofErr w:type="spellStart"/>
      <w:r w:rsidRPr="004702ED">
        <w:rPr>
          <w:b/>
          <w:bCs/>
          <w:lang w:val="pt-BR"/>
        </w:rPr>
        <w:t>clarificatio</w:t>
      </w:r>
      <w:proofErr w:type="spellEnd"/>
      <w:r w:rsidRPr="004702ED">
        <w:rPr>
          <w:b/>
          <w:bCs/>
          <w:lang w:val="pt-BR"/>
        </w:rPr>
        <w:t>" | "</w:t>
      </w:r>
      <w:proofErr w:type="spellStart"/>
      <w:r w:rsidRPr="004702ED">
        <w:rPr>
          <w:b/>
          <w:bCs/>
          <w:lang w:val="pt-BR"/>
        </w:rPr>
        <w:t>orthodox-stabilizer</w:t>
      </w:r>
      <w:proofErr w:type="spellEnd"/>
      <w:r w:rsidRPr="004702ED">
        <w:rPr>
          <w:b/>
          <w:bCs/>
          <w:lang w:val="pt-BR"/>
        </w:rPr>
        <w:t>"</w:t>
      </w:r>
    </w:p>
    <w:p w14:paraId="05860CBD" w14:textId="77777777" w:rsidR="004702ED" w:rsidRPr="004702ED" w:rsidRDefault="004702ED" w:rsidP="004702ED">
      <w:r w:rsidRPr="004702ED">
        <w:t>La Prefazione e il Capitolo Primo sono le due sezioni dove queste dinamiche appaiono simultaneamente: dichiarazioni programmatiche + testo mistico + glosse correttive. Sono dunque il punto migliore per il prototipo TEI.</w:t>
      </w:r>
    </w:p>
    <w:p w14:paraId="02A358EC" w14:textId="77777777" w:rsidR="004702ED" w:rsidRPr="004702ED" w:rsidRDefault="00000000" w:rsidP="004702ED">
      <w:r>
        <w:pict w14:anchorId="274C5995">
          <v:rect id="_x0000_i1028" style="width:0;height:1.5pt" o:hralign="center" o:hrstd="t" o:hr="t" fillcolor="#a0a0a0" stroked="f"/>
        </w:pict>
      </w:r>
    </w:p>
    <w:p w14:paraId="4F971A4B" w14:textId="77777777" w:rsidR="004702ED" w:rsidRPr="004702ED" w:rsidRDefault="004702ED" w:rsidP="004702ED">
      <w:pPr>
        <w:rPr>
          <w:b/>
          <w:bCs/>
        </w:rPr>
      </w:pPr>
      <w:r w:rsidRPr="004702ED">
        <w:rPr>
          <w:b/>
          <w:bCs/>
        </w:rPr>
        <w:t xml:space="preserve">3. Obiettivo dello </w:t>
      </w:r>
      <w:proofErr w:type="spellStart"/>
      <w:r w:rsidRPr="004702ED">
        <w:rPr>
          <w:b/>
          <w:bCs/>
        </w:rPr>
        <w:t>snippet</w:t>
      </w:r>
      <w:proofErr w:type="spellEnd"/>
      <w:r w:rsidRPr="004702ED">
        <w:rPr>
          <w:b/>
          <w:bCs/>
        </w:rPr>
        <w:t xml:space="preserve"> TEI</w:t>
      </w:r>
    </w:p>
    <w:p w14:paraId="72D890CD" w14:textId="77777777" w:rsidR="004702ED" w:rsidRPr="004702ED" w:rsidRDefault="004702ED" w:rsidP="004702ED">
      <w:r w:rsidRPr="004702ED">
        <w:t xml:space="preserve">Lo </w:t>
      </w:r>
      <w:proofErr w:type="spellStart"/>
      <w:r w:rsidRPr="004702ED">
        <w:t>snippet</w:t>
      </w:r>
      <w:proofErr w:type="spellEnd"/>
      <w:r w:rsidRPr="004702ED">
        <w:t xml:space="preserve"> TEI che seguirà questo paper dovrà:</w:t>
      </w:r>
    </w:p>
    <w:p w14:paraId="79380C58" w14:textId="77777777" w:rsidR="004702ED" w:rsidRPr="004702ED" w:rsidRDefault="004702ED" w:rsidP="004702ED">
      <w:pPr>
        <w:numPr>
          <w:ilvl w:val="0"/>
          <w:numId w:val="7"/>
        </w:numPr>
      </w:pPr>
      <w:r w:rsidRPr="004702ED">
        <w:rPr>
          <w:b/>
          <w:bCs/>
        </w:rPr>
        <w:t>modellare la prudenza discorsiva</w:t>
      </w:r>
      <w:r w:rsidRPr="004702ED">
        <w:t xml:space="preserve"> attraverso segmenti marcati per funzione retorica</w:t>
      </w:r>
    </w:p>
    <w:p w14:paraId="763E802E" w14:textId="77777777" w:rsidR="004702ED" w:rsidRPr="004702ED" w:rsidRDefault="004702ED" w:rsidP="004702ED">
      <w:pPr>
        <w:numPr>
          <w:ilvl w:val="0"/>
          <w:numId w:val="7"/>
        </w:numPr>
      </w:pPr>
      <w:r w:rsidRPr="004702ED">
        <w:rPr>
          <w:b/>
          <w:bCs/>
        </w:rPr>
        <w:lastRenderedPageBreak/>
        <w:t>rappresentare il testo come stratigrafia</w:t>
      </w:r>
      <w:r w:rsidRPr="004702ED">
        <w:t xml:space="preserve"> (scrittura primaria + interventi correttivi)</w:t>
      </w:r>
    </w:p>
    <w:p w14:paraId="56C85A6C" w14:textId="77777777" w:rsidR="004702ED" w:rsidRPr="004702ED" w:rsidRDefault="004702ED" w:rsidP="004702ED">
      <w:pPr>
        <w:numPr>
          <w:ilvl w:val="0"/>
          <w:numId w:val="7"/>
        </w:numPr>
      </w:pPr>
      <w:r w:rsidRPr="004702ED">
        <w:rPr>
          <w:b/>
          <w:bCs/>
        </w:rPr>
        <w:t>identificare i nodi dottrinali</w:t>
      </w:r>
      <w:r w:rsidRPr="004702ED">
        <w:t xml:space="preserve"> con attributi risk e impact</w:t>
      </w:r>
    </w:p>
    <w:p w14:paraId="5F41C8DC" w14:textId="77777777" w:rsidR="004702ED" w:rsidRPr="004702ED" w:rsidRDefault="004702ED" w:rsidP="004702ED">
      <w:pPr>
        <w:numPr>
          <w:ilvl w:val="0"/>
          <w:numId w:val="7"/>
        </w:numPr>
      </w:pPr>
      <w:r w:rsidRPr="004702ED">
        <w:rPr>
          <w:b/>
          <w:bCs/>
        </w:rPr>
        <w:t>rendere visibile il comportamento regolativo del testo</w:t>
      </w:r>
      <w:r w:rsidRPr="004702ED">
        <w:t>, cioè il modo in cui la monaca modula, attenua, corregge, precisa, ancora alla Scrittura</w:t>
      </w:r>
    </w:p>
    <w:p w14:paraId="79C381C6" w14:textId="77777777" w:rsidR="004702ED" w:rsidRPr="004702ED" w:rsidRDefault="004702ED" w:rsidP="004702ED">
      <w:pPr>
        <w:numPr>
          <w:ilvl w:val="0"/>
          <w:numId w:val="7"/>
        </w:numPr>
      </w:pPr>
      <w:r w:rsidRPr="004702ED">
        <w:rPr>
          <w:b/>
          <w:bCs/>
        </w:rPr>
        <w:t>poter essere elaborato da un algoritmo</w:t>
      </w:r>
      <w:r w:rsidRPr="004702ED">
        <w:t xml:space="preserve"> per studiare dinamiche di revisione, censura, disambiguazione sorvegliata</w:t>
      </w:r>
    </w:p>
    <w:p w14:paraId="5C5691AC" w14:textId="77777777" w:rsidR="004702ED" w:rsidRPr="004702ED" w:rsidRDefault="00000000" w:rsidP="004702ED">
      <w:r>
        <w:pict w14:anchorId="371580F2">
          <v:rect id="_x0000_i1029" style="width:0;height:1.5pt" o:hralign="center" o:hrstd="t" o:hr="t" fillcolor="#a0a0a0" stroked="f"/>
        </w:pict>
      </w:r>
    </w:p>
    <w:p w14:paraId="001F605C" w14:textId="77777777" w:rsidR="004702ED" w:rsidRPr="004702ED" w:rsidRDefault="004702ED" w:rsidP="004702ED">
      <w:pPr>
        <w:rPr>
          <w:b/>
          <w:bCs/>
        </w:rPr>
      </w:pPr>
      <w:r w:rsidRPr="004702ED">
        <w:rPr>
          <w:b/>
          <w:bCs/>
        </w:rPr>
        <w:t>4. Conclusione</w:t>
      </w:r>
    </w:p>
    <w:p w14:paraId="4EC059FA" w14:textId="77777777" w:rsidR="004702ED" w:rsidRPr="004702ED" w:rsidRDefault="004702ED" w:rsidP="004702ED">
      <w:r w:rsidRPr="004702ED">
        <w:t xml:space="preserve">La Prefazione e il Capitolo Primo del </w:t>
      </w:r>
      <w:r w:rsidRPr="004702ED">
        <w:rPr>
          <w:i/>
          <w:iCs/>
        </w:rPr>
        <w:t>Castello dell’anima</w:t>
      </w:r>
      <w:r w:rsidRPr="004702ED">
        <w:t xml:space="preserve"> costituiscono non solo l’inizio del Libro III, ma la zona di massima densità prudenziale dell’intero trattato. Qui emergono con chiarezza:</w:t>
      </w:r>
    </w:p>
    <w:p w14:paraId="44489A46" w14:textId="77777777" w:rsidR="004702ED" w:rsidRPr="004702ED" w:rsidRDefault="004702ED" w:rsidP="004702ED">
      <w:pPr>
        <w:numPr>
          <w:ilvl w:val="0"/>
          <w:numId w:val="8"/>
        </w:numPr>
      </w:pPr>
      <w:r w:rsidRPr="004702ED">
        <w:t>la consapevolezza del rischio dottrinale;</w:t>
      </w:r>
    </w:p>
    <w:p w14:paraId="3053381D" w14:textId="77777777" w:rsidR="004702ED" w:rsidRPr="004702ED" w:rsidRDefault="004702ED" w:rsidP="004702ED">
      <w:pPr>
        <w:numPr>
          <w:ilvl w:val="0"/>
          <w:numId w:val="8"/>
        </w:numPr>
      </w:pPr>
      <w:r w:rsidRPr="004702ED">
        <w:t>la tensione fra mistica esperienziale ed esigenza normativa;</w:t>
      </w:r>
    </w:p>
    <w:p w14:paraId="039C6B5C" w14:textId="77777777" w:rsidR="004702ED" w:rsidRPr="004702ED" w:rsidRDefault="004702ED" w:rsidP="004702ED">
      <w:pPr>
        <w:numPr>
          <w:ilvl w:val="0"/>
          <w:numId w:val="8"/>
        </w:numPr>
      </w:pPr>
      <w:r w:rsidRPr="004702ED">
        <w:t>la presenza concreta e materiale di un secondo strato testuale di autocorrezione;</w:t>
      </w:r>
    </w:p>
    <w:p w14:paraId="22CF4C17" w14:textId="77777777" w:rsidR="004702ED" w:rsidRPr="004702ED" w:rsidRDefault="004702ED" w:rsidP="004702ED">
      <w:pPr>
        <w:numPr>
          <w:ilvl w:val="0"/>
          <w:numId w:val="8"/>
        </w:numPr>
      </w:pPr>
      <w:r w:rsidRPr="004702ED">
        <w:t>l’intreccio tra lingua barocca, semicolta e teologia mistica;</w:t>
      </w:r>
    </w:p>
    <w:p w14:paraId="05A6D385" w14:textId="77777777" w:rsidR="004702ED" w:rsidRPr="004702ED" w:rsidRDefault="004702ED" w:rsidP="004702ED">
      <w:pPr>
        <w:numPr>
          <w:ilvl w:val="0"/>
          <w:numId w:val="8"/>
        </w:numPr>
      </w:pPr>
      <w:r w:rsidRPr="004702ED">
        <w:t>la pressione esterna del processo inquisitoriale.</w:t>
      </w:r>
    </w:p>
    <w:p w14:paraId="6C0D3B87" w14:textId="77777777" w:rsidR="004702ED" w:rsidRPr="004702ED" w:rsidRDefault="004702ED" w:rsidP="004702ED">
      <w:r w:rsidRPr="004702ED">
        <w:t xml:space="preserve">Per questo rappresentano il terreno ideale per un modello TEI+IA che voglia catturare la complessità del testo mistico in età moderna, restituendo non solo il contenuto ma anche il </w:t>
      </w:r>
      <w:r w:rsidRPr="004702ED">
        <w:rPr>
          <w:i/>
          <w:iCs/>
        </w:rPr>
        <w:t>processo</w:t>
      </w:r>
      <w:r w:rsidRPr="004702ED">
        <w:t xml:space="preserve"> che lo ha prodotto e protetto.</w:t>
      </w:r>
    </w:p>
    <w:p w14:paraId="52B19C4F" w14:textId="77777777" w:rsidR="004702ED" w:rsidRPr="004702ED" w:rsidRDefault="004702ED" w:rsidP="004702ED">
      <w:r w:rsidRPr="004702ED">
        <w:t xml:space="preserve">Lo </w:t>
      </w:r>
      <w:proofErr w:type="spellStart"/>
      <w:r w:rsidRPr="004702ED">
        <w:t>snippet</w:t>
      </w:r>
      <w:proofErr w:type="spellEnd"/>
      <w:r w:rsidRPr="004702ED">
        <w:t xml:space="preserve"> TEI che predisporrai potrà dunque fungere da prototipo per:</w:t>
      </w:r>
    </w:p>
    <w:p w14:paraId="02C65CB1" w14:textId="77777777" w:rsidR="004702ED" w:rsidRPr="004702ED" w:rsidRDefault="004702ED" w:rsidP="004702ED">
      <w:pPr>
        <w:numPr>
          <w:ilvl w:val="0"/>
          <w:numId w:val="9"/>
        </w:numPr>
      </w:pPr>
      <w:r w:rsidRPr="004702ED">
        <w:t>l’annotazione retorica,</w:t>
      </w:r>
    </w:p>
    <w:p w14:paraId="0EDEAB8D" w14:textId="77777777" w:rsidR="004702ED" w:rsidRPr="004702ED" w:rsidRDefault="004702ED" w:rsidP="004702ED">
      <w:pPr>
        <w:numPr>
          <w:ilvl w:val="0"/>
          <w:numId w:val="9"/>
        </w:numPr>
      </w:pPr>
      <w:r w:rsidRPr="004702ED">
        <w:t>la modellazione del rischio,</w:t>
      </w:r>
    </w:p>
    <w:p w14:paraId="0F67EB03" w14:textId="77777777" w:rsidR="004702ED" w:rsidRPr="004702ED" w:rsidRDefault="004702ED" w:rsidP="004702ED">
      <w:pPr>
        <w:numPr>
          <w:ilvl w:val="0"/>
          <w:numId w:val="9"/>
        </w:numPr>
      </w:pPr>
      <w:r w:rsidRPr="004702ED">
        <w:t xml:space="preserve">l’analisi delle varianti </w:t>
      </w:r>
      <w:r w:rsidRPr="004702ED">
        <w:rPr>
          <w:b/>
          <w:bCs/>
        </w:rPr>
        <w:t>correttive</w:t>
      </w:r>
      <w:r w:rsidRPr="004702ED">
        <w:t>,</w:t>
      </w:r>
    </w:p>
    <w:p w14:paraId="70356F15" w14:textId="738FE874" w:rsidR="00ED4B61" w:rsidRDefault="004702ED" w:rsidP="004702ED">
      <w:pPr>
        <w:numPr>
          <w:ilvl w:val="0"/>
          <w:numId w:val="9"/>
        </w:numPr>
      </w:pPr>
      <w:r w:rsidRPr="004702ED">
        <w:t>l’integrazione con pipeline IA di controllo semantico e stilistico.</w:t>
      </w:r>
    </w:p>
    <w:sectPr w:rsidR="00ED4B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37B"/>
    <w:multiLevelType w:val="multilevel"/>
    <w:tmpl w:val="2808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028E5"/>
    <w:multiLevelType w:val="multilevel"/>
    <w:tmpl w:val="198A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857D8"/>
    <w:multiLevelType w:val="multilevel"/>
    <w:tmpl w:val="7340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8276F"/>
    <w:multiLevelType w:val="multilevel"/>
    <w:tmpl w:val="01D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F5848"/>
    <w:multiLevelType w:val="multilevel"/>
    <w:tmpl w:val="F632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75E12"/>
    <w:multiLevelType w:val="multilevel"/>
    <w:tmpl w:val="3BA0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8E16C2"/>
    <w:multiLevelType w:val="multilevel"/>
    <w:tmpl w:val="AB8E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00F1C"/>
    <w:multiLevelType w:val="multilevel"/>
    <w:tmpl w:val="BCE8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72159"/>
    <w:multiLevelType w:val="multilevel"/>
    <w:tmpl w:val="1FF6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217007">
    <w:abstractNumId w:val="8"/>
  </w:num>
  <w:num w:numId="2" w16cid:durableId="790444489">
    <w:abstractNumId w:val="3"/>
  </w:num>
  <w:num w:numId="3" w16cid:durableId="419328170">
    <w:abstractNumId w:val="0"/>
  </w:num>
  <w:num w:numId="4" w16cid:durableId="75977890">
    <w:abstractNumId w:val="1"/>
  </w:num>
  <w:num w:numId="5" w16cid:durableId="2050371595">
    <w:abstractNumId w:val="2"/>
  </w:num>
  <w:num w:numId="6" w16cid:durableId="336619859">
    <w:abstractNumId w:val="4"/>
  </w:num>
  <w:num w:numId="7" w16cid:durableId="884025779">
    <w:abstractNumId w:val="5"/>
  </w:num>
  <w:num w:numId="8" w16cid:durableId="1994485759">
    <w:abstractNumId w:val="7"/>
  </w:num>
  <w:num w:numId="9" w16cid:durableId="19680478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ED"/>
    <w:rsid w:val="000877D9"/>
    <w:rsid w:val="004702ED"/>
    <w:rsid w:val="006F7709"/>
    <w:rsid w:val="007C7ABA"/>
    <w:rsid w:val="00AB37F9"/>
    <w:rsid w:val="00C0545B"/>
    <w:rsid w:val="00ED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C67A1"/>
  <w15:chartTrackingRefBased/>
  <w15:docId w15:val="{E04B1FF1-E678-49FE-BA94-37F278B6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70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70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70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70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70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70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70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70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70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70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70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70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702E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702E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702E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702E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702E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702E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70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70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70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70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70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702E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702E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702E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70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702E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702E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4702E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702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dalusspa-my.sharepoint.com/personal/luciano_longo_dedalus_eu/Documents/File%20di%20Microsoft%20Copilot%20Chat/00_Il_Castello_dellanima_di_suor_Teresa_di-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dalusspa-my.sharepoint.com/personal/luciano_longo_dedalus_eu/Documents/File%20di%20Microsoft%20Copilot%20Chat/0_Casapullo_Introduzione_Castello_edizione.pdf" TargetMode="External"/><Relationship Id="rId5" Type="http://schemas.openxmlformats.org/officeDocument/2006/relationships/hyperlink" Target="https://dedalusspa-my.sharepoint.com/personal/luciano_longo_dedalus_eu/Documents/File%20di%20Microsoft%20Copilot%20Chat/00_Il_Castello_dellanima_di_suor_Teresa_di-1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1259</Words>
  <Characters>7180</Characters>
  <Application>Microsoft Office Word</Application>
  <DocSecurity>0</DocSecurity>
  <Lines>59</Lines>
  <Paragraphs>16</Paragraphs>
  <ScaleCrop>false</ScaleCrop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Longo</dc:creator>
  <cp:keywords/>
  <dc:description/>
  <cp:lastModifiedBy>Luciano Longo</cp:lastModifiedBy>
  <cp:revision>2</cp:revision>
  <dcterms:created xsi:type="dcterms:W3CDTF">2026-03-26T04:51:00Z</dcterms:created>
  <dcterms:modified xsi:type="dcterms:W3CDTF">2026-03-27T04:36:00Z</dcterms:modified>
</cp:coreProperties>
</file>