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93B8E" w14:textId="77777777" w:rsidR="00394DCA" w:rsidRPr="00394DCA" w:rsidRDefault="00394DCA" w:rsidP="00394DCA">
      <w:r w:rsidRPr="00394DCA">
        <w:t xml:space="preserve">Ecco un </w:t>
      </w:r>
      <w:r w:rsidRPr="00394DCA">
        <w:rPr>
          <w:b/>
          <w:bCs/>
        </w:rPr>
        <w:t>paragrafo unico</w:t>
      </w:r>
      <w:r w:rsidRPr="00394DCA">
        <w:t xml:space="preserve">, compatto, elegante e pronto da inserire nella tua </w:t>
      </w:r>
      <w:r w:rsidRPr="00394DCA">
        <w:rPr>
          <w:i/>
          <w:iCs/>
        </w:rPr>
        <w:t>Guida alla codifica TEI del Castello dell’anima</w:t>
      </w:r>
      <w:r w:rsidRPr="00394DCA">
        <w:t xml:space="preserve">, in cui presento </w:t>
      </w:r>
      <w:r w:rsidRPr="00394DCA">
        <w:rPr>
          <w:b/>
          <w:bCs/>
        </w:rPr>
        <w:t>tutti i tag</w:t>
      </w:r>
      <w:r w:rsidRPr="00394DCA">
        <w:t xml:space="preserve"> che hai selezionato — &lt;</w:t>
      </w:r>
      <w:proofErr w:type="spellStart"/>
      <w:r w:rsidRPr="00394DCA">
        <w:t>term</w:t>
      </w:r>
      <w:proofErr w:type="spellEnd"/>
      <w:r w:rsidRPr="00394DCA">
        <w:t>&gt;, &lt;</w:t>
      </w:r>
      <w:proofErr w:type="spellStart"/>
      <w:r w:rsidRPr="00394DCA">
        <w:t>rs</w:t>
      </w:r>
      <w:proofErr w:type="spellEnd"/>
      <w:r w:rsidRPr="00394DCA">
        <w:t>&gt;, &lt;figure&gt;, &lt;</w:t>
      </w:r>
      <w:proofErr w:type="spellStart"/>
      <w:r w:rsidRPr="00394DCA">
        <w:t>foreign</w:t>
      </w:r>
      <w:proofErr w:type="spellEnd"/>
      <w:r w:rsidRPr="00394DCA">
        <w:t>&gt;, &lt;</w:t>
      </w:r>
      <w:proofErr w:type="spellStart"/>
      <w:r w:rsidRPr="00394DCA">
        <w:t>ptr</w:t>
      </w:r>
      <w:proofErr w:type="spellEnd"/>
      <w:r w:rsidRPr="00394DCA">
        <w:t>&gt;, &lt;link&gt;, &lt;</w:t>
      </w:r>
      <w:proofErr w:type="spellStart"/>
      <w:r w:rsidRPr="00394DCA">
        <w:t>span</w:t>
      </w:r>
      <w:proofErr w:type="spellEnd"/>
      <w:r w:rsidRPr="00394DCA">
        <w:t>&gt; e &lt;</w:t>
      </w:r>
      <w:proofErr w:type="spellStart"/>
      <w:r w:rsidRPr="00394DCA">
        <w:t>spanGrp</w:t>
      </w:r>
      <w:proofErr w:type="spellEnd"/>
      <w:r w:rsidRPr="00394DCA">
        <w:t xml:space="preserve">&gt; — spiegandone </w:t>
      </w:r>
      <w:r w:rsidRPr="00394DCA">
        <w:rPr>
          <w:b/>
          <w:bCs/>
        </w:rPr>
        <w:t>funzione, motivazione filologica e applicazione nel tuo modello TEI</w:t>
      </w:r>
      <w:r w:rsidRPr="00394DCA">
        <w:rPr>
          <w:b/>
          <w:bCs/>
        </w:rPr>
        <w:noBreakHyphen/>
      </w:r>
      <w:proofErr w:type="spellStart"/>
      <w:r w:rsidRPr="00394DCA">
        <w:rPr>
          <w:b/>
          <w:bCs/>
        </w:rPr>
        <w:t>driven</w:t>
      </w:r>
      <w:proofErr w:type="spellEnd"/>
      <w:r w:rsidRPr="00394DCA">
        <w:t>.</w:t>
      </w:r>
    </w:p>
    <w:p w14:paraId="085E98BF" w14:textId="77777777" w:rsidR="00394DCA" w:rsidRPr="00394DCA" w:rsidRDefault="00394DCA" w:rsidP="00394DCA">
      <w:r w:rsidRPr="00394DCA">
        <w:t>Lo stile è calibrato sulla guida che stai scrivendo: chiaro, tecnico, rigoroso, scritto per filologi digitali ed esperti di testi mistici.</w:t>
      </w:r>
    </w:p>
    <w:p w14:paraId="301688EA" w14:textId="77777777" w:rsidR="00394DCA" w:rsidRPr="00394DCA" w:rsidRDefault="00394DCA" w:rsidP="00394DCA">
      <w:r w:rsidRPr="00394DCA">
        <w:pict w14:anchorId="7D58133A">
          <v:rect id="_x0000_i1037" style="width:0;height:1.5pt" o:hralign="center" o:hrstd="t" o:hr="t" fillcolor="#a0a0a0" stroked="f"/>
        </w:pict>
      </w:r>
    </w:p>
    <w:p w14:paraId="6B8F5551" w14:textId="77777777" w:rsidR="00394DCA" w:rsidRPr="00394DCA" w:rsidRDefault="00394DCA" w:rsidP="00394DCA">
      <w:pPr>
        <w:rPr>
          <w:b/>
          <w:bCs/>
        </w:rPr>
      </w:pPr>
      <w:r w:rsidRPr="00394DCA">
        <w:rPr>
          <w:rFonts w:ascii="Segoe UI Emoji" w:hAnsi="Segoe UI Emoji" w:cs="Segoe UI Emoji"/>
          <w:b/>
          <w:bCs/>
        </w:rPr>
        <w:t>✅</w:t>
      </w:r>
      <w:r w:rsidRPr="00394DCA">
        <w:rPr>
          <w:b/>
          <w:bCs/>
        </w:rPr>
        <w:t xml:space="preserve"> </w:t>
      </w:r>
      <w:r w:rsidRPr="00394DCA">
        <w:rPr>
          <w:b/>
          <w:bCs/>
          <w:i/>
          <w:iCs/>
        </w:rPr>
        <w:t>Paragrafo per la Guida alla Codifica</w:t>
      </w:r>
    </w:p>
    <w:p w14:paraId="74C8FC3C" w14:textId="77777777" w:rsidR="00394DCA" w:rsidRPr="00394DCA" w:rsidRDefault="00394DCA" w:rsidP="00394DCA">
      <w:r w:rsidRPr="00394DCA">
        <w:t>Nel presente modello TEI</w:t>
      </w:r>
      <w:r w:rsidRPr="00394DCA">
        <w:noBreakHyphen/>
      </w:r>
      <w:proofErr w:type="spellStart"/>
      <w:r w:rsidRPr="00394DCA">
        <w:t>driven</w:t>
      </w:r>
      <w:proofErr w:type="spellEnd"/>
      <w:r w:rsidRPr="00394DCA">
        <w:t>, accanto ai tag strutturali e retorici già impiegati (&lt;</w:t>
      </w:r>
      <w:proofErr w:type="spellStart"/>
      <w:r w:rsidRPr="00394DCA">
        <w:t>seg</w:t>
      </w:r>
      <w:proofErr w:type="spellEnd"/>
      <w:r w:rsidRPr="00394DCA">
        <w:t>&gt;, &lt;val&gt;, &lt;</w:t>
      </w:r>
      <w:proofErr w:type="spellStart"/>
      <w:r w:rsidRPr="00394DCA">
        <w:t>cit</w:t>
      </w:r>
      <w:proofErr w:type="spellEnd"/>
      <w:r w:rsidRPr="00394DCA">
        <w:t>&gt;, &lt;</w:t>
      </w:r>
      <w:proofErr w:type="spellStart"/>
      <w:r w:rsidRPr="00394DCA">
        <w:t>ref</w:t>
      </w:r>
      <w:proofErr w:type="spellEnd"/>
      <w:r w:rsidRPr="00394DCA">
        <w:t>&gt;, &lt;app&gt;), si introducono ulteriori elementi utili a raffinare la descrizione semantica, linguistica e figurale del testo mistico: &lt;</w:t>
      </w:r>
      <w:proofErr w:type="spellStart"/>
      <w:r w:rsidRPr="00394DCA">
        <w:t>term</w:t>
      </w:r>
      <w:proofErr w:type="spellEnd"/>
      <w:r w:rsidRPr="00394DCA">
        <w:t>&gt;, &lt;</w:t>
      </w:r>
      <w:proofErr w:type="spellStart"/>
      <w:r w:rsidRPr="00394DCA">
        <w:t>rs</w:t>
      </w:r>
      <w:proofErr w:type="spellEnd"/>
      <w:r w:rsidRPr="00394DCA">
        <w:t>&gt;, &lt;figure&gt;, &lt;</w:t>
      </w:r>
      <w:proofErr w:type="spellStart"/>
      <w:r w:rsidRPr="00394DCA">
        <w:t>foreign</w:t>
      </w:r>
      <w:proofErr w:type="spellEnd"/>
      <w:r w:rsidRPr="00394DCA">
        <w:t>&gt;, &lt;</w:t>
      </w:r>
      <w:proofErr w:type="spellStart"/>
      <w:r w:rsidRPr="00394DCA">
        <w:t>ptr</w:t>
      </w:r>
      <w:proofErr w:type="spellEnd"/>
      <w:r w:rsidRPr="00394DCA">
        <w:t>&gt;, &lt;link&gt; e i gruppi di estensione &lt;</w:t>
      </w:r>
      <w:proofErr w:type="spellStart"/>
      <w:r w:rsidRPr="00394DCA">
        <w:t>span</w:t>
      </w:r>
      <w:proofErr w:type="spellEnd"/>
      <w:r w:rsidRPr="00394DCA">
        <w:t>&gt; / &lt;</w:t>
      </w:r>
      <w:proofErr w:type="spellStart"/>
      <w:r w:rsidRPr="00394DCA">
        <w:t>spanGrp</w:t>
      </w:r>
      <w:proofErr w:type="spellEnd"/>
      <w:r w:rsidRPr="00394DCA">
        <w:t>&gt;. Ciascuno di questi elementi risponde a un’esigenza precisa della codifica, in particolare quando il testo richiede di rappresentare concetti tecnico</w:t>
      </w:r>
      <w:r w:rsidRPr="00394DCA">
        <w:noBreakHyphen/>
        <w:t>mistici, relazioni retoriche complesse, immagini figurali, intertestualità interna o fenomeni linguistici misti (italiano/latino). Il tag &lt;</w:t>
      </w:r>
      <w:proofErr w:type="spellStart"/>
      <w:r w:rsidRPr="00394DCA">
        <w:t>term</w:t>
      </w:r>
      <w:proofErr w:type="spellEnd"/>
      <w:r w:rsidRPr="00394DCA">
        <w:t xml:space="preserve">&gt; serve a marcare il lessico specialistico dell’esperienza mistica (ad es. </w:t>
      </w:r>
      <w:r w:rsidRPr="00394DCA">
        <w:rPr>
          <w:i/>
          <w:iCs/>
        </w:rPr>
        <w:t>quiete</w:t>
      </w:r>
      <w:r w:rsidRPr="00394DCA">
        <w:t xml:space="preserve">, </w:t>
      </w:r>
      <w:r w:rsidRPr="00394DCA">
        <w:rPr>
          <w:i/>
          <w:iCs/>
        </w:rPr>
        <w:t>unione</w:t>
      </w:r>
      <w:r w:rsidRPr="00394DCA">
        <w:t xml:space="preserve">, </w:t>
      </w:r>
      <w:r w:rsidRPr="00394DCA">
        <w:rPr>
          <w:i/>
          <w:iCs/>
        </w:rPr>
        <w:t>purga</w:t>
      </w:r>
      <w:r w:rsidRPr="00394DCA">
        <w:t xml:space="preserve">, </w:t>
      </w:r>
      <w:r w:rsidRPr="00394DCA">
        <w:rPr>
          <w:i/>
          <w:iCs/>
        </w:rPr>
        <w:t>potenza del concupiscibile</w:t>
      </w:r>
      <w:r w:rsidRPr="00394DCA">
        <w:t>), distinguendo i concetti tecnici dalla prosa ordinaria e consentendo analisi computazionali sul vocabolario teologico</w:t>
      </w:r>
      <w:r w:rsidRPr="00394DCA">
        <w:noBreakHyphen/>
        <w:t>spirituale. Il tag &lt;</w:t>
      </w:r>
      <w:proofErr w:type="spellStart"/>
      <w:r w:rsidRPr="00394DCA">
        <w:t>rs</w:t>
      </w:r>
      <w:proofErr w:type="spellEnd"/>
      <w:r w:rsidRPr="00394DCA">
        <w:t xml:space="preserve">&gt; (Reference String) permette invece di identificare entità teoriche, simboliche, topiche o astratte, quali </w:t>
      </w:r>
      <w:r w:rsidRPr="00394DCA">
        <w:rPr>
          <w:i/>
          <w:iCs/>
        </w:rPr>
        <w:t>anima</w:t>
      </w:r>
      <w:r w:rsidRPr="00394DCA">
        <w:t xml:space="preserve">, </w:t>
      </w:r>
      <w:r w:rsidRPr="00394DCA">
        <w:rPr>
          <w:i/>
          <w:iCs/>
        </w:rPr>
        <w:t>sposo</w:t>
      </w:r>
      <w:r w:rsidRPr="00394DCA">
        <w:t xml:space="preserve">, </w:t>
      </w:r>
      <w:r w:rsidRPr="00394DCA">
        <w:rPr>
          <w:i/>
          <w:iCs/>
        </w:rPr>
        <w:t>luce divina</w:t>
      </w:r>
      <w:r w:rsidRPr="00394DCA">
        <w:t xml:space="preserve">, </w:t>
      </w:r>
      <w:r w:rsidRPr="00394DCA">
        <w:rPr>
          <w:i/>
          <w:iCs/>
        </w:rPr>
        <w:t>travagli</w:t>
      </w:r>
      <w:r w:rsidRPr="00394DCA">
        <w:t xml:space="preserve">, </w:t>
      </w:r>
      <w:r w:rsidRPr="00394DCA">
        <w:rPr>
          <w:i/>
          <w:iCs/>
        </w:rPr>
        <w:t>amarezze</w:t>
      </w:r>
      <w:r w:rsidRPr="00394DCA">
        <w:t xml:space="preserve">, oppure riferimenti culturali come </w:t>
      </w:r>
      <w:r w:rsidRPr="00394DCA">
        <w:rPr>
          <w:i/>
          <w:iCs/>
        </w:rPr>
        <w:t>Monte Olimpo</w:t>
      </w:r>
      <w:r w:rsidRPr="00394DCA">
        <w:t xml:space="preserve"> o </w:t>
      </w:r>
      <w:r w:rsidRPr="00394DCA">
        <w:rPr>
          <w:i/>
          <w:iCs/>
        </w:rPr>
        <w:t>regno del Cielo</w:t>
      </w:r>
      <w:r w:rsidRPr="00394DCA">
        <w:t>, attribuendo loro un valore semantico senza spezzare la linearità del testo. Le immagini mistico</w:t>
      </w:r>
      <w:r w:rsidRPr="00394DCA">
        <w:noBreakHyphen/>
        <w:t>retoriche e le figure simboliche, centrali in questo Libro III (statua disseccata al sole, piogge delle amarezze, Arca di Noè, primavera nell’anima), possono essere rappresentate attraverso &lt;figure&gt; o tramite &lt;</w:t>
      </w:r>
      <w:proofErr w:type="spellStart"/>
      <w:r w:rsidRPr="00394DCA">
        <w:t>seg</w:t>
      </w:r>
      <w:proofErr w:type="spellEnd"/>
      <w:r w:rsidRPr="00394DCA">
        <w:t xml:space="preserve"> </w:t>
      </w:r>
      <w:proofErr w:type="spellStart"/>
      <w:r w:rsidRPr="00394DCA">
        <w:t>type</w:t>
      </w:r>
      <w:proofErr w:type="spellEnd"/>
      <w:r w:rsidRPr="00394DCA">
        <w:t>="figure"&gt;, così da rendere esplicito il ruolo figurale del passo e permettere una mappatura sistematica delle metafore. Il tag &lt;</w:t>
      </w:r>
      <w:proofErr w:type="spellStart"/>
      <w:r w:rsidRPr="00394DCA">
        <w:t>foreign</w:t>
      </w:r>
      <w:proofErr w:type="spellEnd"/>
      <w:r w:rsidRPr="00394DCA">
        <w:t>&gt; consente di marcare il latino incluso nel corpo del testo, distinguendo con chiarezza le citazioni bibliche e liturgiche dal flusso principale in italiano, facilitando sia la resa editoriale sia eventuali analisi linguistiche. I tag &lt;</w:t>
      </w:r>
      <w:proofErr w:type="spellStart"/>
      <w:r w:rsidRPr="00394DCA">
        <w:t>ptr</w:t>
      </w:r>
      <w:proofErr w:type="spellEnd"/>
      <w:r w:rsidRPr="00394DCA">
        <w:t>&gt; e &lt;link&gt; servono invece a modellare relazioni interne: &lt;</w:t>
      </w:r>
      <w:proofErr w:type="spellStart"/>
      <w:r w:rsidRPr="00394DCA">
        <w:t>ptr</w:t>
      </w:r>
      <w:proofErr w:type="spellEnd"/>
      <w:r w:rsidRPr="00394DCA">
        <w:t>&gt; come puntatore leggero per rinvii testuali (“come si dirà doppo”), mentre &lt;link&gt; (eventualmente organizzato in &lt;</w:t>
      </w:r>
      <w:proofErr w:type="spellStart"/>
      <w:r w:rsidRPr="00394DCA">
        <w:t>linkGrp</w:t>
      </w:r>
      <w:proofErr w:type="spellEnd"/>
      <w:r w:rsidRPr="00394DCA">
        <w:t>&gt;) permette di esprimere rapporti concettuali come causa</w:t>
      </w:r>
      <w:r w:rsidRPr="00394DCA">
        <w:noBreakHyphen/>
        <w:t xml:space="preserve">effetto, contrasto, analogia, trasformazione mistica o dipendenza teologica tra segmenti (ad es. </w:t>
      </w:r>
      <w:r w:rsidRPr="00394DCA">
        <w:rPr>
          <w:i/>
          <w:iCs/>
        </w:rPr>
        <w:t>travagli → pace</w:t>
      </w:r>
      <w:r w:rsidRPr="00394DCA">
        <w:t xml:space="preserve">, </w:t>
      </w:r>
      <w:r w:rsidRPr="00394DCA">
        <w:rPr>
          <w:i/>
          <w:iCs/>
        </w:rPr>
        <w:t>purga → quiete</w:t>
      </w:r>
      <w:r w:rsidRPr="00394DCA">
        <w:t xml:space="preserve">, </w:t>
      </w:r>
      <w:r w:rsidRPr="00394DCA">
        <w:rPr>
          <w:i/>
          <w:iCs/>
        </w:rPr>
        <w:t>luce → investitura</w:t>
      </w:r>
      <w:r w:rsidRPr="00394DCA">
        <w:t>). Infine, l’uso di &lt;</w:t>
      </w:r>
      <w:proofErr w:type="spellStart"/>
      <w:r w:rsidRPr="00394DCA">
        <w:t>span</w:t>
      </w:r>
      <w:proofErr w:type="spellEnd"/>
      <w:r w:rsidRPr="00394DCA">
        <w:t>&gt; e &lt;</w:t>
      </w:r>
      <w:proofErr w:type="spellStart"/>
      <w:r w:rsidRPr="00394DCA">
        <w:t>spanGrp</w:t>
      </w:r>
      <w:proofErr w:type="spellEnd"/>
      <w:r w:rsidRPr="00394DCA">
        <w:t>&gt; consente di annotare aree continue senza spezzare il testo: possono marcare zone di rischio dottrinale, livelli di esposizione, fasce tematiche o interi archi retorico</w:t>
      </w:r>
      <w:r w:rsidRPr="00394DCA">
        <w:noBreakHyphen/>
        <w:t xml:space="preserve">mistici (per esempio delimitare l’intero blocco della “purificazione passiva”, o indicare il range di segmenti a </w:t>
      </w:r>
      <w:r w:rsidRPr="00394DCA">
        <w:rPr>
          <w:i/>
          <w:iCs/>
        </w:rPr>
        <w:t>risk</w:t>
      </w:r>
      <w:r w:rsidRPr="00394DCA">
        <w:rPr>
          <w:i/>
          <w:iCs/>
        </w:rPr>
        <w:noBreakHyphen/>
        <w:t>alto</w:t>
      </w:r>
      <w:r w:rsidRPr="00394DCA">
        <w:t>). Questi tag, usati in modo mirato e prudenziale, arricchiscono la codifica senza appesantirla e permettono una lettura multistrato del Castello dell’anima, rendendo possibile un’analisi filologica, retorica, teologica e computazionale allo stesso tempo.</w:t>
      </w:r>
    </w:p>
    <w:p w14:paraId="5D8174B8" w14:textId="77777777" w:rsidR="00394DCA" w:rsidRPr="00394DCA" w:rsidRDefault="00394DCA" w:rsidP="00394DCA">
      <w:r w:rsidRPr="00394DCA">
        <w:pict w14:anchorId="36E68C83">
          <v:rect id="_x0000_i1038" style="width:0;height:1.5pt" o:hralign="center" o:hrstd="t" o:hr="t" fillcolor="#a0a0a0" stroked="f"/>
        </w:pict>
      </w:r>
    </w:p>
    <w:p w14:paraId="4A67987A" w14:textId="77777777" w:rsidR="00394DCA" w:rsidRPr="00394DCA" w:rsidRDefault="00394DCA" w:rsidP="00394DCA">
      <w:r w:rsidRPr="00394DCA">
        <w:lastRenderedPageBreak/>
        <w:t>Se vuoi, posso ora:</w:t>
      </w:r>
    </w:p>
    <w:p w14:paraId="03514DCD" w14:textId="77777777" w:rsidR="00394DCA" w:rsidRPr="00394DCA" w:rsidRDefault="00394DCA" w:rsidP="00394DCA">
      <w:r w:rsidRPr="00394DCA">
        <w:rPr>
          <w:rFonts w:ascii="Segoe UI Emoji" w:hAnsi="Segoe UI Emoji" w:cs="Segoe UI Emoji"/>
        </w:rPr>
        <w:t>✅</w:t>
      </w:r>
      <w:r w:rsidRPr="00394DCA">
        <w:t xml:space="preserve"> generare </w:t>
      </w:r>
      <w:r w:rsidRPr="00394DCA">
        <w:rPr>
          <w:b/>
          <w:bCs/>
        </w:rPr>
        <w:t>un esempio concreto</w:t>
      </w:r>
      <w:r w:rsidRPr="00394DCA">
        <w:t xml:space="preserve"> applicando </w:t>
      </w:r>
      <w:r w:rsidRPr="00394DCA">
        <w:rPr>
          <w:i/>
          <w:iCs/>
        </w:rPr>
        <w:t>tutti</w:t>
      </w:r>
      <w:r w:rsidRPr="00394DCA">
        <w:t xml:space="preserve"> questi tag a un paragrafo reale (es. III.1, III.8 o la Prefazione);</w:t>
      </w:r>
      <w:r w:rsidRPr="00394DCA">
        <w:br/>
      </w:r>
      <w:r w:rsidRPr="00394DCA">
        <w:rPr>
          <w:rFonts w:ascii="Segoe UI Emoji" w:hAnsi="Segoe UI Emoji" w:cs="Segoe UI Emoji"/>
        </w:rPr>
        <w:t>✅</w:t>
      </w:r>
      <w:r w:rsidRPr="00394DCA">
        <w:t xml:space="preserve"> oppure creare </w:t>
      </w:r>
      <w:r w:rsidRPr="00394DCA">
        <w:rPr>
          <w:b/>
          <w:bCs/>
        </w:rPr>
        <w:t>un template operativo</w:t>
      </w:r>
      <w:r w:rsidRPr="00394DCA">
        <w:t xml:space="preserve"> con schema di uso per ciascun tag;</w:t>
      </w:r>
      <w:r w:rsidRPr="00394DCA">
        <w:br/>
      </w:r>
      <w:r w:rsidRPr="00394DCA">
        <w:rPr>
          <w:rFonts w:ascii="Segoe UI Emoji" w:hAnsi="Segoe UI Emoji" w:cs="Segoe UI Emoji"/>
        </w:rPr>
        <w:t>✅</w:t>
      </w:r>
      <w:r w:rsidRPr="00394DCA">
        <w:t xml:space="preserve"> oppure integrare direttamente questi tag nella tua codifica attuale.</w:t>
      </w:r>
    </w:p>
    <w:p w14:paraId="1FA3EB0E" w14:textId="77777777" w:rsidR="00ED4B61" w:rsidRDefault="00ED4B61"/>
    <w:sectPr w:rsidR="00ED4B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65A"/>
    <w:rsid w:val="00394DCA"/>
    <w:rsid w:val="007C565A"/>
    <w:rsid w:val="00900EFB"/>
    <w:rsid w:val="00AB37F9"/>
    <w:rsid w:val="00C0545B"/>
    <w:rsid w:val="00ED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F275A3-C678-496C-B8FB-FA0E2FD7C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C5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C5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C5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C5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C5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C5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C5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C5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C5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C5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C5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C5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C565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C565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C565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C565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C565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C565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C5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C5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C5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C5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C5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C565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C565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C565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C5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C565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C5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Longo</dc:creator>
  <cp:keywords/>
  <dc:description/>
  <cp:lastModifiedBy>Luciano Longo</cp:lastModifiedBy>
  <cp:revision>2</cp:revision>
  <dcterms:created xsi:type="dcterms:W3CDTF">2026-03-27T06:16:00Z</dcterms:created>
  <dcterms:modified xsi:type="dcterms:W3CDTF">2026-03-27T06:16:00Z</dcterms:modified>
</cp:coreProperties>
</file>