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529F" w14:textId="77777777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color w:val="002060"/>
          <w:w w:val="90"/>
          <w:sz w:val="28"/>
          <w:szCs w:val="28"/>
        </w:rPr>
      </w:pPr>
      <w:r w:rsidRPr="004E24F9">
        <w:rPr>
          <w:rFonts w:ascii="Garamond" w:hAnsi="Garamond"/>
          <w:color w:val="002060"/>
          <w:w w:val="90"/>
          <w:sz w:val="28"/>
          <w:szCs w:val="28"/>
        </w:rPr>
        <w:t>Micro</w:t>
      </w:r>
      <w:r w:rsidRPr="004E24F9">
        <w:rPr>
          <w:rFonts w:ascii="Garamond" w:hAnsi="Garamond"/>
          <w:color w:val="002060"/>
          <w:w w:val="90"/>
          <w:sz w:val="28"/>
          <w:szCs w:val="28"/>
        </w:rPr>
        <w:noBreakHyphen/>
        <w:t xml:space="preserve">progetto di Edizione Critica Digitale </w:t>
      </w:r>
    </w:p>
    <w:p w14:paraId="365500C0" w14:textId="77777777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i/>
          <w:iCs/>
          <w:color w:val="002060"/>
          <w:w w:val="90"/>
          <w:sz w:val="28"/>
          <w:szCs w:val="28"/>
        </w:rPr>
      </w:pPr>
      <w:r w:rsidRPr="004E24F9">
        <w:rPr>
          <w:rFonts w:ascii="Garamond" w:hAnsi="Garamond"/>
          <w:i/>
          <w:iCs/>
          <w:color w:val="002060"/>
          <w:w w:val="90"/>
          <w:sz w:val="28"/>
          <w:szCs w:val="28"/>
        </w:rPr>
        <w:t>Il Castello dell’anima</w:t>
      </w:r>
    </w:p>
    <w:p w14:paraId="2FD0B115" w14:textId="77777777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color w:val="002060"/>
          <w:w w:val="90"/>
          <w:sz w:val="28"/>
          <w:szCs w:val="28"/>
        </w:rPr>
      </w:pPr>
      <w:r w:rsidRPr="004E24F9">
        <w:rPr>
          <w:rFonts w:ascii="Garamond" w:hAnsi="Garamond"/>
          <w:color w:val="002060"/>
          <w:w w:val="90"/>
          <w:sz w:val="28"/>
          <w:szCs w:val="28"/>
        </w:rPr>
        <w:t>Libro III, Capitoli I–V</w:t>
      </w:r>
    </w:p>
    <w:p w14:paraId="17BC0ED5" w14:textId="74263191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i/>
          <w:iCs/>
          <w:color w:val="002060"/>
          <w:w w:val="90"/>
          <w:sz w:val="28"/>
          <w:szCs w:val="28"/>
        </w:rPr>
      </w:pPr>
      <w:r w:rsidRPr="004E24F9">
        <w:rPr>
          <w:rFonts w:ascii="Garamond" w:hAnsi="Garamond"/>
          <w:i/>
          <w:iCs/>
          <w:color w:val="002060"/>
          <w:w w:val="90"/>
          <w:sz w:val="28"/>
          <w:szCs w:val="28"/>
        </w:rPr>
        <w:t>Avvio della contemplazione infusa</w:t>
      </w:r>
    </w:p>
    <w:p w14:paraId="7893C53A" w14:textId="77777777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color w:val="002060"/>
          <w:w w:val="90"/>
          <w:sz w:val="28"/>
          <w:szCs w:val="28"/>
        </w:rPr>
      </w:pPr>
      <w:r w:rsidRPr="004E24F9">
        <w:rPr>
          <w:rFonts w:ascii="Garamond" w:hAnsi="Garamond"/>
          <w:color w:val="002060"/>
          <w:w w:val="90"/>
          <w:sz w:val="28"/>
          <w:szCs w:val="28"/>
        </w:rPr>
        <w:t>(MC1)</w:t>
      </w:r>
    </w:p>
    <w:p w14:paraId="79DB9944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color w:val="002060"/>
          <w:w w:val="90"/>
          <w:sz w:val="28"/>
          <w:szCs w:val="28"/>
        </w:rPr>
      </w:pPr>
    </w:p>
    <w:p w14:paraId="0E0FC4C0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2491B934" w14:textId="5F279F1B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Autore dell’edizione:</w:t>
      </w:r>
      <w:r w:rsidRPr="00C75D5B">
        <w:rPr>
          <w:rFonts w:ascii="Garamond" w:hAnsi="Garamond"/>
          <w:w w:val="90"/>
          <w:sz w:val="22"/>
          <w:szCs w:val="22"/>
        </w:rPr>
        <w:t xml:space="preserve"> Luciano Longo</w:t>
      </w:r>
      <w:r w:rsidRPr="00C75D5B">
        <w:rPr>
          <w:rFonts w:ascii="Garamond" w:hAnsi="Garamond"/>
          <w:w w:val="90"/>
          <w:sz w:val="22"/>
          <w:szCs w:val="22"/>
        </w:rPr>
        <w:br/>
      </w:r>
      <w:r w:rsidRPr="00C75D5B">
        <w:rPr>
          <w:rFonts w:ascii="Garamond" w:hAnsi="Garamond"/>
          <w:b/>
          <w:bCs/>
          <w:w w:val="90"/>
          <w:sz w:val="22"/>
          <w:szCs w:val="22"/>
        </w:rPr>
        <w:t>ORCID:</w:t>
      </w:r>
      <w:r w:rsidRPr="00C75D5B">
        <w:rPr>
          <w:rFonts w:ascii="Garamond" w:hAnsi="Garamond"/>
          <w:w w:val="90"/>
          <w:sz w:val="22"/>
          <w:szCs w:val="22"/>
        </w:rPr>
        <w:t xml:space="preserve"> </w:t>
      </w:r>
      <w:hyperlink r:id="rId7" w:history="1">
        <w:r w:rsidRPr="00C75D5B">
          <w:rPr>
            <w:rStyle w:val="Collegamentoipertestuale"/>
            <w:rFonts w:ascii="Garamond" w:hAnsi="Garamond"/>
            <w:w w:val="90"/>
            <w:sz w:val="22"/>
            <w:szCs w:val="22"/>
          </w:rPr>
          <w:t>https://orcid.org/0009-0005-7557-7546</w:t>
        </w:r>
      </w:hyperlink>
    </w:p>
    <w:p w14:paraId="057ABFBC" w14:textId="0D90E11A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Fonte primaria: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Palermo, Biblioteca Comunale, ms. 2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Qq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E 29 (autografo),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Il Castello dell’anima</w:t>
      </w:r>
      <w:r w:rsidRPr="00C75D5B">
        <w:rPr>
          <w:rFonts w:ascii="Garamond" w:hAnsi="Garamond"/>
          <w:w w:val="90"/>
          <w:sz w:val="22"/>
          <w:szCs w:val="22"/>
        </w:rPr>
        <w:t xml:space="preserve"> di suor Teresa di San Geronimo (Anna La Longa), 1692–1694.</w:t>
      </w:r>
      <w:r w:rsidRPr="00C75D5B">
        <w:rPr>
          <w:rFonts w:ascii="Garamond" w:hAnsi="Garamond"/>
          <w:w w:val="90"/>
          <w:sz w:val="22"/>
          <w:szCs w:val="22"/>
        </w:rPr>
        <w:br/>
      </w:r>
    </w:p>
    <w:p w14:paraId="511A397B" w14:textId="6A54FC2C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761C07A3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Abstract</w:t>
      </w:r>
    </w:p>
    <w:p w14:paraId="2C5DDDE5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Il presente micro</w:t>
      </w:r>
      <w:r w:rsidRPr="00C75D5B">
        <w:rPr>
          <w:rFonts w:ascii="Garamond" w:hAnsi="Garamond"/>
          <w:w w:val="90"/>
          <w:sz w:val="22"/>
          <w:szCs w:val="22"/>
        </w:rPr>
        <w:noBreakHyphen/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commit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inaugura l’edizione critica digitale del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Libro III</w:t>
      </w:r>
      <w:r w:rsidRPr="00C75D5B">
        <w:rPr>
          <w:rFonts w:ascii="Garamond" w:hAnsi="Garamond"/>
          <w:w w:val="90"/>
          <w:sz w:val="22"/>
          <w:szCs w:val="22"/>
        </w:rPr>
        <w:t xml:space="preserve"> del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Castello dell’anima</w:t>
      </w:r>
      <w:r w:rsidRPr="00C75D5B">
        <w:rPr>
          <w:rFonts w:ascii="Garamond" w:hAnsi="Garamond"/>
          <w:w w:val="90"/>
          <w:sz w:val="22"/>
          <w:szCs w:val="22"/>
        </w:rPr>
        <w:t xml:space="preserve">, testi destinati “alle anime perfette”, secondo la tripartizione originaria. I capitoli I–V costituiscono un’unità autonoma che segna il passaggio dagli stati purgativi e luminosi del Libro II all’avvio della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contemplazione infusa</w:t>
      </w:r>
      <w:r w:rsidRPr="00C75D5B">
        <w:rPr>
          <w:rFonts w:ascii="Garamond" w:hAnsi="Garamond"/>
          <w:w w:val="90"/>
          <w:sz w:val="22"/>
          <w:szCs w:val="22"/>
        </w:rPr>
        <w:t>, caratterizzata da:</w:t>
      </w:r>
    </w:p>
    <w:p w14:paraId="28166067" w14:textId="77777777" w:rsidR="00C75D5B" w:rsidRPr="00C75D5B" w:rsidRDefault="00C75D5B" w:rsidP="00217913">
      <w:pPr>
        <w:numPr>
          <w:ilvl w:val="0"/>
          <w:numId w:val="1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sospensione progressiva di sensi e potenze;</w:t>
      </w:r>
    </w:p>
    <w:p w14:paraId="7D7D0A75" w14:textId="77777777" w:rsidR="00C75D5B" w:rsidRPr="00C75D5B" w:rsidRDefault="00C75D5B" w:rsidP="00217913">
      <w:pPr>
        <w:numPr>
          <w:ilvl w:val="0"/>
          <w:numId w:val="1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instaurarsi del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, distinto dalla quiete acquisita;</w:t>
      </w:r>
    </w:p>
    <w:p w14:paraId="41072FCD" w14:textId="77777777" w:rsidR="00C75D5B" w:rsidRPr="00C75D5B" w:rsidRDefault="00C75D5B" w:rsidP="00217913">
      <w:pPr>
        <w:numPr>
          <w:ilvl w:val="0"/>
          <w:numId w:val="1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ingresso nel “sonno” spirituale come oblio delle potenze;</w:t>
      </w:r>
    </w:p>
    <w:p w14:paraId="4BC1AAB5" w14:textId="77777777" w:rsidR="00C75D5B" w:rsidRPr="00C75D5B" w:rsidRDefault="00C75D5B" w:rsidP="00217913">
      <w:pPr>
        <w:numPr>
          <w:ilvl w:val="0"/>
          <w:numId w:val="1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distacco radicale dal creato (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);</w:t>
      </w:r>
    </w:p>
    <w:p w14:paraId="5FBEB66C" w14:textId="77777777" w:rsidR="00C75D5B" w:rsidRPr="00C75D5B" w:rsidRDefault="00C75D5B" w:rsidP="00217913">
      <w:pPr>
        <w:numPr>
          <w:ilvl w:val="0"/>
          <w:numId w:val="1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perfetta coincidenza della volontà dell’anima con quella divina (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indifferenza</w:t>
      </w:r>
      <w:r w:rsidRPr="00C75D5B">
        <w:rPr>
          <w:rFonts w:ascii="Garamond" w:hAnsi="Garamond"/>
          <w:w w:val="90"/>
          <w:sz w:val="22"/>
          <w:szCs w:val="22"/>
        </w:rPr>
        <w:t>).</w:t>
      </w:r>
    </w:p>
    <w:p w14:paraId="02DB95F4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326930D1" w14:textId="7CB65DE8" w:rsid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Questi capitoli presentano un’elevata densità mistico</w:t>
      </w:r>
      <w:r w:rsidRPr="00C75D5B">
        <w:rPr>
          <w:rFonts w:ascii="Garamond" w:hAnsi="Garamond"/>
          <w:w w:val="90"/>
          <w:sz w:val="22"/>
          <w:szCs w:val="22"/>
        </w:rPr>
        <w:noBreakHyphen/>
        <w:t>dottrinale, un uso continuo di comp</w:t>
      </w:r>
      <w:r>
        <w:rPr>
          <w:rFonts w:ascii="Garamond" w:hAnsi="Garamond"/>
          <w:w w:val="90"/>
          <w:sz w:val="22"/>
          <w:szCs w:val="22"/>
        </w:rPr>
        <w:t>a</w:t>
      </w:r>
      <w:r w:rsidRPr="00C75D5B">
        <w:rPr>
          <w:rFonts w:ascii="Garamond" w:hAnsi="Garamond"/>
          <w:w w:val="90"/>
          <w:sz w:val="22"/>
          <w:szCs w:val="22"/>
        </w:rPr>
        <w:t>razioni, e mostrano la natura semicolta dell’italiano regionale di Sicilia di fine Seicento: oscillazioni grafiche, variazioni morfosintattiche, frantumazioni sintattiche tipiche del parlato devozionale.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>In questa fase della ricerca, il micro</w:t>
      </w:r>
      <w:r w:rsidRPr="00C75D5B">
        <w:rPr>
          <w:rFonts w:ascii="Garamond" w:hAnsi="Garamond"/>
          <w:w w:val="90"/>
          <w:sz w:val="22"/>
          <w:szCs w:val="22"/>
        </w:rPr>
        <w:noBreakHyphen/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commit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fornisce la descrizione critica integrale, la struttura retorica e la cornice storico</w:t>
      </w:r>
      <w:r w:rsidRPr="00C75D5B">
        <w:rPr>
          <w:rFonts w:ascii="Garamond" w:hAnsi="Garamond"/>
          <w:w w:val="90"/>
          <w:sz w:val="22"/>
          <w:szCs w:val="22"/>
        </w:rPr>
        <w:noBreakHyphen/>
        <w:t>spirituale, insieme alla definizione delle politiche editoriali coerenti con la marcatura TEI.</w:t>
      </w:r>
    </w:p>
    <w:p w14:paraId="017DB9FA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088284C4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Parole chiave:</w:t>
      </w:r>
      <w:r w:rsidRPr="00C75D5B">
        <w:rPr>
          <w:rFonts w:ascii="Garamond" w:hAnsi="Garamond"/>
          <w:w w:val="90"/>
          <w:sz w:val="22"/>
          <w:szCs w:val="22"/>
        </w:rPr>
        <w:t xml:space="preserve"> Castello dell’anima; mistica secentesca; contemplazione infusa; unione mistica; linguistica storica; italiano regionale di Sicilia.</w:t>
      </w:r>
    </w:p>
    <w:p w14:paraId="122C0795" w14:textId="0A1848F6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3E2B9155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1. Contesto storico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noBreakHyphen/>
        <w:t>spirituale e profilo dell’opera</w:t>
      </w:r>
    </w:p>
    <w:p w14:paraId="793FDD2D" w14:textId="39A51139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Il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Castello dell’anima</w:t>
      </w:r>
      <w:r w:rsidRPr="00C75D5B">
        <w:rPr>
          <w:rFonts w:ascii="Garamond" w:hAnsi="Garamond"/>
          <w:w w:val="90"/>
          <w:sz w:val="22"/>
          <w:szCs w:val="22"/>
        </w:rPr>
        <w:t xml:space="preserve"> è l’unico testo superstite di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Teresa di San Geronimo</w:t>
      </w:r>
      <w:r w:rsidRPr="00C75D5B">
        <w:rPr>
          <w:rFonts w:ascii="Garamond" w:hAnsi="Garamond"/>
          <w:w w:val="90"/>
          <w:sz w:val="22"/>
          <w:szCs w:val="22"/>
        </w:rPr>
        <w:t xml:space="preserve"> (Anna La Longa), terziaria carmelitana palermitana vissuta tra il 1670 e il primo Settecento. La sua opera si colloca nel clima religioso siciliano della seconda metà del Seicento, segnato da arretratezza del clero, presenza diffusa di devozioni popolari e penetrazione intermittente dei modelli mistici spagnoli. L’autrice, come emerge dall’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Introduzione</w:t>
      </w:r>
      <w:r w:rsidRPr="00C75D5B">
        <w:rPr>
          <w:rFonts w:ascii="Garamond" w:hAnsi="Garamond"/>
          <w:w w:val="90"/>
          <w:sz w:val="22"/>
          <w:szCs w:val="22"/>
        </w:rPr>
        <w:t xml:space="preserve">, fu coinvolta in un procedimento inquisitoriale: il suo trattato, circolato tra religiosi e laici, contribuì alle accuse di quietismo e di guida spirituale impropria. 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Il manoscritto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2 </w:t>
      </w:r>
      <w:proofErr w:type="spellStart"/>
      <w:r w:rsidRPr="00C75D5B">
        <w:rPr>
          <w:rFonts w:ascii="Garamond" w:hAnsi="Garamond"/>
          <w:b/>
          <w:bCs/>
          <w:w w:val="90"/>
          <w:sz w:val="22"/>
          <w:szCs w:val="22"/>
        </w:rPr>
        <w:t>Qq</w:t>
      </w:r>
      <w:proofErr w:type="spellEnd"/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 E 29</w:t>
      </w:r>
      <w:r w:rsidRPr="00C75D5B">
        <w:rPr>
          <w:rFonts w:ascii="Garamond" w:hAnsi="Garamond"/>
          <w:w w:val="90"/>
          <w:sz w:val="22"/>
          <w:szCs w:val="22"/>
        </w:rPr>
        <w:t xml:space="preserve"> è autografo, presenta numerosi indizi di ripensamenti, glosse marginali, e mostra come la progressione del testo sia stata stesa in fasi successive: il Libro III, in particolare, contiene interventi rapidi, cancellature, chiarificazioni dottrinali che cercano di prevenire possibili letture eterodosse.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Il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Libro III</w:t>
      </w:r>
      <w:r w:rsidRPr="00C75D5B">
        <w:rPr>
          <w:rFonts w:ascii="Garamond" w:hAnsi="Garamond"/>
          <w:w w:val="90"/>
          <w:sz w:val="22"/>
          <w:szCs w:val="22"/>
        </w:rPr>
        <w:t xml:space="preserve"> è dedicato alle anime “perfette”, ovvero a quelle che, dopo la fase dell’unione abituale e dello stato di sposalizio, iniziano a ricevere gradi elevati di contemplazione infusa: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sonno</w:t>
      </w:r>
      <w:r w:rsidRPr="00C75D5B">
        <w:rPr>
          <w:rFonts w:ascii="Garamond" w:hAnsi="Garamond"/>
          <w:w w:val="90"/>
          <w:sz w:val="22"/>
          <w:szCs w:val="22"/>
        </w:rPr>
        <w:t xml:space="preserve">,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indifferenza</w:t>
      </w:r>
      <w:r w:rsidRPr="00C75D5B">
        <w:rPr>
          <w:rFonts w:ascii="Garamond" w:hAnsi="Garamond"/>
          <w:w w:val="90"/>
          <w:sz w:val="22"/>
          <w:szCs w:val="22"/>
        </w:rPr>
        <w:t xml:space="preserve"> e, più avanti, lo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stato di matrimonio spirituale</w:t>
      </w:r>
      <w:r w:rsidRPr="00C75D5B">
        <w:rPr>
          <w:rFonts w:ascii="Garamond" w:hAnsi="Garamond"/>
          <w:w w:val="90"/>
          <w:sz w:val="22"/>
          <w:szCs w:val="22"/>
        </w:rPr>
        <w:t>.</w:t>
      </w:r>
    </w:p>
    <w:p w14:paraId="22150EF8" w14:textId="0C928D34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1CEC113E" w14:textId="4AB9C63C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2. Perché i Capitoli I–V del Libro III costituiscono il 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primo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micro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noBreakHyphen/>
      </w:r>
      <w:proofErr w:type="spellStart"/>
      <w:r w:rsidRPr="00C75D5B">
        <w:rPr>
          <w:rFonts w:ascii="Garamond" w:hAnsi="Garamond"/>
          <w:b/>
          <w:bCs/>
          <w:w w:val="90"/>
          <w:sz w:val="22"/>
          <w:szCs w:val="22"/>
        </w:rPr>
        <w:t>commit</w:t>
      </w:r>
      <w:proofErr w:type="spellEnd"/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 ideale</w:t>
      </w:r>
    </w:p>
    <w:p w14:paraId="275E4680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I cinque capitoli selezionati costituiscono la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soglia effettiva</w:t>
      </w:r>
      <w:r w:rsidRPr="00C75D5B">
        <w:rPr>
          <w:rFonts w:ascii="Garamond" w:hAnsi="Garamond"/>
          <w:w w:val="90"/>
          <w:sz w:val="22"/>
          <w:szCs w:val="22"/>
        </w:rPr>
        <w:t xml:space="preserve"> del Libro III: introducono le categorie che strutturano tutto ciò che segue. Sono un modulo chiuso e autosufficiente, con una dinamica ascensionale progressiva e coerente. La struttura dei contenuti segue un ordine interno netto:</w:t>
      </w:r>
    </w:p>
    <w:p w14:paraId="405309FF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66C36135" w14:textId="53F6DB9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2.1. Capitolo I –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La disposizione lasciata dalla notte dello spirito</w:t>
      </w:r>
    </w:p>
    <w:p w14:paraId="70751DBF" w14:textId="40C7A490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Il capitolo si apre con un’affermazione fondamentale: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Quando più un’anima è ragionata di croce e travagli, tanto è più sicuro lo stato suo</w:t>
      </w:r>
      <w:r w:rsidRPr="00C75D5B">
        <w:rPr>
          <w:rFonts w:ascii="Garamond" w:hAnsi="Garamond"/>
          <w:w w:val="90"/>
          <w:sz w:val="22"/>
          <w:szCs w:val="22"/>
        </w:rPr>
        <w:t>. L’anima, esposta alla “notte” trattata nel Libro II, si trova ora purgata, alleggerita, “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astinuata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”, pronta a ricevere luce.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L’immagine </w:t>
      </w:r>
      <w:r w:rsidRPr="00C75D5B">
        <w:rPr>
          <w:rFonts w:ascii="Garamond" w:hAnsi="Garamond"/>
          <w:w w:val="90"/>
          <w:sz w:val="22"/>
          <w:szCs w:val="22"/>
        </w:rPr>
        <w:lastRenderedPageBreak/>
        <w:t xml:space="preserve">delle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statue esposte al sole</w:t>
      </w:r>
      <w:r w:rsidRPr="00C75D5B">
        <w:rPr>
          <w:rFonts w:ascii="Garamond" w:hAnsi="Garamond"/>
          <w:w w:val="90"/>
          <w:sz w:val="22"/>
          <w:szCs w:val="22"/>
        </w:rPr>
        <w:t>, che si seccano e diventano leggere, costituisce una comparazione chiave: il calore della luce divina “stenua”, dissolve i residui passionali e rende l’anima “capace” dell’amato.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>Il testo descrive inoltre segnali di sicurezza interiore (Arca di Noè che appare nel “terreno dell’anima”), manifestazione simbolica di pacificazione dopo i travagli. Il capitolo termina con l’immagine del viaggiatore che, dopo un itinerario faticoso, si ferma per contemplare retrospettivamente gli affanni trascorsi.</w:t>
      </w:r>
    </w:p>
    <w:p w14:paraId="2D639EDF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58030D04" w14:textId="4600F27E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2.2. Capitolo II – 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 xml:space="preserve">Il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i/>
          <w:iCs/>
          <w:w w:val="90"/>
          <w:sz w:val="22"/>
          <w:szCs w:val="22"/>
        </w:rPr>
        <w:t xml:space="preserve"> come primo stato d’unione</w:t>
      </w:r>
    </w:p>
    <w:p w14:paraId="08172A33" w14:textId="726336AC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Il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non coincide con la semplice sospensione passiva delle potenze: se nella quiete acquisita le potenze “ricevono”, qui Dio opera “dal fondo dell’anima”, senza passare per potenze e sensi.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La comparazione del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giardino irrigato prima dalla pioggia e poi da una fonte sotterranea</w:t>
      </w:r>
      <w:r w:rsidRPr="00C75D5B">
        <w:rPr>
          <w:rFonts w:ascii="Garamond" w:hAnsi="Garamond"/>
          <w:w w:val="90"/>
          <w:sz w:val="22"/>
          <w:szCs w:val="22"/>
        </w:rPr>
        <w:t xml:space="preserve"> chiarisce la differenza: nel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non si avverte più “lo strepito della pioggia” (metafora della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notitia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confusa), ma l’acqua “nasce nel fondo”.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L’autrice sottolinea che il linguaggio di questo stato è “oscuro”, non perché confuso, ma perché ineffabile: un parlare che “si deve dire in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”. L’anima percepisce un profumo, una forza, una quiete che nulla può togliere. Le potenze non sono distrutte, ma inattive, perché Dio opera “totalmente”.</w:t>
      </w:r>
    </w:p>
    <w:p w14:paraId="135E9A83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7BBA8E89" w14:textId="63356B34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2.3. Capitolo III – Oblivione o sonno</w:t>
      </w:r>
    </w:p>
    <w:p w14:paraId="3EFB1DD3" w14:textId="77E10476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Qui inizia lo stato superiore. L’autrice lo distingue con precisione dal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: quest’ultimo sospende le potenze; il sonno le aliena. Non è però lo stato di estasi dello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sposalitio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, che era transitorio: qui il sonno è “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habituale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”, continuo, stabile.</w:t>
      </w:r>
      <w:r w:rsidRPr="00C75D5B">
        <w:rPr>
          <w:rFonts w:ascii="Garamond" w:hAnsi="Garamond"/>
          <w:w w:val="90"/>
          <w:sz w:val="22"/>
          <w:szCs w:val="22"/>
        </w:rPr>
        <w:br/>
        <w:t xml:space="preserve">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comperazione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delle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due statuette di cera calda che si fondono fino a quasi diventare una sola</w:t>
      </w:r>
      <w:r w:rsidRPr="00C75D5B">
        <w:rPr>
          <w:rFonts w:ascii="Garamond" w:hAnsi="Garamond"/>
          <w:w w:val="90"/>
          <w:sz w:val="22"/>
          <w:szCs w:val="22"/>
        </w:rPr>
        <w:t xml:space="preserve"> è una delle più potenti immagini dell’intero manoscritto. Pur precisando che le due sostanze restano distinte (Dio e anima), l’autrice descrive una congiunzione strettissima, anticipazione del matrimonio spirituale.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>L’anima sperimenta un aumento della luce (</w:t>
      </w:r>
      <w:r w:rsidRPr="00C75D5B">
        <w:rPr>
          <w:rFonts w:ascii="Garamond" w:hAnsi="Garamond"/>
          <w:i/>
          <w:iCs/>
          <w:w w:val="90"/>
          <w:sz w:val="22"/>
          <w:szCs w:val="22"/>
        </w:rPr>
        <w:t>più il sole batte sulla pietra diamantina, più la rischiara</w:t>
      </w:r>
      <w:r w:rsidRPr="00C75D5B">
        <w:rPr>
          <w:rFonts w:ascii="Garamond" w:hAnsi="Garamond"/>
          <w:w w:val="90"/>
          <w:sz w:val="22"/>
          <w:szCs w:val="22"/>
        </w:rPr>
        <w:t>) e insieme un aumento della consapevolezza del proprio “niente”.</w:t>
      </w:r>
    </w:p>
    <w:p w14:paraId="356DC876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42B3EB76" w14:textId="2F5A474B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 xml:space="preserve">2.4. Capitolo IV –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Scordanza</w:t>
      </w:r>
      <w:proofErr w:type="spellEnd"/>
    </w:p>
    <w:p w14:paraId="0B5CF678" w14:textId="18FE695D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che nel Libro II era episodica, diventa qui 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t>stato</w:t>
      </w:r>
      <w:r w:rsidRPr="00C75D5B">
        <w:rPr>
          <w:rFonts w:ascii="Garamond" w:hAnsi="Garamond"/>
          <w:w w:val="90"/>
          <w:sz w:val="22"/>
          <w:szCs w:val="22"/>
        </w:rPr>
        <w:t>.</w:t>
      </w:r>
      <w:r w:rsidR="00217913"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L’anima è “sommersa in un profondissimo oceano d’amore”: torna la metafora marittima, estesa con lunga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comperazione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.</w:t>
      </w:r>
      <w:r w:rsidR="00217913"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Il testo distingue 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di questo stadio dallo stato estatico dello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sposalitio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: quest’ultimo era transitorio e coinvolgeva potenze e sensi; 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del Libro III è fondata nel fondo dell’anima, stabile, senza annullamento dell’operatività esterna.</w:t>
      </w:r>
    </w:p>
    <w:p w14:paraId="086822F4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2.5. Capitolo V – Stato d’indifferenza</w:t>
      </w:r>
    </w:p>
    <w:p w14:paraId="1E119773" w14:textId="353261DF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L’anima “non ha più sua volontà, ma quella di Dio”.</w:t>
      </w:r>
      <w:r w:rsidR="00217913">
        <w:rPr>
          <w:rFonts w:ascii="Garamond" w:hAnsi="Garamond"/>
          <w:w w:val="90"/>
          <w:sz w:val="22"/>
          <w:szCs w:val="22"/>
        </w:rPr>
        <w:t xml:space="preserve"> </w:t>
      </w:r>
      <w:r w:rsidRPr="00C75D5B">
        <w:rPr>
          <w:rFonts w:ascii="Garamond" w:hAnsi="Garamond"/>
          <w:w w:val="90"/>
          <w:sz w:val="22"/>
          <w:szCs w:val="22"/>
        </w:rPr>
        <w:t xml:space="preserve">Non si tratta dell’esercizio ascetico della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conformitas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, ma di un processo divino: la volontà dell’anima viene interiormente trasformata in quella di Dio, senza sforzo proprio.</w:t>
      </w:r>
      <w:r w:rsidRPr="00C75D5B">
        <w:rPr>
          <w:rFonts w:ascii="Garamond" w:hAnsi="Garamond"/>
          <w:w w:val="90"/>
          <w:sz w:val="22"/>
          <w:szCs w:val="22"/>
        </w:rPr>
        <w:br/>
        <w:t>Da ciò deriva la cessazione dei desideri (“né vita, né morte, né croce”), non per tiepidezza ma per saturazione. Anche la carità verso il prossimo muta: non genera più pena, perché qui l’anima partecipa della pace di Dio.</w:t>
      </w:r>
    </w:p>
    <w:p w14:paraId="23EBE215" w14:textId="0E75095F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679B9421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 Politiche editoriali</w:t>
      </w:r>
    </w:p>
    <w:p w14:paraId="568E9286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3.1. Principi di fondo</w:t>
      </w:r>
    </w:p>
    <w:p w14:paraId="7570405D" w14:textId="62AA2EBC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La trascrizione adottata in questo micro</w:t>
      </w:r>
      <w:r w:rsidRPr="00217913">
        <w:rPr>
          <w:rFonts w:ascii="Garamond" w:hAnsi="Garamond"/>
          <w:w w:val="90"/>
          <w:sz w:val="22"/>
          <w:szCs w:val="22"/>
        </w:rPr>
        <w:noBreakHyphen/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commit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 xml:space="preserve"> si colloca integralmente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nel quadro metodologico delineato nel documento di progetto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i/>
          <w:iCs/>
          <w:w w:val="90"/>
          <w:sz w:val="22"/>
          <w:szCs w:val="22"/>
        </w:rPr>
        <w:t>Edizione Critica Digitale del Terzo Libro del Castello dell’anima</w:t>
      </w:r>
      <w:r w:rsidRPr="00217913">
        <w:rPr>
          <w:rFonts w:ascii="Garamond" w:hAnsi="Garamond"/>
          <w:w w:val="90"/>
          <w:sz w:val="22"/>
          <w:szCs w:val="22"/>
        </w:rPr>
        <w:t xml:space="preserve"> (rev. 5</w:t>
      </w:r>
      <w:r>
        <w:rPr>
          <w:rFonts w:ascii="Garamond" w:hAnsi="Garamond"/>
          <w:w w:val="90"/>
          <w:sz w:val="22"/>
          <w:szCs w:val="22"/>
        </w:rPr>
        <w:t xml:space="preserve">; </w:t>
      </w:r>
      <w:hyperlink r:id="rId8" w:history="1">
        <w:r w:rsidRPr="00875693">
          <w:rPr>
            <w:rStyle w:val="Collegamentoipertestuale"/>
            <w:rFonts w:ascii="Garamond" w:hAnsi="Garamond"/>
            <w:w w:val="90"/>
            <w:sz w:val="22"/>
            <w:szCs w:val="22"/>
          </w:rPr>
          <w:t>https://github.com/luciano-longo77/castello-dell-anima-edizione/edit/main/project-readme.md</w:t>
        </w:r>
      </w:hyperlink>
      <w:r w:rsidRPr="00217913">
        <w:rPr>
          <w:rFonts w:ascii="Garamond" w:hAnsi="Garamond"/>
          <w:w w:val="90"/>
          <w:sz w:val="22"/>
          <w:szCs w:val="22"/>
        </w:rPr>
        <w:t>).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Il testo base dell’edizione è costituito da una trascrizione diplomatico</w:t>
      </w:r>
      <w:r w:rsidRPr="00217913">
        <w:rPr>
          <w:rFonts w:ascii="Garamond" w:hAnsi="Garamond"/>
          <w:w w:val="90"/>
          <w:sz w:val="22"/>
          <w:szCs w:val="22"/>
        </w:rPr>
        <w:noBreakHyphen/>
        <w:t>conservativa del manoscritto autografo, condotta senza operare normalizzazioni grafiche, ortografiche o morfosintattiche.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Ogni fenomeno materiale, grafico e linguistico dell’autografo è trattato come dato filologicamente e storicamente rilevante e viene pertanto conservato nel testo editoriale.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Eventuali interventi di regolarizzazione o interpretazione sono ammessi esclusivamente in livelli testuali derivati (distinti dal testo dell’edizione critica) e utilizzati a fini di leggibilità o sperimentazione computazionale.</w:t>
      </w:r>
    </w:p>
    <w:p w14:paraId="2C22F22F" w14:textId="77777777" w:rsid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6E6225B8" w14:textId="68E173C3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3.2. Grafia e diacritici</w:t>
      </w:r>
    </w:p>
    <w:p w14:paraId="464E0073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Nel testo base dell’edizione non viene applicata alcuna normalizzazione sistematica dei diacritici o delle grafie oscillanti.</w:t>
      </w:r>
    </w:p>
    <w:p w14:paraId="7E2ACFF8" w14:textId="3745ECBD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Sono pertanto conservate integralmente: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 xml:space="preserve">oscillazioni come </w:t>
      </w:r>
      <w:r w:rsidRPr="00217913">
        <w:rPr>
          <w:rFonts w:ascii="Garamond" w:hAnsi="Garamond"/>
          <w:i/>
          <w:iCs/>
          <w:w w:val="90"/>
          <w:sz w:val="22"/>
          <w:szCs w:val="22"/>
        </w:rPr>
        <w:t xml:space="preserve">à / a / </w:t>
      </w:r>
      <w:proofErr w:type="spellStart"/>
      <w:r w:rsidRPr="00217913">
        <w:rPr>
          <w:rFonts w:ascii="Garamond" w:hAnsi="Garamond"/>
          <w:i/>
          <w:iCs/>
          <w:w w:val="90"/>
          <w:sz w:val="22"/>
          <w:szCs w:val="22"/>
        </w:rPr>
        <w:t>hà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 xml:space="preserve">; </w:t>
      </w:r>
      <w:r w:rsidRPr="00217913">
        <w:rPr>
          <w:rFonts w:ascii="Garamond" w:hAnsi="Garamond"/>
          <w:i/>
          <w:iCs/>
          <w:w w:val="90"/>
          <w:sz w:val="22"/>
          <w:szCs w:val="22"/>
        </w:rPr>
        <w:t xml:space="preserve">ò / o / </w:t>
      </w:r>
      <w:proofErr w:type="spellStart"/>
      <w:r w:rsidRPr="00217913">
        <w:rPr>
          <w:rFonts w:ascii="Garamond" w:hAnsi="Garamond"/>
          <w:i/>
          <w:iCs/>
          <w:w w:val="90"/>
          <w:sz w:val="22"/>
          <w:szCs w:val="22"/>
        </w:rPr>
        <w:t>hò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;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variazioni nell’uso dell’accento grafico (</w:t>
      </w:r>
      <w:r w:rsidRPr="00217913">
        <w:rPr>
          <w:rFonts w:ascii="Garamond" w:hAnsi="Garamond"/>
          <w:i/>
          <w:iCs/>
          <w:w w:val="90"/>
          <w:sz w:val="22"/>
          <w:szCs w:val="22"/>
        </w:rPr>
        <w:t xml:space="preserve">si / sì; </w:t>
      </w:r>
      <w:proofErr w:type="spellStart"/>
      <w:r w:rsidRPr="00217913">
        <w:rPr>
          <w:rFonts w:ascii="Garamond" w:hAnsi="Garamond"/>
          <w:i/>
          <w:iCs/>
          <w:w w:val="90"/>
          <w:sz w:val="22"/>
          <w:szCs w:val="22"/>
        </w:rPr>
        <w:t>ne</w:t>
      </w:r>
      <w:proofErr w:type="spellEnd"/>
      <w:r w:rsidRPr="00217913">
        <w:rPr>
          <w:rFonts w:ascii="Garamond" w:hAnsi="Garamond"/>
          <w:i/>
          <w:iCs/>
          <w:w w:val="90"/>
          <w:sz w:val="22"/>
          <w:szCs w:val="22"/>
        </w:rPr>
        <w:t xml:space="preserve"> / né</w:t>
      </w:r>
      <w:r w:rsidRPr="00217913">
        <w:rPr>
          <w:rFonts w:ascii="Garamond" w:hAnsi="Garamond"/>
          <w:w w:val="90"/>
          <w:sz w:val="22"/>
          <w:szCs w:val="22"/>
        </w:rPr>
        <w:t>);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grafie non standard o incoerenti all’interno del manoscritto.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Tali fenomeni sono considerati parte costitutiva dell’italiano semicolto e regionale dell’autografo e vengono eventualmente descritti o commentati nelle note filologiche o linguistiche, senza intervento correttivo sul testo.</w:t>
      </w:r>
    </w:p>
    <w:p w14:paraId="4B7968E9" w14:textId="52B22345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0BBA8A64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3.3. Unione e separazione delle parole</w:t>
      </w:r>
    </w:p>
    <w:p w14:paraId="39567C2E" w14:textId="6E1F554A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 xml:space="preserve">Le forme di unione o separazione delle parole attestate nel manoscritto sono rigorosamente conservate nel testo base dell’edizione, anche quando divergono dall’uso moderno (es. </w:t>
      </w:r>
      <w:proofErr w:type="spellStart"/>
      <w:r w:rsidRPr="00217913">
        <w:rPr>
          <w:rFonts w:ascii="Garamond" w:hAnsi="Garamond"/>
          <w:i/>
          <w:iCs/>
          <w:w w:val="90"/>
          <w:sz w:val="22"/>
          <w:szCs w:val="22"/>
        </w:rPr>
        <w:t>inquestitempi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 xml:space="preserve">, </w:t>
      </w:r>
      <w:r w:rsidRPr="00217913">
        <w:rPr>
          <w:rFonts w:ascii="Garamond" w:hAnsi="Garamond"/>
          <w:i/>
          <w:iCs/>
          <w:w w:val="90"/>
          <w:sz w:val="22"/>
          <w:szCs w:val="22"/>
        </w:rPr>
        <w:t>alcun’altra</w:t>
      </w:r>
      <w:r w:rsidRPr="00217913">
        <w:rPr>
          <w:rFonts w:ascii="Garamond" w:hAnsi="Garamond"/>
          <w:w w:val="90"/>
          <w:sz w:val="22"/>
          <w:szCs w:val="22"/>
        </w:rPr>
        <w:t xml:space="preserve">, </w:t>
      </w:r>
      <w:proofErr w:type="spellStart"/>
      <w:r w:rsidRPr="00217913">
        <w:rPr>
          <w:rFonts w:ascii="Garamond" w:hAnsi="Garamond"/>
          <w:i/>
          <w:iCs/>
          <w:w w:val="90"/>
          <w:sz w:val="22"/>
          <w:szCs w:val="22"/>
        </w:rPr>
        <w:t>nontrattenere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).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Tali fenomeni sono trattati come: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indizi di scrittura semicolta;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tracce di oralità devozionale;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 xml:space="preserve">possibili segnali di velocità esecutiva o stratificazione </w:t>
      </w:r>
      <w:r w:rsidRPr="00217913">
        <w:rPr>
          <w:rFonts w:ascii="Garamond" w:hAnsi="Garamond"/>
          <w:w w:val="90"/>
          <w:sz w:val="22"/>
          <w:szCs w:val="22"/>
        </w:rPr>
        <w:lastRenderedPageBreak/>
        <w:t>redazionale.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Eventuali riscritture modernizzanti sono ammesse esclusivamente in trascrizioni derivate, chiaramente distinte dal testo editoriale.</w:t>
      </w:r>
    </w:p>
    <w:p w14:paraId="45E6CD79" w14:textId="1117A218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42656FDA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3.4. Abbreviazioni</w:t>
      </w:r>
    </w:p>
    <w:p w14:paraId="4880D051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Le abbreviazioni materiali del manoscritto sono:</w:t>
      </w:r>
    </w:p>
    <w:p w14:paraId="10C49044" w14:textId="77777777" w:rsidR="00217913" w:rsidRPr="00217913" w:rsidRDefault="00217913" w:rsidP="00217913">
      <w:pPr>
        <w:numPr>
          <w:ilvl w:val="0"/>
          <w:numId w:val="2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sciolte per esteso nel testo base, al solo fine di garantire la leggibilità;</w:t>
      </w:r>
    </w:p>
    <w:p w14:paraId="5FDF3633" w14:textId="77777777" w:rsidR="00217913" w:rsidRPr="00217913" w:rsidRDefault="00217913" w:rsidP="00217913">
      <w:pPr>
        <w:numPr>
          <w:ilvl w:val="0"/>
          <w:numId w:val="26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registrate in codifica TEI mediante la coppia:</w:t>
      </w:r>
    </w:p>
    <w:p w14:paraId="458D31D4" w14:textId="77777777" w:rsid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112F36E5" w14:textId="46DDC9A2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&lt;abbr&gt;...&lt;/abbr&gt;</w:t>
      </w:r>
    </w:p>
    <w:p w14:paraId="5B59A60A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&lt;</w:t>
      </w:r>
      <w:proofErr w:type="spellStart"/>
      <w:r w:rsidRPr="00217913">
        <w:rPr>
          <w:rFonts w:ascii="Garamond" w:hAnsi="Garamond"/>
          <w:b/>
          <w:bCs/>
          <w:w w:val="90"/>
          <w:sz w:val="22"/>
          <w:szCs w:val="22"/>
        </w:rPr>
        <w:t>expan</w:t>
      </w:r>
      <w:proofErr w:type="spellEnd"/>
      <w:r w:rsidRPr="00217913">
        <w:rPr>
          <w:rFonts w:ascii="Garamond" w:hAnsi="Garamond"/>
          <w:b/>
          <w:bCs/>
          <w:w w:val="90"/>
          <w:sz w:val="22"/>
          <w:szCs w:val="22"/>
        </w:rPr>
        <w:t>&gt;...&lt;/</w:t>
      </w:r>
      <w:proofErr w:type="spellStart"/>
      <w:r w:rsidRPr="00217913">
        <w:rPr>
          <w:rFonts w:ascii="Garamond" w:hAnsi="Garamond"/>
          <w:b/>
          <w:bCs/>
          <w:w w:val="90"/>
          <w:sz w:val="22"/>
          <w:szCs w:val="22"/>
        </w:rPr>
        <w:t>expan</w:t>
      </w:r>
      <w:proofErr w:type="spellEnd"/>
      <w:r w:rsidRPr="00217913">
        <w:rPr>
          <w:rFonts w:ascii="Garamond" w:hAnsi="Garamond"/>
          <w:b/>
          <w:bCs/>
          <w:w w:val="90"/>
          <w:sz w:val="22"/>
          <w:szCs w:val="22"/>
        </w:rPr>
        <w:t>&gt;</w:t>
      </w:r>
    </w:p>
    <w:p w14:paraId="0318D423" w14:textId="77777777" w:rsid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1943A5FA" w14:textId="54BD7405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Lo scioglimento non implica normalizzazione linguistica né interpretazione semantica, ma si limita alla restituzione della forma estesa in base all’uso manoscritto.</w:t>
      </w:r>
    </w:p>
    <w:p w14:paraId="53432137" w14:textId="24E8C699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515E1A10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3.5. Interpunzione</w:t>
      </w:r>
    </w:p>
    <w:p w14:paraId="7800E41A" w14:textId="4FF5D492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L’interpunzione originale del manoscritto è conservata nel testo base dell’edizione, anche quando risulta irregolare o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incoerente secondo i criteri moderni.</w:t>
      </w:r>
      <w:r>
        <w:rPr>
          <w:rFonts w:ascii="Garamond" w:hAnsi="Garamond"/>
          <w:w w:val="90"/>
          <w:sz w:val="22"/>
          <w:szCs w:val="22"/>
        </w:rPr>
        <w:t xml:space="preserve"> </w:t>
      </w:r>
      <w:r w:rsidRPr="00217913">
        <w:rPr>
          <w:rFonts w:ascii="Garamond" w:hAnsi="Garamond"/>
          <w:w w:val="90"/>
          <w:sz w:val="22"/>
          <w:szCs w:val="22"/>
        </w:rPr>
        <w:t>Interventi correttivi espliciti sull’interpunzione non sono ammessi nel testo editoriale; eventuali chiarimenti interpretativi sono demandati alle note filologiche.</w:t>
      </w:r>
    </w:p>
    <w:p w14:paraId="6BBEB01F" w14:textId="24235E02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0D777E9D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3.6. Segnatura di carta</w:t>
      </w:r>
    </w:p>
    <w:p w14:paraId="3C410F7F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La foliazione originale del manoscritto è indicata con precisione e continuità:</w:t>
      </w:r>
    </w:p>
    <w:p w14:paraId="26FC5966" w14:textId="77777777" w:rsidR="00217913" w:rsidRPr="00217913" w:rsidRDefault="00217913" w:rsidP="00217913">
      <w:pPr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nella trascrizione, tramite indicazioni esplicite di carta;</w:t>
      </w:r>
    </w:p>
    <w:p w14:paraId="39FE64DD" w14:textId="77777777" w:rsidR="00217913" w:rsidRPr="00217913" w:rsidRDefault="00217913" w:rsidP="00217913">
      <w:pPr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nella codifica TEI, mediante:</w:t>
      </w:r>
    </w:p>
    <w:p w14:paraId="6F703EB6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 xml:space="preserve">&lt;milestone </w:t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unit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="folio" n="158r"/&gt;</w:t>
      </w:r>
    </w:p>
    <w:p w14:paraId="0536D8AF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4022B072" w14:textId="1A9C9CC4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La segnatura costituisce un elemento strutturale essenziale per la localizzazione delle varianti, delle aggiunte e degli interventi correttivi.</w:t>
      </w:r>
    </w:p>
    <w:p w14:paraId="0DD7E7A6" w14:textId="27FC718B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2EDE83CD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3.7. Guasti, lacune, incertezze</w:t>
      </w:r>
    </w:p>
    <w:p w14:paraId="297327AA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Le porzioni di testo:</w:t>
      </w:r>
    </w:p>
    <w:p w14:paraId="41C57694" w14:textId="77777777" w:rsidR="00217913" w:rsidRPr="00217913" w:rsidRDefault="00217913" w:rsidP="00217913">
      <w:pPr>
        <w:numPr>
          <w:ilvl w:val="0"/>
          <w:numId w:val="28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illeggibili,</w:t>
      </w:r>
    </w:p>
    <w:p w14:paraId="4F62F317" w14:textId="77777777" w:rsidR="00217913" w:rsidRPr="00217913" w:rsidRDefault="00217913" w:rsidP="00217913">
      <w:pPr>
        <w:numPr>
          <w:ilvl w:val="0"/>
          <w:numId w:val="28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lacunose,</w:t>
      </w:r>
    </w:p>
    <w:p w14:paraId="2214A5B4" w14:textId="77777777" w:rsidR="00217913" w:rsidRPr="00217913" w:rsidRDefault="00217913" w:rsidP="00217913">
      <w:pPr>
        <w:numPr>
          <w:ilvl w:val="0"/>
          <w:numId w:val="28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o meccanicamente danneggiate</w:t>
      </w:r>
    </w:p>
    <w:p w14:paraId="0D25B6E5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sono segnalate senza interventi arbitrari.</w:t>
      </w:r>
    </w:p>
    <w:p w14:paraId="4AEC66A4" w14:textId="77777777" w:rsid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7AE6341F" w14:textId="11537CEE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In TEI vengono utilizzati:</w:t>
      </w:r>
    </w:p>
    <w:p w14:paraId="6C6A8DA8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&lt;</w:t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unclear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/&gt;</w:t>
      </w:r>
    </w:p>
    <w:p w14:paraId="4EC964BC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217913">
        <w:rPr>
          <w:rFonts w:ascii="Garamond" w:hAnsi="Garamond"/>
          <w:w w:val="90"/>
          <w:sz w:val="22"/>
          <w:szCs w:val="22"/>
          <w:lang w:val="en-US"/>
        </w:rPr>
        <w:t>&lt;gap reason="illegible"/&gt;</w:t>
      </w:r>
    </w:p>
    <w:p w14:paraId="1F2A6022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217913">
        <w:rPr>
          <w:rFonts w:ascii="Garamond" w:hAnsi="Garamond"/>
          <w:w w:val="90"/>
          <w:sz w:val="22"/>
          <w:szCs w:val="22"/>
          <w:lang w:val="en-US"/>
        </w:rPr>
        <w:t>&lt;supplied reason="conjecture"/&gt;</w:t>
      </w:r>
    </w:p>
    <w:p w14:paraId="799FB71E" w14:textId="77777777" w:rsid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37B6B80B" w14:textId="6A2A738C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Le integrazioni congetturali, quando necessarie, sono sempre segnalate come tali e non confluiscono nel testo base senza marcatura.</w:t>
      </w:r>
    </w:p>
    <w:p w14:paraId="77BF409B" w14:textId="567A2C25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7F1E6680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217913">
        <w:rPr>
          <w:rFonts w:ascii="Garamond" w:hAnsi="Garamond"/>
          <w:b/>
          <w:bCs/>
          <w:w w:val="90"/>
          <w:sz w:val="22"/>
          <w:szCs w:val="22"/>
        </w:rPr>
        <w:t>3.8. Cancellature, aggiunte, ripensamenti</w:t>
      </w:r>
    </w:p>
    <w:p w14:paraId="4C4F47CB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Le cancellature, le aggiunte marginali o interlineari e le riscritture autoriali sono considerate dati genetici primari.</w:t>
      </w:r>
    </w:p>
    <w:p w14:paraId="18820400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Nel testo editoriale esse sono rappresentate e distinte attraverso la codifica TEI:</w:t>
      </w:r>
    </w:p>
    <w:p w14:paraId="4EE031E4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&lt;del&gt;...&lt;/del&gt;</w:t>
      </w:r>
    </w:p>
    <w:p w14:paraId="09E6D305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&lt;add place="</w:t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margin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"&gt;...&lt;/add&gt;</w:t>
      </w:r>
    </w:p>
    <w:p w14:paraId="773A1C76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&lt;</w:t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subst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&gt;...&lt;/</w:t>
      </w:r>
      <w:proofErr w:type="spellStart"/>
      <w:r w:rsidRPr="00217913">
        <w:rPr>
          <w:rFonts w:ascii="Garamond" w:hAnsi="Garamond"/>
          <w:w w:val="90"/>
          <w:sz w:val="22"/>
          <w:szCs w:val="22"/>
        </w:rPr>
        <w:t>subst</w:t>
      </w:r>
      <w:proofErr w:type="spellEnd"/>
      <w:r w:rsidRPr="00217913">
        <w:rPr>
          <w:rFonts w:ascii="Garamond" w:hAnsi="Garamond"/>
          <w:w w:val="90"/>
          <w:sz w:val="22"/>
          <w:szCs w:val="22"/>
        </w:rPr>
        <w:t>&gt;</w:t>
      </w:r>
    </w:p>
    <w:p w14:paraId="0B62DD2C" w14:textId="77777777" w:rsidR="00217913" w:rsidRPr="00217913" w:rsidRDefault="00217913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La loro interpretazione filologica (e in particolare il loro rapporto con strategie di autocontrollo dottrinale) è affidata:</w:t>
      </w:r>
    </w:p>
    <w:p w14:paraId="6ACB8FAA" w14:textId="77777777" w:rsidR="00217913" w:rsidRPr="00217913" w:rsidRDefault="00217913" w:rsidP="00217913">
      <w:pPr>
        <w:numPr>
          <w:ilvl w:val="0"/>
          <w:numId w:val="2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all’apparato critico;</w:t>
      </w:r>
    </w:p>
    <w:p w14:paraId="1E534CD1" w14:textId="77777777" w:rsidR="00217913" w:rsidRPr="00217913" w:rsidRDefault="00217913" w:rsidP="00217913">
      <w:pPr>
        <w:numPr>
          <w:ilvl w:val="0"/>
          <w:numId w:val="2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217913">
        <w:rPr>
          <w:rFonts w:ascii="Garamond" w:hAnsi="Garamond"/>
          <w:w w:val="90"/>
          <w:sz w:val="22"/>
          <w:szCs w:val="22"/>
        </w:rPr>
        <w:t>alle note filologiche e contestuali.</w:t>
      </w:r>
    </w:p>
    <w:p w14:paraId="17AAF723" w14:textId="77777777" w:rsidR="00291B59" w:rsidRDefault="00291B59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566280E6" w14:textId="7AEE010B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3.9. Glosse</w:t>
      </w:r>
    </w:p>
    <w:p w14:paraId="1BF7D49E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lastRenderedPageBreak/>
        <w:t>Il Libro III include fasi in cui l’autrice aggiunge chiarificazioni successive (p.es. su unione delle sostanze, volontà sospesa).</w:t>
      </w:r>
      <w:r w:rsidRPr="00C75D5B">
        <w:rPr>
          <w:rFonts w:ascii="Garamond" w:hAnsi="Garamond"/>
          <w:w w:val="90"/>
          <w:sz w:val="22"/>
          <w:szCs w:val="22"/>
        </w:rPr>
        <w:br/>
        <w:t xml:space="preserve">In TEI: &lt;note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type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="glossa"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subtype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="corrigenda"&gt;.</w:t>
      </w:r>
    </w:p>
    <w:p w14:paraId="5797E9C9" w14:textId="77777777" w:rsid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</w:p>
    <w:p w14:paraId="0DA47BCE" w14:textId="2CC9DFB5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3.10. Struttura TEI prevista</w:t>
      </w:r>
    </w:p>
    <w:p w14:paraId="7A2E4F78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La versione finale TEI comprenderà:</w:t>
      </w:r>
    </w:p>
    <w:p w14:paraId="5DABB34A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>&lt;TEI&gt;</w:t>
      </w:r>
    </w:p>
    <w:p w14:paraId="1F0A1219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&lt;</w:t>
      </w:r>
      <w:proofErr w:type="spellStart"/>
      <w:r w:rsidRPr="00C75D5B">
        <w:rPr>
          <w:rFonts w:ascii="Garamond" w:hAnsi="Garamond"/>
          <w:w w:val="90"/>
          <w:sz w:val="22"/>
          <w:szCs w:val="22"/>
          <w:lang w:val="en-US"/>
        </w:rPr>
        <w:t>teiHeader</w:t>
      </w:r>
      <w:proofErr w:type="spellEnd"/>
      <w:r w:rsidRPr="00C75D5B">
        <w:rPr>
          <w:rFonts w:ascii="Garamond" w:hAnsi="Garamond"/>
          <w:w w:val="90"/>
          <w:sz w:val="22"/>
          <w:szCs w:val="22"/>
          <w:lang w:val="en-US"/>
        </w:rPr>
        <w:t>&gt; … &lt;/</w:t>
      </w:r>
      <w:proofErr w:type="spellStart"/>
      <w:r w:rsidRPr="00C75D5B">
        <w:rPr>
          <w:rFonts w:ascii="Garamond" w:hAnsi="Garamond"/>
          <w:w w:val="90"/>
          <w:sz w:val="22"/>
          <w:szCs w:val="22"/>
          <w:lang w:val="en-US"/>
        </w:rPr>
        <w:t>teiHeader</w:t>
      </w:r>
      <w:proofErr w:type="spellEnd"/>
      <w:r w:rsidRPr="00C75D5B">
        <w:rPr>
          <w:rFonts w:ascii="Garamond" w:hAnsi="Garamond"/>
          <w:w w:val="90"/>
          <w:sz w:val="22"/>
          <w:szCs w:val="22"/>
          <w:lang w:val="en-US"/>
        </w:rPr>
        <w:t>&gt;</w:t>
      </w:r>
    </w:p>
    <w:p w14:paraId="6065185B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&lt;text&gt;</w:t>
      </w:r>
    </w:p>
    <w:p w14:paraId="21643BA5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  &lt;body&gt;</w:t>
      </w:r>
    </w:p>
    <w:p w14:paraId="1D50E197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    &lt;div type="book" n="III"&gt;</w:t>
      </w:r>
    </w:p>
    <w:p w14:paraId="42EB1D9F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      </w:t>
      </w:r>
      <w:r w:rsidRPr="00C75D5B">
        <w:rPr>
          <w:rFonts w:ascii="Garamond" w:hAnsi="Garamond"/>
          <w:w w:val="90"/>
          <w:sz w:val="22"/>
          <w:szCs w:val="22"/>
        </w:rPr>
        <w:t xml:space="preserve">&lt;div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type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="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chapter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" n="I"&gt; … &lt;/div&gt;</w:t>
      </w:r>
    </w:p>
    <w:p w14:paraId="50DC2657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        &lt;div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type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="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chapter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" n="II"&gt; … &lt;/div&gt;</w:t>
      </w:r>
    </w:p>
    <w:p w14:paraId="28B7BFAF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        &lt;div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type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="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chapter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" n="III"&gt; … &lt;/div&gt;</w:t>
      </w:r>
    </w:p>
    <w:p w14:paraId="2C415B84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fr-FR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        </w:t>
      </w:r>
      <w:r w:rsidRPr="00C75D5B">
        <w:rPr>
          <w:rFonts w:ascii="Garamond" w:hAnsi="Garamond"/>
          <w:w w:val="90"/>
          <w:sz w:val="22"/>
          <w:szCs w:val="22"/>
          <w:lang w:val="fr-FR"/>
        </w:rPr>
        <w:t>&lt;</w:t>
      </w:r>
      <w:proofErr w:type="gramStart"/>
      <w:r w:rsidRPr="00C75D5B">
        <w:rPr>
          <w:rFonts w:ascii="Garamond" w:hAnsi="Garamond"/>
          <w:w w:val="90"/>
          <w:sz w:val="22"/>
          <w:szCs w:val="22"/>
          <w:lang w:val="fr-FR"/>
        </w:rPr>
        <w:t>div</w:t>
      </w:r>
      <w:proofErr w:type="gramEnd"/>
      <w:r w:rsidRPr="00C75D5B">
        <w:rPr>
          <w:rFonts w:ascii="Garamond" w:hAnsi="Garamond"/>
          <w:w w:val="90"/>
          <w:sz w:val="22"/>
          <w:szCs w:val="22"/>
          <w:lang w:val="fr-FR"/>
        </w:rPr>
        <w:t xml:space="preserve"> type="</w:t>
      </w:r>
      <w:proofErr w:type="spellStart"/>
      <w:r w:rsidRPr="00C75D5B">
        <w:rPr>
          <w:rFonts w:ascii="Garamond" w:hAnsi="Garamond"/>
          <w:w w:val="90"/>
          <w:sz w:val="22"/>
          <w:szCs w:val="22"/>
          <w:lang w:val="fr-FR"/>
        </w:rPr>
        <w:t>chapter</w:t>
      </w:r>
      <w:proofErr w:type="spellEnd"/>
      <w:r w:rsidRPr="00C75D5B">
        <w:rPr>
          <w:rFonts w:ascii="Garamond" w:hAnsi="Garamond"/>
          <w:w w:val="90"/>
          <w:sz w:val="22"/>
          <w:szCs w:val="22"/>
          <w:lang w:val="fr-FR"/>
        </w:rPr>
        <w:t>" n="IV"&gt; … &lt;/div&gt;</w:t>
      </w:r>
    </w:p>
    <w:p w14:paraId="6260A09B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fr-FR"/>
        </w:rPr>
        <w:t xml:space="preserve">        &lt;</w:t>
      </w:r>
      <w:proofErr w:type="gramStart"/>
      <w:r w:rsidRPr="00C75D5B">
        <w:rPr>
          <w:rFonts w:ascii="Garamond" w:hAnsi="Garamond"/>
          <w:w w:val="90"/>
          <w:sz w:val="22"/>
          <w:szCs w:val="22"/>
          <w:lang w:val="fr-FR"/>
        </w:rPr>
        <w:t>div</w:t>
      </w:r>
      <w:proofErr w:type="gramEnd"/>
      <w:r w:rsidRPr="00C75D5B">
        <w:rPr>
          <w:rFonts w:ascii="Garamond" w:hAnsi="Garamond"/>
          <w:w w:val="90"/>
          <w:sz w:val="22"/>
          <w:szCs w:val="22"/>
          <w:lang w:val="fr-FR"/>
        </w:rPr>
        <w:t xml:space="preserve"> type="</w:t>
      </w:r>
      <w:proofErr w:type="spellStart"/>
      <w:r w:rsidRPr="00C75D5B">
        <w:rPr>
          <w:rFonts w:ascii="Garamond" w:hAnsi="Garamond"/>
          <w:w w:val="90"/>
          <w:sz w:val="22"/>
          <w:szCs w:val="22"/>
          <w:lang w:val="fr-FR"/>
        </w:rPr>
        <w:t>chapter</w:t>
      </w:r>
      <w:proofErr w:type="spellEnd"/>
      <w:r w:rsidRPr="00C75D5B">
        <w:rPr>
          <w:rFonts w:ascii="Garamond" w:hAnsi="Garamond"/>
          <w:w w:val="90"/>
          <w:sz w:val="22"/>
          <w:szCs w:val="22"/>
          <w:lang w:val="fr-FR"/>
        </w:rPr>
        <w:t xml:space="preserve">" n="V"&gt; … </w:t>
      </w:r>
      <w:r w:rsidRPr="00C75D5B">
        <w:rPr>
          <w:rFonts w:ascii="Garamond" w:hAnsi="Garamond"/>
          <w:w w:val="90"/>
          <w:sz w:val="22"/>
          <w:szCs w:val="22"/>
          <w:lang w:val="en-US"/>
        </w:rPr>
        <w:t>&lt;/div&gt;</w:t>
      </w:r>
    </w:p>
    <w:p w14:paraId="2FFE495B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    &lt;/div&gt;</w:t>
      </w:r>
    </w:p>
    <w:p w14:paraId="4950E2E1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  &lt;/body&gt;</w:t>
      </w:r>
    </w:p>
    <w:p w14:paraId="3F1C9BC5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 xml:space="preserve">  &lt;/text&gt;</w:t>
      </w:r>
    </w:p>
    <w:p w14:paraId="479099BA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  <w:r w:rsidRPr="00C75D5B">
        <w:rPr>
          <w:rFonts w:ascii="Garamond" w:hAnsi="Garamond"/>
          <w:w w:val="90"/>
          <w:sz w:val="22"/>
          <w:szCs w:val="22"/>
          <w:lang w:val="en-US"/>
        </w:rPr>
        <w:t>&lt;/TEI&gt;</w:t>
      </w:r>
    </w:p>
    <w:p w14:paraId="11664126" w14:textId="79F0A559" w:rsidR="00C75D5B" w:rsidRPr="004E24F9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  <w:lang w:val="en-US"/>
        </w:rPr>
      </w:pPr>
    </w:p>
    <w:p w14:paraId="1ADE1AB6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4. Modellizzazione descrittiva dei capitoli (struttura interna)</w:t>
      </w:r>
    </w:p>
    <w:p w14:paraId="55B36BAB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I capitoli I–V mostrano:</w:t>
      </w:r>
    </w:p>
    <w:p w14:paraId="5F3657C2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4.1. Una forte uniformità retorica</w:t>
      </w:r>
    </w:p>
    <w:p w14:paraId="42D1A91C" w14:textId="77777777" w:rsidR="00C75D5B" w:rsidRPr="00C75D5B" w:rsidRDefault="00C75D5B" w:rsidP="00217913">
      <w:pPr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avvii con “Dico dunque…”, “Hor…”;</w:t>
      </w:r>
    </w:p>
    <w:p w14:paraId="005165C7" w14:textId="77777777" w:rsidR="00C75D5B" w:rsidRPr="00C75D5B" w:rsidRDefault="00C75D5B" w:rsidP="00217913">
      <w:pPr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frequenti </w:t>
      </w:r>
      <w:proofErr w:type="spellStart"/>
      <w:r w:rsidRPr="00C75D5B">
        <w:rPr>
          <w:rFonts w:ascii="Garamond" w:hAnsi="Garamond"/>
          <w:i/>
          <w:iCs/>
          <w:w w:val="90"/>
          <w:sz w:val="22"/>
          <w:szCs w:val="22"/>
        </w:rPr>
        <w:t>comperazioni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lineari e allungate;</w:t>
      </w:r>
    </w:p>
    <w:p w14:paraId="4DBA2529" w14:textId="77777777" w:rsidR="00C75D5B" w:rsidRPr="00C75D5B" w:rsidRDefault="00C75D5B" w:rsidP="00217913">
      <w:pPr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suddivisione interna in paragrafi numerati.</w:t>
      </w:r>
    </w:p>
    <w:p w14:paraId="793073A1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4.2. Un asse simbolico dominante</w:t>
      </w:r>
    </w:p>
    <w:p w14:paraId="52D0D8A1" w14:textId="77777777" w:rsidR="00C75D5B" w:rsidRPr="00C75D5B" w:rsidRDefault="00C75D5B" w:rsidP="00217913">
      <w:pPr>
        <w:numPr>
          <w:ilvl w:val="0"/>
          <w:numId w:val="11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luce</w:t>
      </w:r>
      <w:r w:rsidRPr="00C75D5B">
        <w:rPr>
          <w:rFonts w:ascii="Garamond" w:hAnsi="Garamond"/>
          <w:w w:val="90"/>
          <w:sz w:val="22"/>
          <w:szCs w:val="22"/>
        </w:rPr>
        <w:t xml:space="preserve"> (investimento, rischiaramento, sole);</w:t>
      </w:r>
    </w:p>
    <w:p w14:paraId="31137D1E" w14:textId="77777777" w:rsidR="00C75D5B" w:rsidRPr="00C75D5B" w:rsidRDefault="00C75D5B" w:rsidP="00217913">
      <w:pPr>
        <w:numPr>
          <w:ilvl w:val="0"/>
          <w:numId w:val="11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acqua</w:t>
      </w:r>
      <w:r w:rsidRPr="00C75D5B">
        <w:rPr>
          <w:rFonts w:ascii="Garamond" w:hAnsi="Garamond"/>
          <w:w w:val="90"/>
          <w:sz w:val="22"/>
          <w:szCs w:val="22"/>
        </w:rPr>
        <w:t xml:space="preserve"> (pioggia, sorgente, oceano);</w:t>
      </w:r>
    </w:p>
    <w:p w14:paraId="53B3BF90" w14:textId="77777777" w:rsidR="00C75D5B" w:rsidRPr="00C75D5B" w:rsidRDefault="00C75D5B" w:rsidP="00217913">
      <w:pPr>
        <w:numPr>
          <w:ilvl w:val="0"/>
          <w:numId w:val="11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fuoco</w:t>
      </w:r>
      <w:r w:rsidRPr="00C75D5B">
        <w:rPr>
          <w:rFonts w:ascii="Garamond" w:hAnsi="Garamond"/>
          <w:w w:val="90"/>
          <w:sz w:val="22"/>
          <w:szCs w:val="22"/>
        </w:rPr>
        <w:t xml:space="preserve"> (fuoco dell’amore; attrazione come “Mongibello”);</w:t>
      </w:r>
    </w:p>
    <w:p w14:paraId="31C8E515" w14:textId="77777777" w:rsidR="00C75D5B" w:rsidRPr="00C75D5B" w:rsidRDefault="00C75D5B" w:rsidP="00217913">
      <w:pPr>
        <w:numPr>
          <w:ilvl w:val="0"/>
          <w:numId w:val="11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materia plasmabile</w:t>
      </w:r>
      <w:r w:rsidRPr="00C75D5B">
        <w:rPr>
          <w:rFonts w:ascii="Garamond" w:hAnsi="Garamond"/>
          <w:w w:val="90"/>
          <w:sz w:val="22"/>
          <w:szCs w:val="22"/>
        </w:rPr>
        <w:t xml:space="preserve"> (cera, statua).</w:t>
      </w:r>
    </w:p>
    <w:p w14:paraId="03093471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4.3. Un lessico mistico tecnico</w:t>
      </w:r>
    </w:p>
    <w:p w14:paraId="132D966A" w14:textId="77777777" w:rsidR="00C75D5B" w:rsidRPr="00C75D5B" w:rsidRDefault="00C75D5B" w:rsidP="00217913">
      <w:pPr>
        <w:numPr>
          <w:ilvl w:val="0"/>
          <w:numId w:val="12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unione,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sposalitio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purga,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silentio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sonno,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scordanza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, indifferenza;</w:t>
      </w:r>
    </w:p>
    <w:p w14:paraId="56F01F4D" w14:textId="77777777" w:rsidR="00C75D5B" w:rsidRPr="00C75D5B" w:rsidRDefault="00C75D5B" w:rsidP="00217913">
      <w:pPr>
        <w:numPr>
          <w:ilvl w:val="0"/>
          <w:numId w:val="12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proofErr w:type="spellStart"/>
      <w:r w:rsidRPr="00C75D5B">
        <w:rPr>
          <w:rFonts w:ascii="Garamond" w:hAnsi="Garamond"/>
          <w:w w:val="90"/>
          <w:sz w:val="22"/>
          <w:szCs w:val="22"/>
        </w:rPr>
        <w:t>concopiscibile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, 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notitia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 xml:space="preserve"> confusa, potenze sospese.</w:t>
      </w:r>
    </w:p>
    <w:p w14:paraId="54ED9FB1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4.4. Un registro linguistico semicolto (Da Nota al testo)</w:t>
      </w:r>
    </w:p>
    <w:p w14:paraId="3B143785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Fenomeni attestati nella tua Nota al testo: oscillazioni vocaliche, ipercorrettismi, variabilità dei pronomi clitici, forme verbali analogiche (“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ponno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”, “</w:t>
      </w:r>
      <w:proofErr w:type="spellStart"/>
      <w:r w:rsidRPr="00C75D5B">
        <w:rPr>
          <w:rFonts w:ascii="Garamond" w:hAnsi="Garamond"/>
          <w:w w:val="90"/>
          <w:sz w:val="22"/>
          <w:szCs w:val="22"/>
        </w:rPr>
        <w:t>stasse</w:t>
      </w:r>
      <w:proofErr w:type="spellEnd"/>
      <w:r w:rsidRPr="00C75D5B">
        <w:rPr>
          <w:rFonts w:ascii="Garamond" w:hAnsi="Garamond"/>
          <w:w w:val="90"/>
          <w:sz w:val="22"/>
          <w:szCs w:val="22"/>
        </w:rPr>
        <w:t>”), calchi sintattici secenteschi.</w:t>
      </w:r>
    </w:p>
    <w:p w14:paraId="11A2CA94" w14:textId="200445AA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2D423A67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5. Struttura del pacchetto del micro</w:t>
      </w:r>
      <w:r w:rsidRPr="00C75D5B">
        <w:rPr>
          <w:rFonts w:ascii="Garamond" w:hAnsi="Garamond"/>
          <w:b/>
          <w:bCs/>
          <w:w w:val="90"/>
          <w:sz w:val="22"/>
          <w:szCs w:val="22"/>
        </w:rPr>
        <w:noBreakHyphen/>
      </w:r>
      <w:proofErr w:type="spellStart"/>
      <w:r w:rsidRPr="00C75D5B">
        <w:rPr>
          <w:rFonts w:ascii="Garamond" w:hAnsi="Garamond"/>
          <w:b/>
          <w:bCs/>
          <w:w w:val="90"/>
          <w:sz w:val="22"/>
          <w:szCs w:val="22"/>
        </w:rPr>
        <w:t>commit</w:t>
      </w:r>
      <w:proofErr w:type="spellEnd"/>
    </w:p>
    <w:p w14:paraId="60C74274" w14:textId="5EF147D3" w:rsidR="00C75D5B" w:rsidRPr="00C75D5B" w:rsidRDefault="00C75D5B" w:rsidP="00217913">
      <w:pPr>
        <w:numPr>
          <w:ilvl w:val="0"/>
          <w:numId w:val="1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 xml:space="preserve">Documento descrittivo </w:t>
      </w:r>
    </w:p>
    <w:p w14:paraId="4BEE03E2" w14:textId="2057B8B2" w:rsidR="00C75D5B" w:rsidRPr="00C75D5B" w:rsidRDefault="00C75D5B" w:rsidP="00217913">
      <w:pPr>
        <w:numPr>
          <w:ilvl w:val="0"/>
          <w:numId w:val="1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Trascrizione TEI diplomatica</w:t>
      </w:r>
      <w:r>
        <w:rPr>
          <w:rFonts w:ascii="Garamond" w:hAnsi="Garamond"/>
          <w:w w:val="90"/>
          <w:sz w:val="22"/>
          <w:szCs w:val="22"/>
        </w:rPr>
        <w:t xml:space="preserve"> vs trascrizione regolarizzata</w:t>
      </w:r>
    </w:p>
    <w:p w14:paraId="0517E0C7" w14:textId="77777777" w:rsidR="00C75D5B" w:rsidRPr="00C75D5B" w:rsidRDefault="00C75D5B" w:rsidP="00217913">
      <w:pPr>
        <w:numPr>
          <w:ilvl w:val="0"/>
          <w:numId w:val="1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Trascrizione TEI interpretativa</w:t>
      </w:r>
    </w:p>
    <w:p w14:paraId="0016E673" w14:textId="77777777" w:rsidR="00C75D5B" w:rsidRPr="00C75D5B" w:rsidRDefault="00C75D5B" w:rsidP="00217913">
      <w:pPr>
        <w:numPr>
          <w:ilvl w:val="0"/>
          <w:numId w:val="1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Apparati: varianti, fenomeni materiali, note linguistiche</w:t>
      </w:r>
    </w:p>
    <w:p w14:paraId="09936714" w14:textId="77777777" w:rsidR="00C75D5B" w:rsidRPr="00C75D5B" w:rsidRDefault="00C75D5B" w:rsidP="00217913">
      <w:pPr>
        <w:numPr>
          <w:ilvl w:val="0"/>
          <w:numId w:val="13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Metadati</w:t>
      </w:r>
    </w:p>
    <w:p w14:paraId="76E61E90" w14:textId="60554CF8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752F7FED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6. Metadati</w:t>
      </w:r>
    </w:p>
    <w:p w14:paraId="3A4B9A6A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Titolo, autore, datazione, manoscritto, descrizione, parole chiave.</w:t>
      </w:r>
    </w:p>
    <w:p w14:paraId="016F9CF8" w14:textId="4376AACC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31E57C02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t>7. Risultati attesi</w:t>
      </w:r>
    </w:p>
    <w:p w14:paraId="4BD32F1F" w14:textId="77777777" w:rsidR="00C75D5B" w:rsidRPr="00C75D5B" w:rsidRDefault="00C75D5B" w:rsidP="00217913">
      <w:pPr>
        <w:numPr>
          <w:ilvl w:val="0"/>
          <w:numId w:val="14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Base critica per la marcatura TEI;</w:t>
      </w:r>
    </w:p>
    <w:p w14:paraId="7FC387CB" w14:textId="77777777" w:rsidR="00C75D5B" w:rsidRPr="00C75D5B" w:rsidRDefault="00C75D5B" w:rsidP="00217913">
      <w:pPr>
        <w:numPr>
          <w:ilvl w:val="0"/>
          <w:numId w:val="14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Definizione del blocco ascensionale del Libro III;</w:t>
      </w:r>
    </w:p>
    <w:p w14:paraId="0B3D82DE" w14:textId="77777777" w:rsidR="00C75D5B" w:rsidRPr="00C75D5B" w:rsidRDefault="00C75D5B" w:rsidP="00217913">
      <w:pPr>
        <w:numPr>
          <w:ilvl w:val="0"/>
          <w:numId w:val="14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Preparazione del terreno per MC2 (capp. VI–VIII).</w:t>
      </w:r>
    </w:p>
    <w:p w14:paraId="51D22589" w14:textId="3A8332BF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p w14:paraId="05F6DD07" w14:textId="77777777" w:rsidR="00C75D5B" w:rsidRPr="00C75D5B" w:rsidRDefault="00C75D5B" w:rsidP="00217913">
      <w:pPr>
        <w:spacing w:after="0" w:line="240" w:lineRule="auto"/>
        <w:jc w:val="both"/>
        <w:rPr>
          <w:rFonts w:ascii="Garamond" w:hAnsi="Garamond"/>
          <w:b/>
          <w:bCs/>
          <w:w w:val="90"/>
          <w:sz w:val="22"/>
          <w:szCs w:val="22"/>
        </w:rPr>
      </w:pPr>
      <w:r w:rsidRPr="00C75D5B">
        <w:rPr>
          <w:rFonts w:ascii="Garamond" w:hAnsi="Garamond"/>
          <w:b/>
          <w:bCs/>
          <w:w w:val="90"/>
          <w:sz w:val="22"/>
          <w:szCs w:val="22"/>
        </w:rPr>
        <w:lastRenderedPageBreak/>
        <w:t>8. Roadmap</w:t>
      </w:r>
    </w:p>
    <w:p w14:paraId="6A8A0A5D" w14:textId="77777777" w:rsidR="00C75D5B" w:rsidRPr="00C75D5B" w:rsidRDefault="00C75D5B" w:rsidP="00217913">
      <w:pPr>
        <w:numPr>
          <w:ilvl w:val="0"/>
          <w:numId w:val="15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MC1: Capp. I–V (stati introduttivi dell’unione).</w:t>
      </w:r>
    </w:p>
    <w:p w14:paraId="4CBC9429" w14:textId="77777777" w:rsidR="00C75D5B" w:rsidRPr="00C75D5B" w:rsidRDefault="00C75D5B" w:rsidP="00217913">
      <w:pPr>
        <w:numPr>
          <w:ilvl w:val="0"/>
          <w:numId w:val="15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MC2: Capp. VI–VIII (sviluppo dell’unione).</w:t>
      </w:r>
    </w:p>
    <w:p w14:paraId="798CC4D4" w14:textId="77777777" w:rsidR="00C75D5B" w:rsidRPr="00C75D5B" w:rsidRDefault="00C75D5B" w:rsidP="00217913">
      <w:pPr>
        <w:numPr>
          <w:ilvl w:val="0"/>
          <w:numId w:val="15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MC3: Capp. IX–XII (zone più complesse).</w:t>
      </w:r>
    </w:p>
    <w:p w14:paraId="2867F459" w14:textId="77777777" w:rsidR="00C75D5B" w:rsidRPr="00C75D5B" w:rsidRDefault="00C75D5B" w:rsidP="00217913">
      <w:pPr>
        <w:numPr>
          <w:ilvl w:val="0"/>
          <w:numId w:val="15"/>
        </w:num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C75D5B">
        <w:rPr>
          <w:rFonts w:ascii="Garamond" w:hAnsi="Garamond"/>
          <w:w w:val="90"/>
          <w:sz w:val="22"/>
          <w:szCs w:val="22"/>
        </w:rPr>
        <w:t>MC finale: integrazione.</w:t>
      </w:r>
    </w:p>
    <w:p w14:paraId="34E95C0A" w14:textId="77777777" w:rsidR="00ED4B61" w:rsidRPr="00C75D5B" w:rsidRDefault="00ED4B61" w:rsidP="00217913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</w:p>
    <w:sectPr w:rsidR="00ED4B61" w:rsidRPr="00C75D5B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731F7" w14:textId="77777777" w:rsidR="00CA7B5F" w:rsidRDefault="00CA7B5F" w:rsidP="00C75D5B">
      <w:pPr>
        <w:spacing w:after="0" w:line="240" w:lineRule="auto"/>
      </w:pPr>
      <w:r>
        <w:separator/>
      </w:r>
    </w:p>
  </w:endnote>
  <w:endnote w:type="continuationSeparator" w:id="0">
    <w:p w14:paraId="37861DC0" w14:textId="77777777" w:rsidR="00CA7B5F" w:rsidRDefault="00CA7B5F" w:rsidP="00C75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w w:val="90"/>
        <w:sz w:val="20"/>
        <w:szCs w:val="20"/>
      </w:rPr>
      <w:id w:val="910430922"/>
      <w:docPartObj>
        <w:docPartGallery w:val="Page Numbers (Bottom of Page)"/>
        <w:docPartUnique/>
      </w:docPartObj>
    </w:sdtPr>
    <w:sdtContent>
      <w:p w14:paraId="3CDB39E0" w14:textId="4453D2A1" w:rsidR="00013BD2" w:rsidRPr="00013BD2" w:rsidRDefault="00013BD2">
        <w:pPr>
          <w:pStyle w:val="Pidipagina"/>
          <w:jc w:val="center"/>
          <w:rPr>
            <w:rFonts w:ascii="Garamond" w:hAnsi="Garamond"/>
            <w:w w:val="90"/>
            <w:sz w:val="20"/>
            <w:szCs w:val="20"/>
          </w:rPr>
        </w:pPr>
        <w:r w:rsidRPr="00013BD2">
          <w:rPr>
            <w:rFonts w:ascii="Garamond" w:hAnsi="Garamond"/>
            <w:w w:val="90"/>
            <w:sz w:val="20"/>
            <w:szCs w:val="20"/>
          </w:rPr>
          <w:fldChar w:fldCharType="begin"/>
        </w:r>
        <w:r w:rsidRPr="00013BD2">
          <w:rPr>
            <w:rFonts w:ascii="Garamond" w:hAnsi="Garamond"/>
            <w:w w:val="90"/>
            <w:sz w:val="20"/>
            <w:szCs w:val="20"/>
          </w:rPr>
          <w:instrText>PAGE   \* MERGEFORMAT</w:instrText>
        </w:r>
        <w:r w:rsidRPr="00013BD2">
          <w:rPr>
            <w:rFonts w:ascii="Garamond" w:hAnsi="Garamond"/>
            <w:w w:val="90"/>
            <w:sz w:val="20"/>
            <w:szCs w:val="20"/>
          </w:rPr>
          <w:fldChar w:fldCharType="separate"/>
        </w:r>
        <w:r w:rsidRPr="00013BD2">
          <w:rPr>
            <w:rFonts w:ascii="Garamond" w:hAnsi="Garamond"/>
            <w:w w:val="90"/>
            <w:sz w:val="20"/>
            <w:szCs w:val="20"/>
          </w:rPr>
          <w:t>2</w:t>
        </w:r>
        <w:r w:rsidRPr="00013BD2">
          <w:rPr>
            <w:rFonts w:ascii="Garamond" w:hAnsi="Garamond"/>
            <w:w w:val="90"/>
            <w:sz w:val="20"/>
            <w:szCs w:val="20"/>
          </w:rPr>
          <w:fldChar w:fldCharType="end"/>
        </w:r>
      </w:p>
    </w:sdtContent>
  </w:sdt>
  <w:p w14:paraId="1673D991" w14:textId="77777777" w:rsidR="00013BD2" w:rsidRPr="00013BD2" w:rsidRDefault="00013BD2">
    <w:pPr>
      <w:pStyle w:val="Pidipagina"/>
      <w:rPr>
        <w:rFonts w:ascii="Garamond" w:hAnsi="Garamond"/>
        <w:w w:val="9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D6DD" w14:textId="77777777" w:rsidR="00CA7B5F" w:rsidRDefault="00CA7B5F" w:rsidP="00C75D5B">
      <w:pPr>
        <w:spacing w:after="0" w:line="240" w:lineRule="auto"/>
      </w:pPr>
      <w:r>
        <w:separator/>
      </w:r>
    </w:p>
  </w:footnote>
  <w:footnote w:type="continuationSeparator" w:id="0">
    <w:p w14:paraId="6BB9CAD0" w14:textId="77777777" w:rsidR="00CA7B5F" w:rsidRDefault="00CA7B5F" w:rsidP="00C75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C904" w14:textId="79AB5B96" w:rsidR="00C75D5B" w:rsidRDefault="00C75D5B" w:rsidP="00C75D5B">
    <w:pPr>
      <w:spacing w:after="0" w:line="240" w:lineRule="auto"/>
      <w:jc w:val="right"/>
      <w:rPr>
        <w:rFonts w:ascii="Garamond" w:hAnsi="Garamond"/>
        <w:w w:val="90"/>
        <w:sz w:val="20"/>
        <w:szCs w:val="20"/>
      </w:rPr>
    </w:pPr>
    <w:r w:rsidRPr="00C75D5B">
      <w:rPr>
        <w:rFonts w:ascii="Garamond" w:hAnsi="Garamond"/>
        <w:w w:val="90"/>
        <w:sz w:val="20"/>
        <w:szCs w:val="20"/>
      </w:rPr>
      <w:t>Micro</w:t>
    </w:r>
    <w:r w:rsidRPr="00C75D5B">
      <w:rPr>
        <w:rFonts w:ascii="Garamond" w:hAnsi="Garamond"/>
        <w:w w:val="90"/>
        <w:sz w:val="20"/>
        <w:szCs w:val="20"/>
      </w:rPr>
      <w:noBreakHyphen/>
      <w:t xml:space="preserve">progetto di </w:t>
    </w:r>
    <w:r w:rsidRPr="004E24F9">
      <w:rPr>
        <w:rFonts w:ascii="Garamond" w:hAnsi="Garamond"/>
        <w:b/>
        <w:bCs/>
        <w:w w:val="90"/>
        <w:sz w:val="20"/>
        <w:szCs w:val="20"/>
      </w:rPr>
      <w:t>Edizione Critica Digitale</w:t>
    </w:r>
    <w:r w:rsidRPr="00C75D5B">
      <w:rPr>
        <w:rFonts w:ascii="Garamond" w:hAnsi="Garamond"/>
        <w:w w:val="90"/>
        <w:sz w:val="20"/>
        <w:szCs w:val="20"/>
      </w:rPr>
      <w:t xml:space="preserve"> (Micro</w:t>
    </w:r>
    <w:r w:rsidRPr="00C75D5B">
      <w:rPr>
        <w:rFonts w:ascii="Garamond" w:hAnsi="Garamond"/>
        <w:w w:val="90"/>
        <w:sz w:val="20"/>
        <w:szCs w:val="20"/>
      </w:rPr>
      <w:noBreakHyphen/>
    </w:r>
    <w:proofErr w:type="spellStart"/>
    <w:r w:rsidRPr="00C75D5B">
      <w:rPr>
        <w:rFonts w:ascii="Garamond" w:hAnsi="Garamond"/>
        <w:w w:val="90"/>
        <w:sz w:val="20"/>
        <w:szCs w:val="20"/>
      </w:rPr>
      <w:t>Commit</w:t>
    </w:r>
    <w:proofErr w:type="spellEnd"/>
    <w:r w:rsidRPr="00C75D5B">
      <w:rPr>
        <w:rFonts w:ascii="Garamond" w:hAnsi="Garamond"/>
        <w:w w:val="90"/>
        <w:sz w:val="20"/>
        <w:szCs w:val="20"/>
      </w:rPr>
      <w:t xml:space="preserve"> 1)</w:t>
    </w:r>
    <w:r w:rsidRPr="00C75D5B">
      <w:rPr>
        <w:rFonts w:ascii="Garamond" w:hAnsi="Garamond"/>
        <w:w w:val="90"/>
        <w:sz w:val="20"/>
        <w:szCs w:val="20"/>
      </w:rPr>
      <w:br/>
    </w:r>
    <w:r w:rsidRPr="00C75D5B">
      <w:rPr>
        <w:rFonts w:ascii="Garamond" w:hAnsi="Garamond"/>
        <w:b/>
        <w:bCs/>
        <w:w w:val="90"/>
        <w:sz w:val="20"/>
        <w:szCs w:val="20"/>
      </w:rPr>
      <w:t>Libro III — Capitoli I–V</w:t>
    </w:r>
    <w:r w:rsidR="004E24F9">
      <w:rPr>
        <w:rFonts w:ascii="Garamond" w:hAnsi="Garamond"/>
        <w:b/>
        <w:bCs/>
        <w:w w:val="90"/>
        <w:sz w:val="20"/>
        <w:szCs w:val="20"/>
      </w:rPr>
      <w:t xml:space="preserve">, </w:t>
    </w:r>
    <w:r w:rsidRPr="004E24F9">
      <w:rPr>
        <w:rFonts w:ascii="Garamond" w:hAnsi="Garamond"/>
        <w:i/>
        <w:iCs/>
        <w:w w:val="90"/>
        <w:sz w:val="20"/>
        <w:szCs w:val="20"/>
      </w:rPr>
      <w:t>Avvio della contemplazione infusa</w:t>
    </w:r>
    <w:r w:rsidRPr="00C75D5B">
      <w:rPr>
        <w:rFonts w:ascii="Garamond" w:hAnsi="Garamond"/>
        <w:w w:val="90"/>
        <w:sz w:val="20"/>
        <w:szCs w:val="20"/>
      </w:rPr>
      <w:br/>
      <w:t xml:space="preserve">Edizione critica digitale del </w:t>
    </w:r>
    <w:r w:rsidRPr="00C75D5B">
      <w:rPr>
        <w:rFonts w:ascii="Garamond" w:hAnsi="Garamond"/>
        <w:i/>
        <w:iCs/>
        <w:w w:val="90"/>
        <w:sz w:val="20"/>
        <w:szCs w:val="20"/>
      </w:rPr>
      <w:t>Castello dell’anima</w:t>
    </w:r>
    <w:r w:rsidRPr="00C75D5B">
      <w:rPr>
        <w:rFonts w:ascii="Garamond" w:hAnsi="Garamond"/>
        <w:w w:val="90"/>
        <w:sz w:val="20"/>
        <w:szCs w:val="20"/>
      </w:rPr>
      <w:br/>
    </w:r>
    <w:r w:rsidR="004E24F9">
      <w:rPr>
        <w:rFonts w:ascii="Garamond" w:hAnsi="Garamond"/>
        <w:w w:val="90"/>
        <w:sz w:val="20"/>
        <w:szCs w:val="20"/>
      </w:rPr>
      <w:t>a</w:t>
    </w:r>
    <w:r w:rsidRPr="00C75D5B">
      <w:rPr>
        <w:rFonts w:ascii="Garamond" w:hAnsi="Garamond"/>
        <w:w w:val="90"/>
        <w:sz w:val="20"/>
        <w:szCs w:val="20"/>
      </w:rPr>
      <w:t xml:space="preserve"> cura di Luciano Longo</w:t>
    </w:r>
  </w:p>
  <w:p w14:paraId="28D20F92" w14:textId="78AF65AB" w:rsidR="004E24F9" w:rsidRPr="004E24F9" w:rsidRDefault="004E24F9" w:rsidP="00C75D5B">
    <w:pPr>
      <w:spacing w:after="0" w:line="240" w:lineRule="auto"/>
      <w:jc w:val="right"/>
      <w:rPr>
        <w:rFonts w:ascii="Garamond" w:hAnsi="Garamond"/>
        <w:b/>
        <w:bCs/>
        <w:color w:val="002060"/>
        <w:w w:val="90"/>
        <w:sz w:val="20"/>
        <w:szCs w:val="20"/>
      </w:rPr>
    </w:pPr>
    <w:r w:rsidRPr="004E24F9">
      <w:rPr>
        <w:rFonts w:ascii="Garamond" w:hAnsi="Garamond"/>
        <w:b/>
        <w:bCs/>
        <w:color w:val="002060"/>
        <w:w w:val="90"/>
        <w:sz w:val="20"/>
        <w:szCs w:val="20"/>
      </w:rPr>
      <w:t>Introduzione</w:t>
    </w:r>
  </w:p>
  <w:p w14:paraId="7F74AB7C" w14:textId="77777777" w:rsidR="00C75D5B" w:rsidRDefault="00C75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509"/>
    <w:multiLevelType w:val="multilevel"/>
    <w:tmpl w:val="664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CFA"/>
    <w:multiLevelType w:val="multilevel"/>
    <w:tmpl w:val="BF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4FBE"/>
    <w:multiLevelType w:val="multilevel"/>
    <w:tmpl w:val="D45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423E9"/>
    <w:multiLevelType w:val="multilevel"/>
    <w:tmpl w:val="CF4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4FAF"/>
    <w:multiLevelType w:val="multilevel"/>
    <w:tmpl w:val="5B5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0777"/>
    <w:multiLevelType w:val="multilevel"/>
    <w:tmpl w:val="088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4441"/>
    <w:multiLevelType w:val="multilevel"/>
    <w:tmpl w:val="73B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A1964"/>
    <w:multiLevelType w:val="multilevel"/>
    <w:tmpl w:val="705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1331D"/>
    <w:multiLevelType w:val="multilevel"/>
    <w:tmpl w:val="3F7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96B62"/>
    <w:multiLevelType w:val="multilevel"/>
    <w:tmpl w:val="9E2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C4E3C"/>
    <w:multiLevelType w:val="multilevel"/>
    <w:tmpl w:val="437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D6283"/>
    <w:multiLevelType w:val="multilevel"/>
    <w:tmpl w:val="718EAD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51E36"/>
    <w:multiLevelType w:val="multilevel"/>
    <w:tmpl w:val="4B9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22733"/>
    <w:multiLevelType w:val="multilevel"/>
    <w:tmpl w:val="D2386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D205A"/>
    <w:multiLevelType w:val="multilevel"/>
    <w:tmpl w:val="BB1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47EEF"/>
    <w:multiLevelType w:val="multilevel"/>
    <w:tmpl w:val="EBF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17215"/>
    <w:multiLevelType w:val="multilevel"/>
    <w:tmpl w:val="B7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55C19"/>
    <w:multiLevelType w:val="multilevel"/>
    <w:tmpl w:val="76262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35EA"/>
    <w:multiLevelType w:val="multilevel"/>
    <w:tmpl w:val="2C82FE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141EF"/>
    <w:multiLevelType w:val="multilevel"/>
    <w:tmpl w:val="4DD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43FB7"/>
    <w:multiLevelType w:val="multilevel"/>
    <w:tmpl w:val="173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D19F5"/>
    <w:multiLevelType w:val="multilevel"/>
    <w:tmpl w:val="016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377DF"/>
    <w:multiLevelType w:val="multilevel"/>
    <w:tmpl w:val="CA4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125AB"/>
    <w:multiLevelType w:val="multilevel"/>
    <w:tmpl w:val="842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F1E17"/>
    <w:multiLevelType w:val="multilevel"/>
    <w:tmpl w:val="212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D4C20"/>
    <w:multiLevelType w:val="multilevel"/>
    <w:tmpl w:val="4EE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17852"/>
    <w:multiLevelType w:val="multilevel"/>
    <w:tmpl w:val="4CD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F3238"/>
    <w:multiLevelType w:val="multilevel"/>
    <w:tmpl w:val="8BB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849838">
    <w:abstractNumId w:val="2"/>
  </w:num>
  <w:num w:numId="2" w16cid:durableId="82072619">
    <w:abstractNumId w:val="16"/>
  </w:num>
  <w:num w:numId="3" w16cid:durableId="1955285019">
    <w:abstractNumId w:val="12"/>
  </w:num>
  <w:num w:numId="4" w16cid:durableId="2052877048">
    <w:abstractNumId w:val="1"/>
  </w:num>
  <w:num w:numId="5" w16cid:durableId="300113983">
    <w:abstractNumId w:val="0"/>
  </w:num>
  <w:num w:numId="6" w16cid:durableId="711926935">
    <w:abstractNumId w:val="9"/>
  </w:num>
  <w:num w:numId="7" w16cid:durableId="434181556">
    <w:abstractNumId w:val="23"/>
  </w:num>
  <w:num w:numId="8" w16cid:durableId="782303568">
    <w:abstractNumId w:val="15"/>
  </w:num>
  <w:num w:numId="9" w16cid:durableId="497581988">
    <w:abstractNumId w:val="25"/>
  </w:num>
  <w:num w:numId="10" w16cid:durableId="1902860154">
    <w:abstractNumId w:val="27"/>
  </w:num>
  <w:num w:numId="11" w16cid:durableId="1284770910">
    <w:abstractNumId w:val="10"/>
  </w:num>
  <w:num w:numId="12" w16cid:durableId="1397049801">
    <w:abstractNumId w:val="5"/>
  </w:num>
  <w:num w:numId="13" w16cid:durableId="513105562">
    <w:abstractNumId w:val="21"/>
  </w:num>
  <w:num w:numId="14" w16cid:durableId="170338172">
    <w:abstractNumId w:val="20"/>
  </w:num>
  <w:num w:numId="15" w16cid:durableId="1122305895">
    <w:abstractNumId w:val="22"/>
  </w:num>
  <w:num w:numId="16" w16cid:durableId="263878111">
    <w:abstractNumId w:val="11"/>
  </w:num>
  <w:num w:numId="17" w16cid:durableId="956060717">
    <w:abstractNumId w:val="3"/>
  </w:num>
  <w:num w:numId="18" w16cid:durableId="153448070">
    <w:abstractNumId w:val="6"/>
  </w:num>
  <w:num w:numId="19" w16cid:durableId="2092770511">
    <w:abstractNumId w:val="19"/>
  </w:num>
  <w:num w:numId="20" w16cid:durableId="1949044275">
    <w:abstractNumId w:val="14"/>
  </w:num>
  <w:num w:numId="21" w16cid:durableId="1703631807">
    <w:abstractNumId w:val="26"/>
  </w:num>
  <w:num w:numId="22" w16cid:durableId="1938442828">
    <w:abstractNumId w:val="24"/>
  </w:num>
  <w:num w:numId="23" w16cid:durableId="461188992">
    <w:abstractNumId w:val="8"/>
  </w:num>
  <w:num w:numId="24" w16cid:durableId="1178613366">
    <w:abstractNumId w:val="4"/>
  </w:num>
  <w:num w:numId="25" w16cid:durableId="1105534878">
    <w:abstractNumId w:val="7"/>
  </w:num>
  <w:num w:numId="26" w16cid:durableId="452098385">
    <w:abstractNumId w:val="13"/>
  </w:num>
  <w:num w:numId="27" w16cid:durableId="127746993">
    <w:abstractNumId w:val="18"/>
  </w:num>
  <w:num w:numId="28" w16cid:durableId="17051312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5B"/>
    <w:rsid w:val="00013BD2"/>
    <w:rsid w:val="001B7E8E"/>
    <w:rsid w:val="00217913"/>
    <w:rsid w:val="002538AA"/>
    <w:rsid w:val="00291B59"/>
    <w:rsid w:val="00333515"/>
    <w:rsid w:val="003C4D3D"/>
    <w:rsid w:val="004E24F9"/>
    <w:rsid w:val="00AB37F9"/>
    <w:rsid w:val="00C0545B"/>
    <w:rsid w:val="00C75D5B"/>
    <w:rsid w:val="00CA7B5F"/>
    <w:rsid w:val="00CB2B86"/>
    <w:rsid w:val="00E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D060A"/>
  <w15:chartTrackingRefBased/>
  <w15:docId w15:val="{A70C9907-5871-45EF-8EB9-4EE6050B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5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5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5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5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5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5D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5D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5D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5D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5D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5D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5D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5D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5D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5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5D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5D5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75D5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75D5B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C75D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75D5B"/>
  </w:style>
  <w:style w:type="paragraph" w:styleId="Pidipagina">
    <w:name w:val="footer"/>
    <w:basedOn w:val="Normale"/>
    <w:link w:val="PidipaginaCarattere"/>
    <w:uiPriority w:val="99"/>
    <w:unhideWhenUsed/>
    <w:rsid w:val="00C75D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5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iano-longo77/castello-dell-anima-edizione/edit/main/project-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5-7557-754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Longo</dc:creator>
  <cp:keywords/>
  <dc:description/>
  <cp:lastModifiedBy>Luciano Longo</cp:lastModifiedBy>
  <cp:revision>4</cp:revision>
  <dcterms:created xsi:type="dcterms:W3CDTF">2026-04-13T16:07:00Z</dcterms:created>
  <dcterms:modified xsi:type="dcterms:W3CDTF">2026-04-21T17:50:00Z</dcterms:modified>
</cp:coreProperties>
</file>