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23" w:rsidRDefault="004E0C23" w:rsidP="004E0C23">
      <w:pPr>
        <w:shd w:val="clear" w:color="auto" w:fill="FFFFFF"/>
        <w:spacing w:after="0" w:line="378" w:lineRule="atLeast"/>
        <w:textAlignment w:val="baseline"/>
        <w:outlineLvl w:val="2"/>
        <w:rPr>
          <w:rFonts w:ascii="Courier New" w:eastAsia="Times New Roman" w:hAnsi="Courier New" w:cs="Courier New"/>
          <w:b/>
          <w:bCs/>
          <w:color w:val="026789"/>
          <w:sz w:val="33"/>
          <w:szCs w:val="33"/>
          <w:bdr w:val="none" w:sz="0" w:space="0" w:color="auto" w:frame="1"/>
          <w:shd w:val="clear" w:color="auto" w:fill="FFFFFF"/>
          <w:lang w:eastAsia="es-ES"/>
        </w:rPr>
      </w:pPr>
      <w:r w:rsidRPr="004E0C23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t>Sintaxis de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33"/>
          <w:szCs w:val="33"/>
          <w:bdr w:val="none" w:sz="0" w:space="0" w:color="auto" w:frame="1"/>
          <w:shd w:val="clear" w:color="auto" w:fill="FFFFFF"/>
          <w:lang w:eastAsia="es-ES"/>
        </w:rPr>
        <w:t>DELETE</w:t>
      </w:r>
    </w:p>
    <w:p w:rsidR="00731026" w:rsidRPr="004E0C23" w:rsidRDefault="00731026" w:rsidP="004E0C23">
      <w:pPr>
        <w:shd w:val="clear" w:color="auto" w:fill="FFFFFF"/>
        <w:spacing w:after="0" w:line="37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</w:pPr>
      <w:r w:rsidRPr="007310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t>http://dev.mysql.com/doc/refman/5.7/en/delete.html</w:t>
      </w:r>
      <w:bookmarkStart w:id="0" w:name="_GoBack"/>
      <w:bookmarkEnd w:id="0"/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bookmarkStart w:id="1" w:name="idm47457531406464"/>
      <w:bookmarkEnd w:id="1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Sintaxis para una tabla: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</w:t>
      </w: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DELETE [LOW_PRIORITY] [QUICK] [IGNORE] FROM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tbl_name</w:t>
      </w:r>
      <w:proofErr w:type="spellEnd"/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[WHERE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where_definition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[ORDER BY ...]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[LIMIT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row_count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</w:t>
      </w:r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Sintaxis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para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múltiples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tablas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DELETE [LOW_PRIORITY] [QUICK] [IGNORE]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</w:t>
      </w:r>
      <w:proofErr w:type="gram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name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.*] [,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tbl_name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[.*] ...]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FROM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table_references</w:t>
      </w:r>
      <w:proofErr w:type="spellEnd"/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[WHERE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where_definition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</w:t>
      </w:r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O: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DELETE [LOW_PRIORITY] [QUICK] [IGNORE]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FROM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</w:t>
      </w:r>
      <w:proofErr w:type="gram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name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.*] [,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tbl_name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[.*] ...]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USING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table_references</w:t>
      </w:r>
      <w:proofErr w:type="spellEnd"/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[WHERE 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where_definition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borra los registros de 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tbl_name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que satisfacen la condición dada por 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where_definition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y retorna el número de registros borrados.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realiza un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sin cláusula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WHERE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 borran todos los registros. Una forma más rápida de hacerlo, cuando no quiere saber el número de registros borrados, se usa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TRUNCATE TABLE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 Consulte </w:t>
      </w:r>
      <w:hyperlink r:id="rId6" w:tooltip="13.2.9. Sintaxis de TRUNCATE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13.2.9, “Sintaxis de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TRUNCATE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borra el registro conteniendo el máximo valor para una columna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AUTO_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INCREMENT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el valor se reúsa para una tabla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BDB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 pero no para tablas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o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. Si borra todos los registros en la tabla con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DELETE 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FROM</w:t>
      </w:r>
      <w:r w:rsidRPr="004E0C23">
        <w:rPr>
          <w:rFonts w:ascii="Courier New" w:eastAsia="Times New Roman" w:hAnsi="Courier New" w:cs="Courier New"/>
          <w:b/>
          <w:bCs/>
          <w:i/>
          <w:iCs/>
          <w:color w:val="026789"/>
          <w:sz w:val="20"/>
          <w:szCs w:val="20"/>
          <w:bdr w:val="none" w:sz="0" w:space="0" w:color="auto" w:frame="1"/>
          <w:lang w:eastAsia="es-ES"/>
        </w:rPr>
        <w:t>tbl_name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(sin cláusula 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WHERE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)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en modo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AUTOCOMMIT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 la secuencia comienza para todos los tipos de tabla excepto para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y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 Hay algunas excepciones para este comportamiento para tablas </w:t>
      </w:r>
      <w:proofErr w:type="spellStart"/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como se discute en </w:t>
      </w:r>
      <w:hyperlink r:id="rId7" w:tooltip="15.6.3. Cómo funciona una columna AUTO_INCREMENT en InnoDB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15.6.3, “Cómo funciona una columna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AUTO_INCREMENT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 en </w:t>
        </w:r>
        <w:proofErr w:type="spellStart"/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InnoDB</w:t>
        </w:r>
        <w:proofErr w:type="spellEnd"/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Para tablas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y 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BDB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puede especificar una columna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AUTO_INCREMENT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secundaria en una clave de múltiples columnas. En este caso, el reúso de valores borrados del inicio de la secuencia se realiza incluso para tablas </w:t>
      </w:r>
      <w:proofErr w:type="spellStart"/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.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Consulte </w:t>
      </w:r>
      <w:hyperlink r:id="rId8" w:tooltip="3.6.9. Utilización de AUTO_INCREMENT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3.6.9, “Utilización de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AUTO_INCREMENT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soporta los siguientes modificadores:</w:t>
      </w:r>
    </w:p>
    <w:p w:rsidR="004E0C23" w:rsidRPr="004E0C23" w:rsidRDefault="004E0C23" w:rsidP="004E0C23">
      <w:pPr>
        <w:numPr>
          <w:ilvl w:val="0"/>
          <w:numId w:val="1"/>
        </w:numPr>
        <w:spacing w:after="0" w:line="378" w:lineRule="atLeast"/>
        <w:ind w:left="24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Si especifica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LOW_PRIORITY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la ejecución de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 retarda hasta que no hay más clientes leyendo de la tabla.</w:t>
      </w:r>
    </w:p>
    <w:p w:rsidR="004E0C23" w:rsidRPr="004E0C23" w:rsidRDefault="004E0C23" w:rsidP="004E0C23">
      <w:pPr>
        <w:numPr>
          <w:ilvl w:val="0"/>
          <w:numId w:val="1"/>
        </w:numPr>
        <w:spacing w:after="0" w:line="378" w:lineRule="atLeast"/>
        <w:ind w:left="24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Para tablas </w:t>
      </w:r>
      <w:proofErr w:type="spellStart"/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si usa la palabra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 el motor de almacenamiento no mezcla las hojas del índice durante el borrado, que puede acelerar algunos tipos de operaciones de borrado.</w:t>
      </w:r>
    </w:p>
    <w:p w:rsidR="004E0C23" w:rsidRPr="004E0C23" w:rsidRDefault="004E0C23" w:rsidP="004E0C23">
      <w:pPr>
        <w:numPr>
          <w:ilvl w:val="0"/>
          <w:numId w:val="1"/>
        </w:numPr>
        <w:spacing w:after="0" w:line="378" w:lineRule="atLeast"/>
        <w:ind w:left="24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En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5.0, la palabra clave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IGNORE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hace que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ignore todos los errores durante el proceso de borrar registros. (Los errores encontrados durante la etapa de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parseo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se procesan de la forma habitual.) Los errores que se ignoran debido al uso de esta opción se retornan como advertencias.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La velocidad de las operaciones de borrado pueden verse afectadas por factores discutidos en </w:t>
      </w:r>
      <w:hyperlink r:id="rId9" w:tooltip="7.2.16. Velocidad de sentencias DELETE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7.2.16, “Velocidad de sentencias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DELETE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En tablas </w:t>
      </w:r>
      <w:proofErr w:type="spellStart"/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MyISAM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los registros borrados se mantienen en una lista enlazada y las operaciones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INSERT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siguientes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reúsan antiguas posiciones de registro. Para reclamar espacio no usado y reducir tamaño de fichero, use el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OPTIMIZE TABLE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o la utilidad </w:t>
      </w:r>
      <w:proofErr w:type="spellStart"/>
      <w:r w:rsidRPr="004E0C23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myisamchk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reorganizar las tablas.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OPTIMIZE TABLE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es más sencillo, pero </w:t>
      </w:r>
      <w:proofErr w:type="spellStart"/>
      <w:r w:rsidRPr="004E0C23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myisamchk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es más rápido. Consulte </w:t>
      </w:r>
      <w:hyperlink r:id="rId10" w:tooltip="13.5.2.5. Sintaxis de OPTIMIZE TABLE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13.5.2.5, “Sintaxis de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OPTIMIZE TABLE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y</w:t>
      </w:r>
      <w:hyperlink r:id="rId11" w:tooltip="5.8.3.10. Optimización de tablas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</w:t>
        </w:r>
        <w:proofErr w:type="spellEnd"/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 5.8.3.10, “Optimización de tablas”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modificador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afecta si las hojas del índice </w:t>
      </w:r>
      <w:proofErr w:type="gram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mezclan en operaciones de borrado.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 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es más útil para aplicaciones en que los valores del índice para registros borrados se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replazan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con valores similares de registros insertados posteriormente. En este caso, los agujeros dejados por los valores borrados se reúsan.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 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no es útil cuando los valores borrados conducen a bloques de índices no rellenos con un rango de valores índice para el que vuelven a ocurrir nuevas inserciones. En este caso, el uso de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puede conducir a un gasto de espacio que queda sin reclamar. Aquí hay un ejemplo de este escenario:</w:t>
      </w:r>
    </w:p>
    <w:p w:rsidR="004E0C23" w:rsidRPr="004E0C23" w:rsidRDefault="004E0C23" w:rsidP="004E0C23">
      <w:pPr>
        <w:numPr>
          <w:ilvl w:val="0"/>
          <w:numId w:val="2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Cree una tabla que contenga una columna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AUTO_INCREMENT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indexada.</w:t>
      </w:r>
    </w:p>
    <w:p w:rsidR="004E0C23" w:rsidRPr="004E0C23" w:rsidRDefault="004E0C23" w:rsidP="004E0C23">
      <w:pPr>
        <w:numPr>
          <w:ilvl w:val="0"/>
          <w:numId w:val="2"/>
        </w:numPr>
        <w:spacing w:after="15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Inserta varios registros en la tabla. Cada inserción resulta en un valor índice que se añade al final del índice.</w:t>
      </w:r>
    </w:p>
    <w:p w:rsidR="004E0C23" w:rsidRPr="004E0C23" w:rsidRDefault="004E0C23" w:rsidP="004E0C23">
      <w:pPr>
        <w:numPr>
          <w:ilvl w:val="0"/>
          <w:numId w:val="2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Borra un bloque de registros al final del rango de la columna usando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 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En este escenario, los bloques de índice asociados con los valores de índice borrado quedan sin rellenar pero no se mezclan con otros bloques de índice debido al uso de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. Quedan sin rellenar cuando hay nuevas inserciones, ya que los nuevos registros no tienen </w:t>
      </w:r>
      <w:proofErr w:type="gram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valores índice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en el rango borrado. Además, quedan sin rellenar incluso si luego usa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sin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a no ser que algunos de los valores de índice borrados estén en los bloques de índice dentro o adyacentes a los bloques no rellenos. Para reclamar el espacio de índice sin usar bajo estas circunstancias use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OPTIMIZE TABLE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Si va a borrar varios registros de una tabla, puede ser más sencillo usar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 QUICK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seguido por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OPTIMIZE TABLE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 Esto reconstruye el índice en lugar de realizar varias operaciones de mezcla de bloques de índice.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La opción de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 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26789"/>
          <w:sz w:val="20"/>
          <w:szCs w:val="20"/>
          <w:bdr w:val="none" w:sz="0" w:space="0" w:color="auto" w:frame="1"/>
          <w:lang w:eastAsia="es-ES"/>
        </w:rPr>
        <w:t>row_count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le dice al servidor el máximo número de registros a borrar antes de retornar el control al cliente. Esto puede usarse para asegurar que un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específico no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tarada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demasiado tiempo. Puede simplemente repetir el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hasta que el número de registros afectados sea menor que el valor 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.</w:t>
      </w:r>
      <w:proofErr w:type="gramEnd"/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el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incluye una cláusula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ORDER 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BY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los registros se borran en el orden especificado por la cláusula. Esto es muy útil sólo en conjunción con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 Por ejemplo, el siguiente ejemplo encuentra registros coincidentes con la cláusula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WHERE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ordenados por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timestamp_column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y borra el primero (el más viejo).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DELETE FROM </w:t>
      </w:r>
      <w:proofErr w:type="spellStart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somelog</w:t>
      </w:r>
      <w:proofErr w:type="spellEnd"/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WHERE user = '</w:t>
      </w:r>
      <w:proofErr w:type="spellStart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jcole</w:t>
      </w:r>
      <w:proofErr w:type="spellEnd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ORDER BY </w:t>
      </w:r>
      <w:proofErr w:type="spellStart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timestamp_column</w:t>
      </w:r>
      <w:proofErr w:type="spellEnd"/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LIMIT 1;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Puede especificar múltiples tablas en un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borrar registros de una o más tablas dependiendo de una condición particular en múltiples tablas. Sin embargo, no puede usar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ORDER BY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en un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múltiples tablas.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La parte </w:t>
      </w:r>
      <w:proofErr w:type="spellStart"/>
      <w:r w:rsidRPr="004E0C2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table_references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lista las tablas involucradas en el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. Esta sintaxis se describe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en</w:t>
      </w:r>
      <w:hyperlink r:id="rId12" w:tooltip="13.2.7.1. Sintaxis de JOIN" w:history="1"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</w:t>
        </w:r>
        <w:proofErr w:type="spellEnd"/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 13.2.7.1, “Sintaxis de </w:t>
        </w:r>
        <w:r w:rsidRPr="004E0C23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JOIN</w:t>
        </w:r>
        <w:r w:rsidRPr="004E0C23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Para la primera sintaxis, sólo los registros coincidentes de las tablas listadas antes de la cláusula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FROM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 borran. Para la segunda sintaxis, sólo los registros coincidentes de las tablas listadas en la cláusula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FROM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(antes de la cláusula </w:t>
      </w:r>
      <w:proofErr w:type="gram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USING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)</w:t>
      </w:r>
      <w:proofErr w:type="gram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se borran. El efecto es que puede borrar registros para varias tablas al mismo tiempo y tienen tablas adicionales que se usan para buscar: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DELETE t1, t2 FROM t1, t2, t3 WHERE t1.id=t2.id AND t2.id=t3.id;</w:t>
      </w:r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O: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DELETE FROM t1, t2 USING t1, t2, t3 WHERE t1.id=t2.id AND t2.id=t3.id;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Estos comandos usan las tres tablas al buscar registros a borrar, pero borrar los registros coincidentes sólo para las tablas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t1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y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t2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Los ejemplos anteriores muestran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inner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joins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usando el operador coma, pero comandos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de varias tablas pueden usar cualquier tipo de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permitido por comandos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SELECT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tales como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LEFT JOIN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La sintaxis </w:t>
      </w:r>
      <w:proofErr w:type="gram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permite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proofErr w:type="gramEnd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*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tras los nombres de tabla para compatibilidad con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Access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usa un comando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varias tablas incluyendo tablas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para las que hay restricciones de clave foránea, el optimizador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puede procesar tablas en un orden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ditinto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del de su relación padre/hijo. En este caso, el comando falla y se deshace. En su lugar, debe borrar de una tabla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úncia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y confiar en la capacidad de </w:t>
      </w:r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ON DELETE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que proporciona </w:t>
      </w:r>
      <w:proofErr w:type="spellStart"/>
      <w:r w:rsidRPr="004E0C23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hacer que las otras tablas se modifiquen correctamente.</w:t>
      </w:r>
    </w:p>
    <w:p w:rsidR="004E0C23" w:rsidRPr="004E0C23" w:rsidRDefault="004E0C23" w:rsidP="004E0C23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b/>
          <w:bCs/>
          <w:i/>
          <w:iCs/>
          <w:color w:val="003333"/>
          <w:sz w:val="21"/>
          <w:szCs w:val="21"/>
          <w:bdr w:val="none" w:sz="0" w:space="0" w:color="auto" w:frame="1"/>
          <w:shd w:val="clear" w:color="auto" w:fill="FFFFFF"/>
          <w:lang w:eastAsia="es-ES"/>
        </w:rPr>
        <w:t>Nota</w:t>
      </w: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En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5.0, debe usar el alias (si se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dió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) al referirse a un nombre de tabla:</w:t>
      </w:r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En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MySQL 4.1: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DELETE t1 FROM test AS t1, test2 </w:t>
      </w:r>
      <w:proofErr w:type="gramStart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WHERE ...</w:t>
      </w:r>
      <w:proofErr w:type="gramEnd"/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Borrados cruzados entre bases de datos se soportan para borrados de varias tablas, pero en este caso, debe referirse a las tablas sin usar alias.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Por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ejemplo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:</w:t>
      </w:r>
    </w:p>
    <w:p w:rsidR="004E0C23" w:rsidRPr="004E0C23" w:rsidRDefault="004E0C23" w:rsidP="004E0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DELETE test1.tmp1, test2.tmp2 FROM test1.tmp1, test2.tmp2 </w:t>
      </w:r>
      <w:proofErr w:type="gramStart"/>
      <w:r w:rsidRPr="004E0C2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WHERE ...</w:t>
      </w:r>
      <w:proofErr w:type="gramEnd"/>
    </w:p>
    <w:p w:rsidR="004E0C23" w:rsidRPr="004E0C23" w:rsidRDefault="004E0C23" w:rsidP="004E0C23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Actualmente, no puede borrar desde una tabla y seleccionar de la misma tabla en una </w:t>
      </w:r>
      <w:proofErr w:type="spellStart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subconsulta</w:t>
      </w:r>
      <w:proofErr w:type="spellEnd"/>
      <w:r w:rsidRPr="004E0C2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A175C9" w:rsidRDefault="00731026"/>
    <w:sectPr w:rsidR="00A17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4F7A"/>
    <w:multiLevelType w:val="multilevel"/>
    <w:tmpl w:val="78B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FA6548"/>
    <w:multiLevelType w:val="multilevel"/>
    <w:tmpl w:val="9E98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23"/>
    <w:rsid w:val="004E0C23"/>
    <w:rsid w:val="00731026"/>
    <w:rsid w:val="008E7835"/>
    <w:rsid w:val="00A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0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0C2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4E0C23"/>
  </w:style>
  <w:style w:type="character" w:styleId="CdigoHTML">
    <w:name w:val="HTML Code"/>
    <w:basedOn w:val="Fuentedeprrafopredeter"/>
    <w:uiPriority w:val="99"/>
    <w:semiHidden/>
    <w:unhideWhenUsed/>
    <w:rsid w:val="004E0C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C2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E0C2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E0C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0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0C2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4E0C23"/>
  </w:style>
  <w:style w:type="character" w:styleId="CdigoHTML">
    <w:name w:val="HTML Code"/>
    <w:basedOn w:val="Fuentedeprrafopredeter"/>
    <w:uiPriority w:val="99"/>
    <w:semiHidden/>
    <w:unhideWhenUsed/>
    <w:rsid w:val="004E0C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C2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E0C2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E0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s/example-auto-incremen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c/refman/5.0/es/innodb-auto-increment-column.html" TargetMode="External"/><Relationship Id="rId12" Type="http://schemas.openxmlformats.org/officeDocument/2006/relationships/hyperlink" Target="http://dev.mysql.com/doc/refman/5.0/es/jo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s/truncate.html" TargetMode="External"/><Relationship Id="rId11" Type="http://schemas.openxmlformats.org/officeDocument/2006/relationships/hyperlink" Target="http://dev.mysql.com/doc/refman/5.0/es/optimiz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s/optimize-t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c/refman/5.0/es/delete-spe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1307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2014-02-26T12:40:00Z</dcterms:created>
  <dcterms:modified xsi:type="dcterms:W3CDTF">2016-01-18T12:53:00Z</dcterms:modified>
</cp:coreProperties>
</file>