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1"/>
        </w:numPr>
        <w:spacing w:before="240" w:after="120"/>
        <w:jc w:val="center"/>
        <w:rPr/>
      </w:pPr>
      <w:r>
        <w:rPr/>
        <w:br/>
        <w:t>Trabajo práctico integrador</w:t>
      </w:r>
    </w:p>
    <w:p>
      <w:pPr>
        <w:pStyle w:val="Cuerpodetexto"/>
        <w:rPr/>
      </w:pPr>
      <w:r>
        <w:rPr/>
        <w:t>Documento de referencia de desarrollo</w:t>
      </w:r>
    </w:p>
    <w:p>
      <w:pPr>
        <w:pStyle w:val="Ttulo2"/>
        <w:numPr>
          <w:ilvl w:val="1"/>
          <w:numId w:val="1"/>
        </w:numPr>
        <w:rPr/>
      </w:pPr>
      <w:r>
        <w:rPr/>
        <w:t>1. Grupo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Número de grupo:   </w:t>
            </w:r>
            <w:r>
              <w:rPr/>
              <w:t>G-089</w:t>
            </w:r>
            <w:r>
              <w:rPr/>
              <w:t xml:space="preserve">                          Tema: 2 - Veterinaria: Red de Clínicas y Derivación de Laboratorio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Integrantes: </w:t>
            </w:r>
            <w:r>
              <w:rPr/>
              <w:t>5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  <w:tblLook w:firstRow="1" w:noVBand="1" w:lastRow="0" w:firstColumn="1" w:lastColumn="0" w:noHBand="0" w:val="04a0"/>
            </w:tblPr>
            <w:tblGrid>
              <w:gridCol w:w="1766"/>
              <w:gridCol w:w="7761"/>
            </w:tblGrid>
            <w:tr>
              <w:trPr/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Legajo</w:t>
                  </w:r>
                </w:p>
              </w:tc>
              <w:tc>
                <w:tcPr>
                  <w:tcW w:w="77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Nombre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85656</w:t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Bertoni Rocio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90074</w:t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Simonetti Franco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90175</w:t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Ojea Nicolas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94030</w:t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Diaz Tomás Agustín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95738</w:t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  <w:t>Paglino Luciano Ivo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</w:r>
                </w:p>
              </w:tc>
              <w:tc>
                <w:tcPr>
                  <w:tcW w:w="7761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widowControl w:val="false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Ttulo2"/>
        <w:numPr>
          <w:ilvl w:val="1"/>
          <w:numId w:val="1"/>
        </w:numPr>
        <w:rPr/>
      </w:pPr>
      <w:r>
        <w:rPr/>
        <w:t>2. Propuesta</w:t>
      </w:r>
    </w:p>
    <w:p>
      <w:pPr>
        <w:pStyle w:val="Ttulo3"/>
        <w:numPr>
          <w:ilvl w:val="2"/>
          <w:numId w:val="1"/>
        </w:numPr>
        <w:rPr/>
      </w:pPr>
      <w:r>
        <w:rPr/>
        <w:t>Objetivos del sistema</w:t>
      </w:r>
    </w:p>
    <w:tbl>
      <w:tblPr>
        <w:tblW w:w="5000" w:type="pct"/>
        <w:jc w:val="start"/>
        <w:tblInd w:w="0" w:type="dxa"/>
        <w:tblLayout w:type="fixed"/>
        <w:tblCellMar>
          <w:top w:w="110" w:type="dxa"/>
          <w:start w:w="140" w:type="dxa"/>
          <w:bottom w:w="110" w:type="dxa"/>
          <w:end w:w="140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1. Objetivo General</w:t>
            </w:r>
          </w:p>
          <w:p>
            <w:pPr>
              <w:pStyle w:val="Contenidodelatabla"/>
              <w:widowControl w:val="false"/>
              <w:spacing w:before="40" w:after="60"/>
              <w:jc w:val="both"/>
              <w:rPr/>
            </w:pPr>
            <w:r>
              <w:rPr/>
              <w:t>Desarrollar un sistema informático integral orientado a objetos con persistencia relacional para gestionar la atención clínica de mascotas en una red de clínicas veterinarias y la derivación de muestras biológicas hacia un laboratorio central de diagnóstico, asegurando en todo momento la cadena de custodia, la viabilidad sanitaria de las muestras mediante control de conservadoras isotérmicas y precintos de seguridad, la trazabilidad inmutable de estados desde la extracción hasta el informe bioquímico y la facturación desglosada de los servicios.</w:t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2. Objetivos Específicos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Centralización de Pacientes e Historia Clínica: </w:t>
            </w:r>
            <w:r>
              <w:rPr/>
              <w:t>Administrar el padrón único de clientes responsables y sus mascotas en toda la red de clínicas, manteniendo una historia clínica unificada (1 a 1) con antecedentes, alergias, tratamientos prescriptos y control automático del calendario de vacunación obligatoria según la especie animal.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Gestión de Agenda Médica y Derivación Analítica: </w:t>
            </w:r>
            <w:r>
              <w:rPr/>
              <w:t>Registrar consultas médicas veterinarias validando matemáticamente la no superposición de turnos horarios por profesional, permitiendo prescribir tratamientos y emitir órdenes de derivación hacia el laboratorio central con niveles de prioridad ('Normal' o 'Urgente').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Aseguramiento de la Cadena de Frío y Custodia (Logística Sanitaria): </w:t>
            </w:r>
            <w:r>
              <w:rPr/>
              <w:t>Controlar el empaquetado de muestras biológicas en conservadoras isotérmicas respetando su capacidad física máxima y rango térmico, generando remitos biológicos sellados con precintos sanitarios numerados y registrando el despacho y transporte hacia el laboratorio central.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Trazabilidad Inmutable y Control de Viabilidad en Recepción: </w:t>
            </w:r>
            <w:r>
              <w:rPr/>
              <w:t>Garantizar una bitácora auditable e inmutable de todos los cambios de estado de las muestras (Extraída -&gt; Empaquetada -&gt; EnTránsito -&gt; Recibida -&gt; Analizada / Rechazada) y de los remitos biológicos, impidiendo el procesamiento analítico y rechazando automáticamente las muestras cuando el precinto sanitario arribe roto o violado.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Liquidación Arancelaria Flexible y Toma de Decisiones: </w:t>
            </w:r>
            <w:r>
              <w:rPr/>
              <w:t>Registrar los resultados bioquímicos firmados por profesionales de laboratorio, emitir comprobantes de atención con cálculo polimórfico de tarifas (estándar, recargo por urgencia de guardia, bonificación por convenio de red) y proveer reportes estadísticos y operativos no triviales para la auditoría médica, logística y contable.</w:t>
            </w:r>
          </w:p>
        </w:tc>
      </w:tr>
    </w:tbl>
    <w:p>
      <w:pPr>
        <w:pStyle w:val="Ttulo3"/>
        <w:numPr>
          <w:ilvl w:val="2"/>
          <w:numId w:val="1"/>
        </w:numPr>
        <w:rPr/>
      </w:pPr>
      <w:r>
        <w:rPr/>
        <w:t>Alcances</w:t>
      </w:r>
    </w:p>
    <w:tbl>
      <w:tblPr>
        <w:tblW w:w="5000" w:type="pct"/>
        <w:jc w:val="start"/>
        <w:tblInd w:w="0" w:type="dxa"/>
        <w:tblLayout w:type="fixed"/>
        <w:tblCellMar>
          <w:top w:w="110" w:type="dxa"/>
          <w:start w:w="140" w:type="dxa"/>
          <w:bottom w:w="110" w:type="dxa"/>
          <w:end w:w="140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1. Procesos de Negocio Obligatorios Cubiertos (1 a 7)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1 — Administración de Clientes: </w:t>
            </w:r>
            <w:r>
              <w:rPr/>
              <w:t>Alta, baja, modificación, consulta y búsqueda multicriterio (por DNI, apellido o nombre) de propietarios/responsables legales, con validación de formato de DNI (7 a 8 dígitos numéricos), teléfono obligatorio y correo electrónico.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2 — Administración de Mascotas e Historias Clínicas: </w:t>
            </w:r>
            <w:r>
              <w:rPr/>
              <w:t>ABMC de mascotas vinculadas obligatoriamente a un cliente responsable y clasificadas por catálogo de especies (Canino, Felino, Ave, Roedor, Reptil). Apertura atómica de su Historia Clínica única al dar de alta al paciente y registro de aplicaciones de vacunas.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3 — Registro de Consultas Médicas y Órdenes de Derivación: </w:t>
            </w:r>
            <w:r>
              <w:rPr/>
              <w:t>Registro de atenciones por clínica y veterinario con control de duración en minutos, diagnóstico, prescripción de tratamientos farmacológicos, verificación del esquema de vacunas obligatorias y emisión de órdenes de derivación para estudios complejos (Hemograma, Perfil Bioquímico, Urianálisis, Citología, Histopatología, Cultivo) con extracción de muestras biológicas identificadas por código único.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4 — Empaquetado en Conservadoras, Remito Biológico y Precinto Sanitario: </w:t>
            </w:r>
            <w:r>
              <w:rPr/>
              <w:t>Agrupamiento de muestras extraídas de una misma clínica de origen dentro de una conservadora isotérmica disponible con control de tope de capacidad, emisión del Remito Biológico y colocación de un Precinto Sanitario intacto.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5 — Registro de Cadena de Envío hacia el Laboratorio Central: </w:t>
            </w:r>
            <w:r>
              <w:rPr/>
              <w:t>Asignación de empresa transportista y vehículo habilitado, registro de fecha/hora de despacho y transición sincronizada y atómica del remito y de todas sus muestras alojadas al estado 'EnTransito'.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6 — Recepción en Laboratorio y Verificación de Precinto Sanitario: </w:t>
            </w:r>
            <w:r>
              <w:rPr/>
              <w:t>Inspección física del precinto al arribar el envío. Si el precinto está 'Intacto', el remito pasa a 'Recibido' y las muestras a 'Recibida' (aptas para análisis). Si el precinto llega 'Roto' o 'Violado', el remito y sus muestras pasan automáticamente a estado terminal 'Rechazado'/'Rechazada' documentando el motivo de rechazo e impidiendo su análisis.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Proceso 7 — Registro de Resultados de Análisis y Emisión de Comprobantes: </w:t>
            </w:r>
            <w:r>
              <w:rPr/>
              <w:t>Carga de valores medidos y conclusión diagnóstica firmada por un bioquímico matriculado sobre muestras recibidas (transición a 'Analizada') y emisión del comprobante de atención (cabecera y renglones de detalle por Consulta, Laboratorio, Vacuna, Tratamiento, Recargo y Bonificación).</w:t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2. Validaciones de Negocio Garantizadas en Dominio y Base de Datos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Responsable Asociado Obligatorio: </w:t>
            </w:r>
            <w:r>
              <w:rPr/>
              <w:t>Garantizado mediante reglas de validación en el modelo de dominio y restricciones de integridad referencial obligatoria en la base de datos, impidiendo la existencia de mascotas sin un propietario responsable registrado.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Bloqueo de Muestras con Precinto Vulnerado: </w:t>
            </w:r>
            <w:r>
              <w:rPr/>
              <w:t>Cuando un envío arriba al laboratorio con el precinto sanitario roto o violado, la máquina de estados deriva automáticamente el remito y sus muestras al estado terminal rechazado, exigiendo el registro del motivo e impidiendo cualquier carga posterior de resultados analíticos.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Trazabilidad Inmutable de Estados: </w:t>
            </w:r>
            <w:r>
              <w:rPr/>
              <w:t>Garantizada mediante objetos de valor inmutables en el dominio y triggers de bloqueo de edición y borrado en la base de datos sobre los historiales de estados, asegurando una auditoría cronológica inalterable.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Prevención de Superposición de Turnos Médicos: </w:t>
            </w:r>
            <w:r>
              <w:rPr/>
              <w:t>Validada mediante el control de intersección de intervalos horarios (inicio y duración de la consulta) para cada profesional en el dominio, respaldado por restricciones de unicidad de agenda en la base de datos.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Control de Esquema de Vacunas Obligatorias: </w:t>
            </w:r>
            <w:r>
              <w:rPr/>
              <w:t>Verificación automática de vacunas obligatorias faltantes o con fecha de refuerzo vencida según la especie del paciente al momento de registrar atenciones clínicas.</w:t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3. Arquitectura en Capas, Patrones de Diseño (GoF) y Reportes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Arquitectura en Capas Desacopladas: </w:t>
            </w:r>
            <w:r>
              <w:rPr/>
              <w:t>Estructurada en capas independientes de Dominio (entidades de negocio y reglas de validación), Patrones de Diseño GoF, Persistencia Relacional (objetos de acceso a datos), Servicios (orquestación de casos de uso y reportes) e Interfaz Gráfica.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Patrones de Diseño Principales y Complementarios: </w:t>
            </w:r>
            <w:r>
              <w:rPr/>
              <w:t>Como patrones principales se implementan State (gobierno del ciclo de vida de la muestra biológica), Strategy (cálculo polimórfico de tarifas de facturación: estándar, recargo por urgencia y bonificación por convenio de red), Singleton (gestión centralizada de la conexión a la base de datos) y DAO — Data Access Object (aislamiento de la persistencia SQL). Como patrón complementario se aplica Iterator (recorrido encapsulado de muestras dentro de una conservadora isotérmica).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Reportes de Gestión y Auditoría (No Triviales): </w:t>
            </w:r>
            <w:r>
              <w:rPr/>
              <w:t>1) Atenciones clínicas y órdenes de derivación emitidas por clínica y período; 2) Muestras biológicas rechazadas por fallas en el transporte/precinto con identificación de clínica, remito y transportista; 3) Tratamientos aplicados y vacunas obligatorias pendientes/vencidas por paciente; 4) Facturación desglosada por clínica, laboratorio y estrategia de tarifa; 5) Tiempo promedio de tránsito logístico y procesamiento bioquímico de muestras.</w:t>
            </w:r>
          </w:p>
        </w:tc>
      </w:tr>
    </w:tbl>
    <w:p>
      <w:pPr>
        <w:pStyle w:val="Ttulo3"/>
        <w:numPr>
          <w:ilvl w:val="2"/>
          <w:numId w:val="1"/>
        </w:numPr>
        <w:rPr/>
      </w:pPr>
      <w:r>
        <w:br w:type="page"/>
      </w:r>
      <w:r>
        <w:rPr/>
        <w:t>DER o Diagrama de Clases UML</w:t>
      </w:r>
    </w:p>
    <w:tbl>
      <w:tblPr>
        <w:tblW w:w="5000" w:type="pct"/>
        <w:jc w:val="start"/>
        <w:tblInd w:w="0" w:type="dxa"/>
        <w:tblLayout w:type="fixed"/>
        <w:tblCellMar>
          <w:top w:w="110" w:type="dxa"/>
          <w:start w:w="140" w:type="dxa"/>
          <w:bottom w:w="110" w:type="dxa"/>
          <w:end w:w="140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A. Diagrama Entidad-Relación (DER) Completo — 26 Tablas Normalizadas</w:t>
            </w:r>
          </w:p>
          <w:p>
            <w:pPr>
              <w:pStyle w:val="Contenidodelatabla"/>
              <w:widowControl w:val="false"/>
              <w:spacing w:before="40" w:after="60"/>
              <w:jc w:val="both"/>
              <w:rPr/>
            </w:pPr>
            <w:r>
              <w:rPr>
                <w:b/>
              </w:rPr>
              <w:t>Diseño Relacional:</w:t>
            </w:r>
            <w:r>
              <w:rPr/>
              <w:t>El esquema de base de datos en SQLite 3.37+ consta de 26 tablas normalizadas con tipado estricto (STRICT), integridad referencial activa (PRAGMA foreign_keys = ON), restricciones CHECK nombradas, 14 índices secundarios y 4 triggers de inmutabilidad (BEFORE UPDATE / BEFORE DELETE con RAISE(ABORT)) que protegen tanto la bitácora de la muestra (historial_estados_muestra) como la del documento logístico (historial_estados_remito), auditando de forma íntegra ambos ciclos de vida críticos exigidos por el dominio.</w:t>
            </w:r>
          </w:p>
          <w:p>
            <w:pPr>
              <w:pStyle w:val="Normal"/>
              <w:widowControl w:val="false"/>
              <w:spacing w:before="120" w:after="120"/>
              <w:jc w:val="center"/>
              <w:rPr/>
            </w:pPr>
            <w:r>
              <w:rPr/>
              <w:drawing>
                <wp:inline distT="0" distB="0" distL="0" distR="0">
                  <wp:extent cx="5899785" cy="4074795"/>
                  <wp:effectExtent l="0" t="0" r="0" b="0"/>
                  <wp:docPr id="1" name="Diagrama_DER_Completo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iagrama_DER_Completo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785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Modelo Relacional Completo (26 Tablas)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1. catalogo_especies: </w:t>
            </w:r>
            <w:r>
              <w:rPr/>
              <w:t>(id [PK], nombre [UK]) — Especies admitidas (Canino, Felino, Ave, Roedor, Reptil).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2. catalogo_tipos_muestra: </w:t>
            </w:r>
            <w:r>
              <w:rPr/>
              <w:t>(id [PK], codigo [UK], nombre) — Sangre, Suero, Orina, Materia fecal, Biopsia, Hisopado.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3. catalogo_tipos_estudio: </w:t>
            </w:r>
            <w:r>
              <w:rPr/>
              <w:t>(id [PK], codigo [UK], nombre, costo_base &gt;= 0) — Estudios derivables al laboratorio.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4. catalogo_vacunas: </w:t>
            </w:r>
            <w:r>
              <w:rPr/>
              <w:t>(id [PK], nombre, especie_id [FK], es_obligatoria, frecuencia_refuerzo_meses) — UK(nombre, especie_id).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5. clinicas: </w:t>
            </w:r>
            <w:r>
              <w:rPr/>
              <w:t>(id [PK], nombre [UK], direccion, telefono) — Sedes periféricas de la red veterinaria.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6. veterinarios: </w:t>
            </w:r>
            <w:r>
              <w:rPr/>
              <w:t>(id [PK], matricula [UK], nombre, apellido, especialidad) — Profesionales clínicos.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7. laboratorios: </w:t>
            </w:r>
            <w:r>
              <w:rPr/>
              <w:t>(id [PK], nombre [UK], direccion, telefono) — Sedes centrales de diagnóstico.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8. profesionales_laboratorio: </w:t>
            </w:r>
            <w:r>
              <w:rPr/>
              <w:t>(id [PK], matricula [UK], nombre, apellido, laboratorio_id [FK]) — Bioquímicos firmantes.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9. transportistas: </w:t>
            </w:r>
            <w:r>
              <w:rPr/>
              <w:t>(id [PK], nombre, cuit_dni [UK], vehiculo_patente, telefono) — Logística sanitaria.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10. clientes: </w:t>
            </w:r>
            <w:r>
              <w:rPr/>
              <w:t>(id [PK], dni [UK], nombre, apellido, telefono, email, direccion) — Responsables legales.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11. mascotas: </w:t>
            </w:r>
            <w:r>
              <w:rPr/>
              <w:t>(id [PK], nombre, especie_id [FK], raza, edad, sexo, cliente_id [FK NOT NULL]) — Pacientes.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12. historias_clinicas: </w:t>
            </w:r>
            <w:r>
              <w:rPr/>
              <w:t>(id [PK], mascota_id [UK, FK], fecha_apertura, antecedentes, alergias) — Relación 1 a 1.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13. consultas_medicas: </w:t>
            </w:r>
            <w:r>
              <w:rPr/>
              <w:t>(id [PK], mascota_id [FK], clinica_id [FK], veterinario_id [FK], fecha_hora_inicio, duracion_minutos, motivo, diagnostico, costo_consulta) — UK(veterinario_id, fecha_hora_inicio).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14. tratamientos: </w:t>
            </w:r>
            <w:r>
              <w:rPr/>
              <w:t>(id [PK], consulta_id [FK], descripcion, medicamento, dosis, duracion_dias) — Prescripciones.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15. vacunas_aplicadas: </w:t>
            </w:r>
            <w:r>
              <w:rPr/>
              <w:t>(id [PK], mascota_id [FK], vacuna_id [FK], consulta_id [FK NULL], fecha_aplicacion) — Inmunizaciones.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16. ordenes_derivacion: </w:t>
            </w:r>
            <w:r>
              <w:rPr/>
              <w:t>(id [PK], consulta_id [FK], tipo_estudio_id [FK], indicaciones, prioridad, fecha_hora_emision).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17. conservadoras: </w:t>
            </w:r>
            <w:r>
              <w:rPr/>
              <w:t>(id [PK], codigo [UK], capacidad_maxima, temperatura_min, temperatura_max, disponible) — Contenedores.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18. precintos_sanitarios: </w:t>
            </w:r>
            <w:r>
              <w:rPr/>
              <w:t>(id [PK], numero_serie [UK], estado IN ('Intacto', 'Roto', 'Violado')) — Sellos de custodia.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19. remitos_biologicos: </w:t>
            </w:r>
            <w:r>
              <w:rPr/>
              <w:t>(id [PK], numero_remito [UK], clinica_origen_id [FK], laboratorio_destino_id [FK], conservadora_id [FK], precinto_id [UK, FK NULL], estado, fecha_hora_creacion).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20. historial_estados_remito: </w:t>
            </w:r>
            <w:r>
              <w:rPr/>
              <w:t>(id [PK], remito_id [FK], estado_anterior, estado_nuevo, fecha_hora, observacion) — Inmutable por Trigger.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21. muestras_biologicas: </w:t>
            </w:r>
            <w:r>
              <w:rPr/>
              <w:t>(id [PK], codigo_muestra [UK], orden_id [FK], tipo_muestra_id [FK], fecha_hora_extraccion, remito_id [FK NULL], estado_actual, motivo_rechazo).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22. historial_estados_muestra: </w:t>
            </w:r>
            <w:r>
              <w:rPr/>
              <w:t>(id [PK], muestra_id [FK], estado_anterior, estado_nuevo, fecha_hora, observacion) — Inmutable por Trigger.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23. envios_laboratorio: </w:t>
            </w:r>
            <w:r>
              <w:rPr/>
              <w:t>(id [PK], remito_id [UK, FK], transportista_id [FK], fecha_hora_despacho, fecha_hora_recepcion, observaciones_recepcion).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24. resultados_analisis: </w:t>
            </w:r>
            <w:r>
              <w:rPr/>
              <w:t>(id [PK], muestra_id [UK, FK], profesional_laboratorio_id [FK], valores_medidos, conclusion, costo_analisis, fecha_hora_analisis).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25. comprobantes: </w:t>
            </w:r>
            <w:r>
              <w:rPr/>
              <w:t>(id [PK], numero_comprobante [UK], consulta_id [FK], estrategia_tarifa, monto_total, fecha_hora_emision).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26. detalles_comprobante: </w:t>
            </w:r>
            <w:r>
              <w:rPr/>
              <w:t>(id [PK], comprobante_id [FK], tipo_concepto, concepto, monto) — Desglose positivo/negativo.</w:t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B. Diagrama de Clases UML — Modelo de Dominio y Patrones GoF (State, Strategy e Iterator)</w:t>
            </w:r>
          </w:p>
          <w:p>
            <w:pPr>
              <w:pStyle w:val="Contenidodelatabla"/>
              <w:widowControl w:val="false"/>
              <w:spacing w:before="40" w:after="60"/>
              <w:jc w:val="both"/>
              <w:rPr/>
            </w:pPr>
            <w:r>
              <w:rPr>
                <w:b/>
              </w:rPr>
              <w:t>Diseño Orientado a Objetos:</w:t>
            </w:r>
            <w:r>
              <w:rPr/>
              <w:t>Para maximizar la claridad visual del modelo de negocio, el Diagrama de Clases UML principal enfoca las 31 clases de Dominio y los patrones GoF de comportamiento (State, Strategy e Iterator), manteniendo la infraestructura de acceso a datos (Singleton ConexionBD + DAOBase y 6 DAOs concretos) y las excepciones de validación semántica desacopladas en sus respectivas capas arquitectónicas.</w:t>
            </w:r>
          </w:p>
          <w:p>
            <w:pPr>
              <w:pStyle w:val="Normal"/>
              <w:widowControl w:val="false"/>
              <w:spacing w:before="120" w:after="120"/>
              <w:jc w:val="center"/>
              <w:rPr/>
            </w:pPr>
            <w:r>
              <w:rPr/>
              <w:drawing>
                <wp:inline distT="0" distB="0" distL="0" distR="0">
                  <wp:extent cx="5899785" cy="2725420"/>
                  <wp:effectExtent l="0" t="0" r="0" b="0"/>
                  <wp:docPr id="2" name="Diagrama_Clases_UML_Completo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iagrama_Clases_UML_Completo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785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ntenidodelatabla"/>
              <w:widowControl w:val="false"/>
              <w:spacing w:before="140" w:after="60"/>
              <w:rPr/>
            </w:pPr>
            <w:r>
              <w:rPr>
                <w:b/>
                <w:color w:val="0F172A"/>
                <w:sz w:val="22"/>
              </w:rPr>
              <w:t>Especificación de Relaciones UML y Patrones de Diseño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Composición Fuerte (*--): </w:t>
            </w:r>
            <w:r>
              <w:rPr/>
              <w:t>Mascota *-- HistoriaClinica (1:1); HistoriaClinica *-- VacunaAplicada (1:0..*); ConsultaMedica *-- Tratamiento (1:0..*); ConsultaMedica *-- OrdenDerivacion (1:0..*); OrdenDerivacion *-- MuestraBiologica (1:1..*); MuestraBiologica *-- RegistroTrazabilidad (1:1..*, Value Object inmutable); RemitoBiologico *-- EnvioLaboratorio (1:0..1); ComprobanteAtencion *-- DetalleComprobante (1:1..*); LiquidacionFactura *-- ItemFactura (1:1..*).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Agregación Débil (o--): </w:t>
            </w:r>
            <w:r>
              <w:rPr/>
              <w:t>Cliente o-- Mascota (1:1..*); HistoriaClinica o-- Tratamiento (1:0..*); ConservadoraIsotermica o-- MuestraBiologica (1:0..*, contenedor térmico reutilizable con tope físico); RemitoBiologico o-- MuestraBiologica (1:1..*).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Patrón Principal STATE (MuestraBiologica + EstadoMuestra): </w:t>
            </w:r>
            <w:r>
              <w:rPr/>
              <w:t>MuestraBiologica delega empaquetar(), despachar(), recibir() y analizar() en su estado actual EstadoMuestra. Las subclases EstadoExtraida, EstadoEmpaquetada, EstadoEnTransito (que bifurca a EstadoRecibida si el precinto está 'Intacto' o a EstadoRechazada si está 'Roto'/'Violado'), EstadoRecibida, EstadoAnalizada y EstadoRechazada garantizan el cumplimiento estricto del ciclo de vida sin condicionales anidados.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Patrón Principal STRATEGY (EstrategiaFacturacion): </w:t>
            </w:r>
            <w:r>
              <w:rPr/>
              <w:t>Define el contrato polimórfico liquidar(costo_consulta, costos_laboratorio, motivo) -&gt; LiquidacionFactura, implementado por TarifaEstandar, TarifaUrgenciaLaboratorio (+30% de recargo en estudios) y TarifaConvenioRed (-15% de bonificación en atención clínica).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Patrones Principales de Persistencia SINGLETON y DAO: </w:t>
            </w:r>
            <w:r>
              <w:rPr/>
              <w:t>ConexionBD (Singleton) administra una única instancia de conexión SQLite con control de transacciones atómicas, mientras que DAOBase y los 6 DAOs concretos (ClienteDAO, MascotaDAO, ConsultaDAO, MuestraDAO, LogisticaDAO y FacturacionDAO) encapsulan todas las sentencias SQL fuera del modelo de dominio.</w:t>
            </w:r>
          </w:p>
          <w:p>
            <w:pPr>
              <w:pStyle w:val="Contenidodelatabla"/>
              <w:widowControl w:val="false"/>
              <w:spacing w:before="30" w:after="45"/>
              <w:ind w:start="280" w:hanging="200"/>
              <w:jc w:val="both"/>
              <w:rPr/>
            </w:pPr>
            <w:r>
              <w:rPr>
                <w:b/>
              </w:rPr>
              <w:t xml:space="preserve">• </w:t>
            </w:r>
            <w:r>
              <w:rPr>
                <w:b/>
              </w:rPr>
              <w:t xml:space="preserve">Patrón Complementario ITERATOR (ConservadoraIsotermica + IteradorMuestras): </w:t>
            </w:r>
            <w:r>
              <w:rPr/>
              <w:t>ConservadoraIsotermica encapsula su lista interna de muestras y provee los iteradores IteradorMuestras e IteradorMuestrasFiltradas para recorrer secuencialmente las muestras alojadas o filtrar únicamente aquellas viables.</w:t>
            </w:r>
          </w:p>
        </w:tc>
      </w:tr>
    </w:tbl>
    <w:sectPr>
      <w:headerReference w:type="default" r:id="rId4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lang w:val="en-US"/>
      </w:rPr>
    </w:pPr>
    <w:r>
      <w:rPr>
        <w:lang w:val="en-US"/>
      </w:rPr>
    </w:r>
  </w:p>
  <w:p>
    <w:pPr>
      <w:pStyle w:val="Cabecera"/>
      <w:rPr>
        <w:lang w:val="en-US"/>
      </w:rPr>
    </w:pPr>
    <w:r>
      <w:rPr>
        <w:lang w:val="en-US"/>
      </w:rPr>
    </w:r>
  </w:p>
  <w:p>
    <w:pPr>
      <w:pStyle w:val="Cabecera"/>
      <w:rPr/>
    </w:pPr>
    <w:r>
      <w:rPr/>
      <w:t>Desarrollo de Aplicaciones con Objetos</w:t>
      <w:tab/>
      <w:tab/>
      <w:t>FRC – UTN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Arabic"/>
      <w:color w:val="000000"/>
      <w:kern w:val="0"/>
      <w:sz w:val="24"/>
      <w:szCs w:val="24"/>
      <w:lang w:val="es-AR" w:eastAsia="zh-CN" w:bidi="hi-IN"/>
    </w:rPr>
  </w:style>
  <w:style w:type="paragraph" w:styleId="Ttulo1">
    <w:name w:val="Heading 1"/>
    <w:basedOn w:val="Ttulo"/>
    <w:next w:val="Cuerpodetexto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uerpodetexto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tulo3">
    <w:name w:val="Heading 3"/>
    <w:basedOn w:val="Ttulo"/>
    <w:next w:val="Cuerpodetexto"/>
    <w:uiPriority w:val="9"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5f79ac"/>
    <w:rPr>
      <w:rFonts w:cs="Mangal"/>
      <w:szCs w:val="21"/>
    </w:rPr>
  </w:style>
  <w:style w:type="character" w:styleId="FooterChar" w:customStyle="1">
    <w:name w:val="Footer Char"/>
    <w:basedOn w:val="DefaultParagraphFont"/>
    <w:uiPriority w:val="99"/>
    <w:qFormat/>
    <w:rsid w:val="005f79ac"/>
    <w:rPr>
      <w:rFonts w:cs="Mangal"/>
      <w:szCs w:val="21"/>
    </w:rPr>
  </w:style>
  <w:style w:type="paragraph" w:styleId="Ttulo" w:customStyle="1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5f79ac"/>
    <w:pPr>
      <w:tabs>
        <w:tab w:val="clear" w:pos="1134"/>
        <w:tab w:val="center" w:pos="4680" w:leader="none"/>
        <w:tab w:val="right" w:pos="9360" w:leader="none"/>
      </w:tabs>
    </w:pPr>
    <w:rPr>
      <w:rFonts w:cs="Mangal"/>
      <w:szCs w:val="21"/>
    </w:rPr>
  </w:style>
  <w:style w:type="paragraph" w:styleId="Piedepgina">
    <w:name w:val="Footer"/>
    <w:basedOn w:val="Normal"/>
    <w:link w:val="FooterChar"/>
    <w:uiPriority w:val="99"/>
    <w:unhideWhenUsed/>
    <w:rsid w:val="005f79ac"/>
    <w:pPr>
      <w:tabs>
        <w:tab w:val="clear" w:pos="1134"/>
        <w:tab w:val="center" w:pos="4680" w:leader="none"/>
        <w:tab w:val="right" w:pos="9360" w:leader="none"/>
      </w:tabs>
    </w:pPr>
    <w:rPr>
      <w:rFonts w:cs="Mangal"/>
      <w:szCs w:val="21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DOCX_Edit_PLUS/7.4.0.3$Windows_X86_64 LibreOffice_project/</Application>
  <AppVersion>15.0000</AppVersion>
  <Pages>6</Pages>
  <Words>1904</Words>
  <Characters>12785</Characters>
  <CharactersWithSpaces>14661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2026-10-26T18:28:03Z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