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504"/>
      </w:tblGrid>
      <w:tr>
        <w:tc>
          <w:tcPr>
            <w:tcW w:type="dxa" w:w="8504"/>
            <w:shd w:val="clear" w:color="auto" w:fill="1F4E79"/>
          </w:tcPr>
          <w:p>
            <w:pPr>
              <w:spacing w:before="240" w:after="240"/>
              <w:jc w:val="center"/>
            </w:pPr>
            <w:r>
              <w:rPr>
                <w:b/>
                <w:color w:val="FFFFFF"/>
                <w:sz w:val="20"/>
              </w:rPr>
              <w:t>REPORTE EJECUTIVO  |  LOGISTICA Y CADENA DE SUMINISTRO</w:t>
            </w:r>
          </w:p>
        </w:tc>
      </w:tr>
    </w:tbl>
    <w:p/>
    <w:p>
      <w:pPr>
        <w:jc w:val="center"/>
      </w:pPr>
      <w:r>
        <w:rPr>
          <w:b/>
          <w:color w:val="1F4E79"/>
          <w:sz w:val="52"/>
        </w:rPr>
        <w:t>Optimizacion de Inventario</w:t>
      </w:r>
    </w:p>
    <w:p>
      <w:pPr>
        <w:jc w:val="center"/>
      </w:pPr>
      <w:r>
        <w:rPr>
          <w:color w:val="2E75B6"/>
          <w:sz w:val="32"/>
        </w:rPr>
        <w:t>Clasificacion ABC-XYZ y Politica de Stock Optima</w:t>
      </w:r>
    </w:p>
    <w:p/>
    <w:p>
      <w:pPr>
        <w:pBdr>
          <w:bottom w:val="single" w:sz="6" w:color="1F4E79"/>
        </w:pBdr>
      </w:pPr>
    </w:p>
    <w:p/>
    <w:p>
      <w:pPr>
        <w:spacing w:after="60"/>
        <w:jc w:val="center"/>
      </w:pPr>
      <w:r>
        <w:rPr>
          <w:b/>
          <w:color w:val="1F4E79"/>
          <w:sz w:val="22"/>
        </w:rPr>
        <w:t xml:space="preserve">Empresa analizada:  </w:t>
      </w:r>
      <w:r>
        <w:rPr>
          <w:sz w:val="22"/>
        </w:rPr>
        <w:t>NorteLogix S.A.  —  Distribuidora de consumo masivo</w:t>
      </w:r>
    </w:p>
    <w:p>
      <w:pPr>
        <w:spacing w:after="60"/>
        <w:jc w:val="center"/>
      </w:pPr>
      <w:r>
        <w:rPr>
          <w:b/>
          <w:color w:val="1F4E79"/>
          <w:sz w:val="22"/>
        </w:rPr>
        <w:t xml:space="preserve">Periodo analizado:  </w:t>
      </w:r>
      <w:r>
        <w:rPr>
          <w:sz w:val="22"/>
        </w:rPr>
        <w:t>Enero 2023 – Diciembre 2024</w:t>
      </w:r>
    </w:p>
    <w:p>
      <w:pPr>
        <w:spacing w:after="60"/>
        <w:jc w:val="center"/>
      </w:pPr>
      <w:r>
        <w:rPr>
          <w:b/>
          <w:color w:val="1F4E79"/>
          <w:sz w:val="22"/>
        </w:rPr>
        <w:t xml:space="preserve">SKUs analizados:  </w:t>
      </w:r>
      <w:r>
        <w:rPr>
          <w:sz w:val="22"/>
        </w:rPr>
        <w:t>120 productos activos · 5 categorias · 24 meses de historial</w:t>
      </w:r>
    </w:p>
    <w:p>
      <w:pPr>
        <w:spacing w:after="60"/>
        <w:jc w:val="center"/>
      </w:pPr>
      <w:r>
        <w:rPr>
          <w:b/>
          <w:color w:val="1F4E79"/>
          <w:sz w:val="22"/>
        </w:rPr>
        <w:t xml:space="preserve">Herramienta:  </w:t>
      </w:r>
      <w:r>
        <w:rPr>
          <w:sz w:val="22"/>
        </w:rPr>
        <w:t>Python  (pandas · numpy · matplotlib)</w:t>
      </w:r>
    </w:p>
    <w:p>
      <w:pPr>
        <w:spacing w:after="60"/>
        <w:jc w:val="center"/>
      </w:pPr>
      <w:r>
        <w:rPr>
          <w:b/>
          <w:color w:val="1F4E79"/>
          <w:sz w:val="22"/>
        </w:rPr>
        <w:t xml:space="preserve">Analista:  </w:t>
      </w:r>
      <w:r>
        <w:rPr>
          <w:sz w:val="22"/>
        </w:rPr>
        <w:t>Luciano Villagran  —  Analista de Datos</w:t>
      </w:r>
    </w:p>
    <w:p>
      <w:pPr>
        <w:spacing w:after="60"/>
        <w:jc w:val="center"/>
      </w:pPr>
      <w:r>
        <w:rPr>
          <w:b/>
          <w:color w:val="1F4E79"/>
          <w:sz w:val="22"/>
        </w:rPr>
        <w:t xml:space="preserve">Fecha de emision:  </w:t>
      </w:r>
      <w:r>
        <w:rPr>
          <w:sz w:val="22"/>
        </w:rPr>
        <w:t>1 de julio de 2026</w:t>
      </w:r>
    </w:p>
    <w:p/>
    <w:p>
      <w:pPr>
        <w:pBdr>
          <w:bottom w:val="single" w:sz="6" w:color="1F4E79"/>
        </w:pBdr>
      </w:pPr>
    </w:p>
    <w:p/>
    <w:tbl>
      <w:tblPr>
        <w:tblStyle w:val="TableGrid"/>
        <w:tblW w:type="auto" w:w="0"/>
        <w:tblLook w:firstColumn="1" w:firstRow="1" w:lastColumn="0" w:lastRow="0" w:noHBand="0" w:noVBand="1" w:val="04A0"/>
      </w:tblPr>
      <w:tblGrid>
        <w:gridCol w:w="8504"/>
      </w:tblGrid>
      <w:tr>
        <w:tc>
          <w:tcPr>
            <w:tcW w:type="dxa" w:w="8504"/>
            <w:shd w:val="clear" w:color="auto" w:fill="EBF3FB"/>
          </w:tcPr>
          <w:p>
            <w:pPr>
              <w:spacing w:before="200" w:after="200"/>
              <w:jc w:val="center"/>
            </w:pPr>
            <w:r>
              <w:rPr>
                <w:b/>
                <w:color w:val="1F4E79"/>
                <w:sz w:val="32"/>
              </w:rPr>
              <w:t>Impacto total identificado: ~$7.0M</w:t>
            </w:r>
          </w:p>
          <w:p>
            <w:pPr>
              <w:spacing w:before="40" w:after="200"/>
              <w:jc w:val="center"/>
            </w:pPr>
            <w:r>
              <w:rPr>
                <w:i/>
                <w:color w:val="2E75B6"/>
                <w:sz w:val="18"/>
              </w:rPr>
              <w:t>Capital liberado en sobrestock + ventas recuperadas + ahorro EOQ + automatizacion</w:t>
            </w:r>
          </w:p>
        </w:tc>
      </w:tr>
    </w:tbl>
    <w:p>
      <w:r>
        <w:br w:type="page"/>
      </w:r>
    </w:p>
    <w:p>
      <w:pPr>
        <w:spacing w:before="280" w:after="80"/>
      </w:pPr>
      <w:r>
        <w:rPr>
          <w:b/>
          <w:color w:val="1F4E79"/>
          <w:sz w:val="26"/>
        </w:rPr>
        <w:t>1. RESUMEN EJECUTIVO</w:t>
      </w:r>
    </w:p>
    <w:p>
      <w:pPr>
        <w:pBdr>
          <w:bottom w:val="single" w:sz="6" w:color="1F4E79"/>
        </w:pBdr>
      </w:pPr>
    </w:p>
    <w:tbl>
      <w:tblPr>
        <w:tblStyle w:val="TableGrid"/>
        <w:tblW w:type="auto" w:w="0"/>
        <w:tblLook w:firstColumn="1" w:firstRow="1" w:lastColumn="0" w:lastRow="0" w:noHBand="0" w:noVBand="1" w:val="04A0"/>
      </w:tblPr>
      <w:tblGrid>
        <w:gridCol w:w="8504"/>
      </w:tblGrid>
      <w:tr>
        <w:tc>
          <w:tcPr>
            <w:tcW w:type="dxa" w:w="8504"/>
            <w:shd w:val="clear" w:color="auto" w:fill="FFF9C4"/>
          </w:tcPr>
          <w:p>
            <w:pPr>
              <w:spacing w:before="200" w:after="80"/>
              <w:jc w:val="center"/>
            </w:pPr>
            <w:r>
              <w:rPr>
                <w:b/>
                <w:color w:val="1F4E79"/>
                <w:sz w:val="26"/>
              </w:rPr>
              <w:t>Impacto total identificado: $7.0M</w:t>
            </w:r>
          </w:p>
          <w:p>
            <w:pPr>
              <w:spacing w:after="200"/>
              <w:jc w:val="center"/>
            </w:pPr>
            <w:r>
              <w:rPr>
                <w:i/>
                <w:color w:val="2E75B6"/>
                <w:sz w:val="18"/>
              </w:rPr>
              <w:t>Capital liberado en sobrestock + ventas recuperadas por quiebres + ahorros operativos EOQ + automatizacion</w:t>
            </w:r>
          </w:p>
        </w:tc>
      </w:tr>
    </w:tbl>
    <w:p/>
    <w:p>
      <w:pPr>
        <w:spacing w:after="80"/>
      </w:pPr>
      <w:r>
        <w:rPr>
          <w:b w:val="0"/>
          <w:i w:val="0"/>
          <w:sz w:val="22"/>
        </w:rPr>
        <w:t>El problema: NorteLogix S.A. gestionaba el inventario de 120 SKUs activos con criterio artesanal — sin modelo estadistico detras. Las decisiones de cuanto pedir y cuando pedir las tomaba el comprador por experiencia. El resultado era el clasico contrasentido de la cadena de suministro: depositos llenos de productos que casi nadie pide, y quiebres en los productos estrella que son la fuente principal de ingreso.</w:t>
      </w:r>
    </w:p>
    <w:p>
      <w:pPr>
        <w:spacing w:after="80"/>
      </w:pPr>
      <w:r>
        <w:rPr>
          <w:b w:val="0"/>
          <w:i w:val="0"/>
          <w:sz w:val="22"/>
        </w:rPr>
        <w:t>Lo que construi: un modelo Python reproducible que clasifica cada uno de los 120 SKUs en una matriz ABC-XYZ — combinando valor de facturacion (ABC) con variabilidad de demanda (XYZ) — y calcula la politica de stock optima para cada producto: stock de seguridad estadistico al 95 % de nivel de servicio, punto de reorden exacto y lote economico de compra (EOQ).</w:t>
      </w:r>
    </w:p>
    <w:p>
      <w:pPr>
        <w:spacing w:after="80"/>
      </w:pPr>
      <w:r>
        <w:rPr>
          <w:b w:val="0"/>
          <w:i w:val="0"/>
          <w:sz w:val="22"/>
        </w:rPr>
        <w:t>El resultado: el modelo identifico $1.1M en capital inmovilizado en 30 SKUs con sobrestock, $2.2M en ventas en riesgo por 8 SKUs bajo su punto de reorden, y $3,5M/año de ahorro potencial al adoptar la politica EOQ. El proceso de analisis mensual paso de 8 horas manuales a 30 segundos automaticos.</w:t>
      </w:r>
    </w:p>
    <w:p>
      <w:r>
        <w:br w:type="page"/>
      </w:r>
    </w:p>
    <w:p>
      <w:pPr>
        <w:spacing w:before="280" w:after="80"/>
      </w:pPr>
      <w:r>
        <w:rPr>
          <w:b/>
          <w:color w:val="1F4E79"/>
          <w:sz w:val="26"/>
        </w:rPr>
        <w:t>2. METODOLOGIA Y DATOS</w:t>
      </w:r>
    </w:p>
    <w:p>
      <w:pPr>
        <w:pBdr>
          <w:bottom w:val="single" w:sz="6" w:color="1F4E79"/>
        </w:pBdr>
      </w:pPr>
    </w:p>
    <w:p>
      <w:pPr>
        <w:spacing w:after="80"/>
      </w:pPr>
      <w:r>
        <w:rPr>
          <w:b w:val="0"/>
          <w:i w:val="0"/>
          <w:sz w:val="22"/>
        </w:rPr>
        <w:t>Trabaje sobre tres archivos CSV generados sinteticamente con semilla fija (SEED=42) para garantizar reproducibilidad total. Los datos replican los patrones de una distribuidora regional de consumo masivo con 120 SKUs activos en 5 categorias.</w:t>
      </w:r>
    </w:p>
    <w:tbl>
      <w:tblPr>
        <w:tblStyle w:val="TableGrid"/>
        <w:tblW w:type="auto" w:w="0"/>
        <w:tblLook w:firstColumn="1" w:firstRow="1" w:lastColumn="0" w:lastRow="0" w:noHBand="0" w:noVBand="1" w:val="04A0"/>
      </w:tblPr>
      <w:tblGrid>
        <w:gridCol w:w="2835"/>
        <w:gridCol w:w="2835"/>
        <w:gridCol w:w="2835"/>
      </w:tblGrid>
      <w:tr>
        <w:tc>
          <w:tcPr>
            <w:tcW w:type="dxa" w:w="2835"/>
            <w:shd w:val="clear" w:color="auto" w:fill="1F4E79"/>
          </w:tcPr>
          <w:p>
            <w:r>
              <w:rPr>
                <w:b/>
                <w:color w:val="FFFFFF"/>
                <w:sz w:val="19"/>
              </w:rPr>
              <w:t>Archivo</w:t>
            </w:r>
          </w:p>
        </w:tc>
        <w:tc>
          <w:tcPr>
            <w:tcW w:type="dxa" w:w="2835"/>
            <w:shd w:val="clear" w:color="auto" w:fill="1F4E79"/>
          </w:tcPr>
          <w:p>
            <w:r>
              <w:rPr>
                <w:b/>
                <w:color w:val="FFFFFF"/>
                <w:sz w:val="19"/>
              </w:rPr>
              <w:t>Registros</w:t>
            </w:r>
          </w:p>
        </w:tc>
        <w:tc>
          <w:tcPr>
            <w:tcW w:type="dxa" w:w="2835"/>
            <w:shd w:val="clear" w:color="auto" w:fill="1F4E79"/>
          </w:tcPr>
          <w:p>
            <w:r>
              <w:rPr>
                <w:b/>
                <w:color w:val="FFFFFF"/>
                <w:sz w:val="19"/>
              </w:rPr>
              <w:t>Descripcion</w:t>
            </w:r>
          </w:p>
        </w:tc>
      </w:tr>
      <w:tr>
        <w:tc>
          <w:tcPr>
            <w:tcW w:type="dxa" w:w="2835"/>
            <w:shd w:val="clear" w:color="auto" w:fill="EBF3FB"/>
          </w:tcPr>
          <w:p>
            <w:r>
              <w:rPr>
                <w:sz w:val="19"/>
              </w:rPr>
              <w:t>productos.csv</w:t>
            </w:r>
          </w:p>
        </w:tc>
        <w:tc>
          <w:tcPr>
            <w:tcW w:type="dxa" w:w="2835"/>
            <w:shd w:val="clear" w:color="auto" w:fill="EBF3FB"/>
          </w:tcPr>
          <w:p>
            <w:r>
              <w:rPr>
                <w:sz w:val="19"/>
              </w:rPr>
              <w:t>120 filas</w:t>
            </w:r>
          </w:p>
        </w:tc>
        <w:tc>
          <w:tcPr>
            <w:tcW w:type="dxa" w:w="2835"/>
            <w:shd w:val="clear" w:color="auto" w:fill="EBF3FB"/>
          </w:tcPr>
          <w:p>
            <w:r>
              <w:rPr>
                <w:sz w:val="19"/>
              </w:rPr>
              <w:t>SKUs con precio, costo, lead time y costo de pedido</w:t>
            </w:r>
          </w:p>
        </w:tc>
      </w:tr>
      <w:tr>
        <w:tc>
          <w:tcPr>
            <w:tcW w:type="dxa" w:w="2835"/>
          </w:tcPr>
          <w:p>
            <w:r>
              <w:rPr>
                <w:sz w:val="19"/>
              </w:rPr>
              <w:t>demanda_mensual.csv</w:t>
            </w:r>
          </w:p>
        </w:tc>
        <w:tc>
          <w:tcPr>
            <w:tcW w:type="dxa" w:w="2835"/>
          </w:tcPr>
          <w:p>
            <w:r>
              <w:rPr>
                <w:sz w:val="19"/>
              </w:rPr>
              <w:t>2.880 filas</w:t>
            </w:r>
          </w:p>
        </w:tc>
        <w:tc>
          <w:tcPr>
            <w:tcW w:type="dxa" w:w="2835"/>
          </w:tcPr>
          <w:p>
            <w:r>
              <w:rPr>
                <w:sz w:val="19"/>
              </w:rPr>
              <w:t>24 meses x 120 SKUs — ventas con estacionalidad</w:t>
            </w:r>
          </w:p>
        </w:tc>
      </w:tr>
      <w:tr>
        <w:tc>
          <w:tcPr>
            <w:tcW w:type="dxa" w:w="2835"/>
            <w:shd w:val="clear" w:color="auto" w:fill="EBF3FB"/>
          </w:tcPr>
          <w:p>
            <w:r>
              <w:rPr>
                <w:sz w:val="19"/>
              </w:rPr>
              <w:t>inventario_actual.csv</w:t>
            </w:r>
          </w:p>
        </w:tc>
        <w:tc>
          <w:tcPr>
            <w:tcW w:type="dxa" w:w="2835"/>
            <w:shd w:val="clear" w:color="auto" w:fill="EBF3FB"/>
          </w:tcPr>
          <w:p>
            <w:r>
              <w:rPr>
                <w:sz w:val="19"/>
              </w:rPr>
              <w:t>120 filas</w:t>
            </w:r>
          </w:p>
        </w:tc>
        <w:tc>
          <w:tcPr>
            <w:tcW w:type="dxa" w:w="2835"/>
            <w:shd w:val="clear" w:color="auto" w:fill="EBF3FB"/>
          </w:tcPr>
          <w:p>
            <w:r>
              <w:rPr>
                <w:sz w:val="19"/>
              </w:rPr>
              <w:t>Posicion de stock al corte con patrones deliberados</w:t>
            </w:r>
          </w:p>
        </w:tc>
      </w:tr>
    </w:tbl>
    <w:p/>
    <w:p>
      <w:pPr>
        <w:spacing w:after="80"/>
      </w:pPr>
      <w:r>
        <w:rPr>
          <w:b/>
          <w:i w:val="0"/>
          <w:sz w:val="21"/>
        </w:rPr>
        <w:t>Formulas aplicadas:</w:t>
      </w:r>
    </w:p>
    <w:p>
      <w:pPr>
        <w:pStyle w:val="ListBullet"/>
        <w:spacing w:after="40"/>
      </w:pPr>
      <w:r>
        <w:rPr>
          <w:sz w:val="20"/>
        </w:rPr>
        <w:t>ABC: revenue acumulado ordenado. A &lt;= 80 %, B &lt;= 95 %, C = resto.</w:t>
      </w:r>
    </w:p>
    <w:p>
      <w:pPr>
        <w:pStyle w:val="ListBullet"/>
        <w:spacing w:after="40"/>
      </w:pPr>
      <w:r>
        <w:rPr>
          <w:sz w:val="20"/>
        </w:rPr>
        <w:t>XYZ: coeficiente de variacion (CV = sigma / mu). X &lt; 0,30 | Y &lt; 0,60 | Z &gt;= 0,60.</w:t>
      </w:r>
    </w:p>
    <w:p>
      <w:pPr>
        <w:pStyle w:val="ListBullet"/>
        <w:spacing w:after="40"/>
      </w:pPr>
      <w:r>
        <w:rPr>
          <w:sz w:val="20"/>
        </w:rPr>
        <w:t>Safety stock = 1,645 x sigma_mensual x sqrt(lead_time_meses)  [95 % nivel de servicio].</w:t>
      </w:r>
    </w:p>
    <w:p>
      <w:pPr>
        <w:pStyle w:val="ListBullet"/>
        <w:spacing w:after="40"/>
      </w:pPr>
      <w:r>
        <w:rPr>
          <w:sz w:val="20"/>
        </w:rPr>
        <w:t>Reorder point = mu_mensual x lead_time_meses + safety_stock.</w:t>
      </w:r>
    </w:p>
    <w:p>
      <w:pPr>
        <w:pStyle w:val="ListBullet"/>
        <w:spacing w:after="40"/>
      </w:pPr>
      <w:r>
        <w:rPr>
          <w:sz w:val="20"/>
        </w:rPr>
        <w:t>EOQ = sqrt(2 x D_anual x costo_pedido / (costo_unitario x 0,25)).</w:t>
      </w:r>
    </w:p>
    <w:p>
      <w:pPr>
        <w:pStyle w:val="ListBullet"/>
        <w:spacing w:after="40"/>
      </w:pPr>
      <w:r>
        <w:rPr>
          <w:sz w:val="20"/>
        </w:rPr>
        <w:t>Sobrestock = max(0, stock_actual - (ROP + EOQ))  x  costo_unitario.</w:t>
      </w:r>
    </w:p>
    <w:p>
      <w:pPr>
        <w:pStyle w:val="ListBullet"/>
        <w:spacing w:after="40"/>
      </w:pPr>
      <w:r>
        <w:rPr>
          <w:sz w:val="20"/>
        </w:rPr>
        <w:t>Deficit = max(0, ROP - stock_actual)  x  precio_unitario.</w:t>
      </w:r>
    </w:p>
    <w:p>
      <w:r>
        <w:br w:type="page"/>
      </w:r>
    </w:p>
    <w:p>
      <w:pPr>
        <w:spacing w:before="280" w:after="80"/>
      </w:pPr>
      <w:r>
        <w:rPr>
          <w:b/>
          <w:color w:val="1F4E79"/>
          <w:sz w:val="26"/>
        </w:rPr>
        <w:t>3. HALLAZGOS Y EVIDENCIA</w:t>
      </w:r>
    </w:p>
    <w:p>
      <w:pPr>
        <w:pBdr>
          <w:bottom w:val="single" w:sz="6" w:color="1F4E79"/>
        </w:pBdr>
      </w:pPr>
    </w:p>
    <w:p>
      <w:pPr>
        <w:spacing w:after="80"/>
      </w:pPr>
      <w:r>
        <w:rPr>
          <w:b/>
          <w:i w:val="0"/>
          <w:sz w:val="21"/>
        </w:rPr>
        <w:t>Dashboard ejecutivo — 5 visualizaciones integradas:</w:t>
      </w:r>
    </w:p>
    <w:p>
      <w:r>
        <w:drawing>
          <wp:inline xmlns:a="http://schemas.openxmlformats.org/drawingml/2006/main" xmlns:pic="http://schemas.openxmlformats.org/drawingml/2006/picture">
            <wp:extent cx="5669280" cy="4822736"/>
            <wp:docPr id="1" name="Picture 1"/>
            <wp:cNvGraphicFramePr>
              <a:graphicFrameLocks noChangeAspect="1"/>
            </wp:cNvGraphicFramePr>
            <a:graphic>
              <a:graphicData uri="http://schemas.openxmlformats.org/drawingml/2006/picture">
                <pic:pic>
                  <pic:nvPicPr>
                    <pic:cNvPr id="0" name="dashboard_inventario.png"/>
                    <pic:cNvPicPr/>
                  </pic:nvPicPr>
                  <pic:blipFill>
                    <a:blip r:embed="rId10"/>
                    <a:stretch>
                      <a:fillRect/>
                    </a:stretch>
                  </pic:blipFill>
                  <pic:spPr>
                    <a:xfrm>
                      <a:off x="0" y="0"/>
                      <a:ext cx="5669280" cy="4822736"/>
                    </a:xfrm>
                    <a:prstGeom prst="rect"/>
                  </pic:spPr>
                </pic:pic>
              </a:graphicData>
            </a:graphic>
          </wp:inline>
        </w:drawing>
      </w:r>
    </w:p>
    <w:p>
      <w:pPr>
        <w:spacing w:before="40" w:after="160"/>
        <w:jc w:val="center"/>
      </w:pPr>
      <w:r>
        <w:rPr>
          <w:i/>
          <w:color w:val="646464"/>
          <w:sz w:val="17"/>
        </w:rPr>
        <w:t>Matriz ABC-XYZ, curva Pareto, top 10 sobrestock, top 10 riesgo de quiebre y KPIs de impacto.</w:t>
      </w:r>
    </w:p>
    <w:p/>
    <w:p>
      <w:pPr>
        <w:spacing w:after="80"/>
      </w:pPr>
      <w:r>
        <w:rPr>
          <w:b/>
          <w:i w:val="0"/>
          <w:sz w:val="21"/>
        </w:rPr>
        <w:t>Posicionamiento de los 120 SKUs — valor vs variabilidad:</w:t>
      </w:r>
    </w:p>
    <w:p>
      <w:r>
        <w:drawing>
          <wp:inline xmlns:a="http://schemas.openxmlformats.org/drawingml/2006/main" xmlns:pic="http://schemas.openxmlformats.org/drawingml/2006/picture">
            <wp:extent cx="5669280" cy="275985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759854"/>
                    </a:xfrm>
                    <a:prstGeom prst="rect"/>
                  </pic:spPr>
                </pic:pic>
              </a:graphicData>
            </a:graphic>
          </wp:inline>
        </w:drawing>
      </w:r>
    </w:p>
    <w:p>
      <w:pPr>
        <w:spacing w:before="40" w:after="160"/>
        <w:jc w:val="center"/>
      </w:pPr>
      <w:r>
        <w:rPr>
          <w:i/>
          <w:color w:val="646464"/>
          <w:sz w:val="17"/>
        </w:rPr>
        <w:t>Los puntos mas grandes estan bajo ROP (urgente) o en sobrestock. Los A-X (arriba-izquierda) son los productos criticos; los C-Z (abajo-derecha) los que generan el sobrestock.</w:t>
      </w:r>
    </w:p>
    <w:p>
      <w:r>
        <w:br w:type="page"/>
      </w:r>
    </w:p>
    <w:p>
      <w:pPr>
        <w:spacing w:before="160"/>
      </w:pPr>
      <w:r>
        <w:rPr>
          <w:b/>
          <w:color w:val="2E75B6"/>
          <w:sz w:val="24"/>
        </w:rPr>
        <w:t>Hallazgo 1 — $1.1M en capital inmovilizado en sobrestock (30 SKUs)</w:t>
      </w:r>
    </w:p>
    <w:p>
      <w:pPr>
        <w:spacing w:after="80"/>
      </w:pPr>
      <w:r>
        <w:rPr>
          <w:b w:val="0"/>
          <w:i w:val="0"/>
          <w:sz w:val="22"/>
        </w:rPr>
        <w:t>Que encontre: 30 SKUs tienen un stock actual superior a ROP + EOQ. La mayor parte son productos C-Z y C-Y — bajo valor, demanda erratica — que se siguieron pidiendo mensualmente aunque la demanda no los consumia al mismo ritmo. El resultado: capital paralizado en el deposito sin generar retorno.</w:t>
      </w:r>
    </w:p>
    <w:tbl>
      <w:tblPr>
        <w:tblStyle w:val="TableGrid"/>
        <w:tblW w:type="auto" w:w="0"/>
        <w:tblLook w:firstColumn="1" w:firstRow="1" w:lastColumn="0" w:lastRow="0" w:noHBand="0" w:noVBand="1" w:val="04A0"/>
      </w:tblPr>
      <w:tblGrid>
        <w:gridCol w:w="2126"/>
        <w:gridCol w:w="2126"/>
        <w:gridCol w:w="2126"/>
        <w:gridCol w:w="2126"/>
      </w:tblGrid>
      <w:tr>
        <w:tc>
          <w:tcPr>
            <w:tcW w:type="dxa" w:w="2126"/>
            <w:shd w:val="clear" w:color="auto" w:fill="1F4E79"/>
          </w:tcPr>
          <w:p>
            <w:r>
              <w:rPr>
                <w:b/>
                <w:color w:val="FFFFFF"/>
                <w:sz w:val="19"/>
              </w:rPr>
              <w:t>SKU</w:t>
            </w:r>
          </w:p>
        </w:tc>
        <w:tc>
          <w:tcPr>
            <w:tcW w:type="dxa" w:w="2126"/>
            <w:shd w:val="clear" w:color="auto" w:fill="1F4E79"/>
          </w:tcPr>
          <w:p>
            <w:r>
              <w:rPr>
                <w:b/>
                <w:color w:val="FFFFFF"/>
                <w:sz w:val="19"/>
              </w:rPr>
              <w:t>Clase</w:t>
            </w:r>
          </w:p>
        </w:tc>
        <w:tc>
          <w:tcPr>
            <w:tcW w:type="dxa" w:w="2126"/>
            <w:shd w:val="clear" w:color="auto" w:fill="1F4E79"/>
          </w:tcPr>
          <w:p>
            <w:r>
              <w:rPr>
                <w:b/>
                <w:color w:val="FFFFFF"/>
                <w:sz w:val="19"/>
              </w:rPr>
              <w:t>Exceso (unidades)</w:t>
            </w:r>
          </w:p>
        </w:tc>
        <w:tc>
          <w:tcPr>
            <w:tcW w:type="dxa" w:w="2126"/>
            <w:shd w:val="clear" w:color="auto" w:fill="1F4E79"/>
          </w:tcPr>
          <w:p>
            <w:r>
              <w:rPr>
                <w:b/>
                <w:color w:val="FFFFFF"/>
                <w:sz w:val="19"/>
              </w:rPr>
              <w:t>Capital inmovilizado</w:t>
            </w:r>
          </w:p>
        </w:tc>
      </w:tr>
      <w:tr>
        <w:tc>
          <w:tcPr>
            <w:tcW w:type="dxa" w:w="2126"/>
            <w:shd w:val="clear" w:color="auto" w:fill="EBF3FB"/>
          </w:tcPr>
          <w:p>
            <w:r>
              <w:rPr>
                <w:sz w:val="19"/>
              </w:rPr>
              <w:t>SKU-050</w:t>
            </w:r>
          </w:p>
        </w:tc>
        <w:tc>
          <w:tcPr>
            <w:tcW w:type="dxa" w:w="2126"/>
            <w:shd w:val="clear" w:color="auto" w:fill="EBF3FB"/>
          </w:tcPr>
          <w:p>
            <w:r>
              <w:rPr>
                <w:sz w:val="19"/>
              </w:rPr>
              <w:t>CX</w:t>
            </w:r>
          </w:p>
        </w:tc>
        <w:tc>
          <w:tcPr>
            <w:tcW w:type="dxa" w:w="2126"/>
            <w:shd w:val="clear" w:color="auto" w:fill="EBF3FB"/>
          </w:tcPr>
          <w:p>
            <w:r>
              <w:rPr>
                <w:sz w:val="19"/>
              </w:rPr>
              <w:t>96 u.</w:t>
            </w:r>
          </w:p>
        </w:tc>
        <w:tc>
          <w:tcPr>
            <w:tcW w:type="dxa" w:w="2126"/>
            <w:shd w:val="clear" w:color="auto" w:fill="EBF3FB"/>
          </w:tcPr>
          <w:p>
            <w:r>
              <w:rPr>
                <w:sz w:val="19"/>
              </w:rPr>
              <w:t>$115k</w:t>
            </w:r>
          </w:p>
        </w:tc>
      </w:tr>
      <w:tr>
        <w:tc>
          <w:tcPr>
            <w:tcW w:type="dxa" w:w="2126"/>
          </w:tcPr>
          <w:p>
            <w:r>
              <w:rPr>
                <w:sz w:val="19"/>
              </w:rPr>
              <w:t>SKU-058</w:t>
            </w:r>
          </w:p>
        </w:tc>
        <w:tc>
          <w:tcPr>
            <w:tcW w:type="dxa" w:w="2126"/>
          </w:tcPr>
          <w:p>
            <w:r>
              <w:rPr>
                <w:sz w:val="19"/>
              </w:rPr>
              <w:t>CY</w:t>
            </w:r>
          </w:p>
        </w:tc>
        <w:tc>
          <w:tcPr>
            <w:tcW w:type="dxa" w:w="2126"/>
          </w:tcPr>
          <w:p>
            <w:r>
              <w:rPr>
                <w:sz w:val="19"/>
              </w:rPr>
              <w:t>142 u.</w:t>
            </w:r>
          </w:p>
        </w:tc>
        <w:tc>
          <w:tcPr>
            <w:tcW w:type="dxa" w:w="2126"/>
          </w:tcPr>
          <w:p>
            <w:r>
              <w:rPr>
                <w:sz w:val="19"/>
              </w:rPr>
              <w:t>$102k</w:t>
            </w:r>
          </w:p>
        </w:tc>
      </w:tr>
      <w:tr>
        <w:tc>
          <w:tcPr>
            <w:tcW w:type="dxa" w:w="2126"/>
            <w:shd w:val="clear" w:color="auto" w:fill="EBF3FB"/>
          </w:tcPr>
          <w:p>
            <w:r>
              <w:rPr>
                <w:sz w:val="19"/>
              </w:rPr>
              <w:t>SKU-047</w:t>
            </w:r>
          </w:p>
        </w:tc>
        <w:tc>
          <w:tcPr>
            <w:tcW w:type="dxa" w:w="2126"/>
            <w:shd w:val="clear" w:color="auto" w:fill="EBF3FB"/>
          </w:tcPr>
          <w:p>
            <w:r>
              <w:rPr>
                <w:sz w:val="19"/>
              </w:rPr>
              <w:t>CX</w:t>
            </w:r>
          </w:p>
        </w:tc>
        <w:tc>
          <w:tcPr>
            <w:tcW w:type="dxa" w:w="2126"/>
            <w:shd w:val="clear" w:color="auto" w:fill="EBF3FB"/>
          </w:tcPr>
          <w:p>
            <w:r>
              <w:rPr>
                <w:sz w:val="19"/>
              </w:rPr>
              <w:t>95 u.</w:t>
            </w:r>
          </w:p>
        </w:tc>
        <w:tc>
          <w:tcPr>
            <w:tcW w:type="dxa" w:w="2126"/>
            <w:shd w:val="clear" w:color="auto" w:fill="EBF3FB"/>
          </w:tcPr>
          <w:p>
            <w:r>
              <w:rPr>
                <w:sz w:val="19"/>
              </w:rPr>
              <w:t>$99k</w:t>
            </w:r>
          </w:p>
        </w:tc>
      </w:tr>
    </w:tbl>
    <w:p>
      <w:r>
        <w:rPr>
          <w:i/>
          <w:color w:val="646464"/>
          <w:sz w:val="18"/>
        </w:rPr>
        <w:t>... y 27 SKUs mas con sobrestock  |  TOTAL: $1.10M</w:t>
      </w:r>
    </w:p>
    <w:p>
      <w:pPr>
        <w:spacing w:after="80"/>
      </w:pPr>
      <w:r>
        <w:rPr>
          <w:b w:val="0"/>
          <w:i w:val="0"/>
          <w:sz w:val="22"/>
        </w:rPr>
        <w:t>Accion recomendada: reducir el proximo lote de compra para los 30 SKUs identificados. No eliminar las ordenes — adoptar el lote EOQ que ajusta el tamano y la frecuencia de cada compra al ritmo real de consumo.</w:t>
      </w:r>
    </w:p>
    <w:p>
      <w:pPr>
        <w:spacing w:before="80"/>
      </w:pPr>
      <w:r>
        <w:rPr>
          <w:b/>
          <w:sz w:val="21"/>
        </w:rPr>
        <w:t xml:space="preserve">Impacto estimado: </w:t>
      </w:r>
      <w:r>
        <w:rPr>
          <w:b/>
          <w:color w:val="70AD47"/>
          <w:sz w:val="21"/>
        </w:rPr>
        <w:t>$1.1M de capital liberado</w:t>
      </w:r>
    </w:p>
    <w:p>
      <w:r>
        <w:rPr>
          <w:i/>
          <w:color w:val="646464"/>
          <w:sz w:val="18"/>
        </w:rPr>
        <w:t>(Supuesto: exceso_unidades x costo_unitario al corte de enero 2025.)</w:t>
      </w:r>
    </w:p>
    <w:p/>
    <w:p>
      <w:pPr>
        <w:spacing w:before="160"/>
      </w:pPr>
      <w:r>
        <w:rPr>
          <w:b/>
          <w:color w:val="2E75B6"/>
          <w:sz w:val="24"/>
        </w:rPr>
        <w:t>Hallazgo 2 — $2.2M en ventas en riesgo — 8 SKUs bajo ROP</w:t>
      </w:r>
    </w:p>
    <w:p>
      <w:pPr>
        <w:spacing w:after="80"/>
      </w:pPr>
      <w:r>
        <w:rPr>
          <w:b w:val="0"/>
          <w:i w:val="0"/>
          <w:sz w:val="22"/>
        </w:rPr>
        <w:t>Que encontre: 8 SKUs tienen stock por debajo de su punto de reorden. Cinco de ellos son tipo A-X: alto valor facturado y demanda estable. Son los que mas impacto tienen si se agotan durante el lead time del proveedor — el cliente no espera, compra en la competencia.</w:t>
      </w:r>
    </w:p>
    <w:tbl>
      <w:tblPr>
        <w:tblStyle w:val="TableGrid"/>
        <w:tblW w:type="auto" w:w="0"/>
        <w:tblLook w:firstColumn="1" w:firstRow="1" w:lastColumn="0" w:lastRow="0" w:noHBand="0" w:noVBand="1" w:val="04A0"/>
      </w:tblPr>
      <w:tblGrid>
        <w:gridCol w:w="2126"/>
        <w:gridCol w:w="2126"/>
        <w:gridCol w:w="2126"/>
        <w:gridCol w:w="2126"/>
      </w:tblGrid>
      <w:tr>
        <w:tc>
          <w:tcPr>
            <w:tcW w:type="dxa" w:w="2126"/>
            <w:shd w:val="clear" w:color="auto" w:fill="C00000"/>
          </w:tcPr>
          <w:p>
            <w:r>
              <w:rPr>
                <w:b/>
                <w:color w:val="FFFFFF"/>
                <w:sz w:val="19"/>
              </w:rPr>
              <w:t>SKU</w:t>
            </w:r>
          </w:p>
        </w:tc>
        <w:tc>
          <w:tcPr>
            <w:tcW w:type="dxa" w:w="2126"/>
            <w:shd w:val="clear" w:color="auto" w:fill="C00000"/>
          </w:tcPr>
          <w:p>
            <w:r>
              <w:rPr>
                <w:b/>
                <w:color w:val="FFFFFF"/>
                <w:sz w:val="19"/>
              </w:rPr>
              <w:t>Clase</w:t>
            </w:r>
          </w:p>
        </w:tc>
        <w:tc>
          <w:tcPr>
            <w:tcW w:type="dxa" w:w="2126"/>
            <w:shd w:val="clear" w:color="auto" w:fill="C00000"/>
          </w:tcPr>
          <w:p>
            <w:r>
              <w:rPr>
                <w:b/>
                <w:color w:val="FFFFFF"/>
                <w:sz w:val="19"/>
              </w:rPr>
              <w:t>Deficit (unidades)</w:t>
            </w:r>
          </w:p>
        </w:tc>
        <w:tc>
          <w:tcPr>
            <w:tcW w:type="dxa" w:w="2126"/>
            <w:shd w:val="clear" w:color="auto" w:fill="C00000"/>
          </w:tcPr>
          <w:p>
            <w:r>
              <w:rPr>
                <w:b/>
                <w:color w:val="FFFFFF"/>
                <w:sz w:val="19"/>
              </w:rPr>
              <w:t>Ventas en riesgo</w:t>
            </w:r>
          </w:p>
        </w:tc>
      </w:tr>
      <w:tr>
        <w:tc>
          <w:tcPr>
            <w:tcW w:type="dxa" w:w="2126"/>
            <w:shd w:val="clear" w:color="auto" w:fill="FFCCCC"/>
          </w:tcPr>
          <w:p>
            <w:r>
              <w:rPr>
                <w:sz w:val="19"/>
              </w:rPr>
              <w:t>SKU-004</w:t>
            </w:r>
          </w:p>
        </w:tc>
        <w:tc>
          <w:tcPr>
            <w:tcW w:type="dxa" w:w="2126"/>
            <w:shd w:val="clear" w:color="auto" w:fill="FFCCCC"/>
          </w:tcPr>
          <w:p>
            <w:r>
              <w:rPr>
                <w:sz w:val="19"/>
              </w:rPr>
              <w:t>AX</w:t>
            </w:r>
          </w:p>
        </w:tc>
        <w:tc>
          <w:tcPr>
            <w:tcW w:type="dxa" w:w="2126"/>
            <w:shd w:val="clear" w:color="auto" w:fill="FFCCCC"/>
          </w:tcPr>
          <w:p>
            <w:r>
              <w:rPr>
                <w:sz w:val="19"/>
              </w:rPr>
              <w:t>44 u.</w:t>
            </w:r>
          </w:p>
        </w:tc>
        <w:tc>
          <w:tcPr>
            <w:tcW w:type="dxa" w:w="2126"/>
            <w:shd w:val="clear" w:color="auto" w:fill="FFCCCC"/>
          </w:tcPr>
          <w:p>
            <w:r>
              <w:rPr>
                <w:sz w:val="19"/>
              </w:rPr>
              <w:t>$518k</w:t>
            </w:r>
          </w:p>
        </w:tc>
      </w:tr>
      <w:tr>
        <w:tc>
          <w:tcPr>
            <w:tcW w:type="dxa" w:w="2126"/>
          </w:tcPr>
          <w:p>
            <w:r>
              <w:rPr>
                <w:sz w:val="19"/>
              </w:rPr>
              <w:t>SKU-005</w:t>
            </w:r>
          </w:p>
        </w:tc>
        <w:tc>
          <w:tcPr>
            <w:tcW w:type="dxa" w:w="2126"/>
          </w:tcPr>
          <w:p>
            <w:r>
              <w:rPr>
                <w:sz w:val="19"/>
              </w:rPr>
              <w:t>AX</w:t>
            </w:r>
          </w:p>
        </w:tc>
        <w:tc>
          <w:tcPr>
            <w:tcW w:type="dxa" w:w="2126"/>
          </w:tcPr>
          <w:p>
            <w:r>
              <w:rPr>
                <w:sz w:val="19"/>
              </w:rPr>
              <w:t>39 u.</w:t>
            </w:r>
          </w:p>
        </w:tc>
        <w:tc>
          <w:tcPr>
            <w:tcW w:type="dxa" w:w="2126"/>
          </w:tcPr>
          <w:p>
            <w:r>
              <w:rPr>
                <w:sz w:val="19"/>
              </w:rPr>
              <w:t>$515k</w:t>
            </w:r>
          </w:p>
        </w:tc>
      </w:tr>
      <w:tr>
        <w:tc>
          <w:tcPr>
            <w:tcW w:type="dxa" w:w="2126"/>
            <w:shd w:val="clear" w:color="auto" w:fill="FFCCCC"/>
          </w:tcPr>
          <w:p>
            <w:r>
              <w:rPr>
                <w:sz w:val="19"/>
              </w:rPr>
              <w:t>SKU-001</w:t>
            </w:r>
          </w:p>
        </w:tc>
        <w:tc>
          <w:tcPr>
            <w:tcW w:type="dxa" w:w="2126"/>
            <w:shd w:val="clear" w:color="auto" w:fill="FFCCCC"/>
          </w:tcPr>
          <w:p>
            <w:r>
              <w:rPr>
                <w:sz w:val="19"/>
              </w:rPr>
              <w:t>AX</w:t>
            </w:r>
          </w:p>
        </w:tc>
        <w:tc>
          <w:tcPr>
            <w:tcW w:type="dxa" w:w="2126"/>
            <w:shd w:val="clear" w:color="auto" w:fill="FFCCCC"/>
          </w:tcPr>
          <w:p>
            <w:r>
              <w:rPr>
                <w:sz w:val="19"/>
              </w:rPr>
              <w:t>36 u.</w:t>
            </w:r>
          </w:p>
        </w:tc>
        <w:tc>
          <w:tcPr>
            <w:tcW w:type="dxa" w:w="2126"/>
            <w:shd w:val="clear" w:color="auto" w:fill="FFCCCC"/>
          </w:tcPr>
          <w:p>
            <w:r>
              <w:rPr>
                <w:sz w:val="19"/>
              </w:rPr>
              <w:t>$361k</w:t>
            </w:r>
          </w:p>
        </w:tc>
      </w:tr>
    </w:tbl>
    <w:p>
      <w:r>
        <w:rPr>
          <w:i/>
          <w:color w:val="646464"/>
          <w:sz w:val="18"/>
        </w:rPr>
        <w:t>... y 5 SKUs mas bajo su ROP  |  TOTAL en riesgo: $2.18M</w:t>
      </w:r>
    </w:p>
    <w:p>
      <w:pPr>
        <w:spacing w:after="80"/>
      </w:pPr>
      <w:r>
        <w:rPr>
          <w:b w:val="0"/>
          <w:i w:val="0"/>
          <w:sz w:val="22"/>
        </w:rPr>
        <w:t>Accion recomendada: emitir ordenes de compra urgentes para los 8 SKUs. Prioridad absoluta: SKU-001 a SKU-005 (clase A-X, mayor valor expuesto). Sin accion esta semana, el quiebre es inminente dado el lead time de los proveedores.</w:t>
      </w:r>
    </w:p>
    <w:p>
      <w:pPr>
        <w:spacing w:before="80"/>
      </w:pPr>
      <w:r>
        <w:rPr>
          <w:b/>
          <w:sz w:val="21"/>
        </w:rPr>
        <w:t xml:space="preserve">Impacto estimado: </w:t>
      </w:r>
      <w:r>
        <w:rPr>
          <w:b/>
          <w:color w:val="70AD47"/>
          <w:sz w:val="21"/>
        </w:rPr>
        <w:t>$2.2M de ventas recuperadas (riesgo evitado)</w:t>
      </w:r>
    </w:p>
    <w:p>
      <w:r>
        <w:rPr>
          <w:i/>
          <w:color w:val="646464"/>
          <w:sz w:val="18"/>
        </w:rPr>
        <w:t>(Supuesto: deficit_unidades x precio_unitario. Riesgo inmediato al momento del analisis.)</w:t>
      </w:r>
    </w:p>
    <w:p>
      <w:r>
        <w:br w:type="page"/>
      </w:r>
    </w:p>
    <w:p>
      <w:pPr>
        <w:spacing w:before="160"/>
      </w:pPr>
      <w:r>
        <w:rPr>
          <w:b/>
          <w:color w:val="2E75B6"/>
          <w:sz w:val="24"/>
        </w:rPr>
        <w:t>Hallazgo 3 — $3,5M/año en ahorro de costos de pedido al adoptar politica EOQ</w:t>
      </w:r>
    </w:p>
    <w:p>
      <w:pPr>
        <w:spacing w:after="80"/>
      </w:pPr>
      <w:r>
        <w:rPr>
          <w:b w:val="0"/>
          <w:i w:val="0"/>
          <w:sz w:val="22"/>
        </w:rPr>
        <w:t>Que encontre: comparando la frecuencia optima implicita en el EOQ vs la politica actual (estimada en 12 ordenes/año por SKU), hay un exceso significativo de ordenes en los items de baja rotacion. Para un SKU C-Z con 60 unidades/año de demanda, el EOQ indica comprar 1-2 veces al año — no mensualmente.</w:t>
      </w:r>
    </w:p>
    <w:tbl>
      <w:tblPr>
        <w:tblStyle w:val="TableGrid"/>
        <w:tblW w:type="auto" w:w="0"/>
        <w:tblLook w:firstColumn="1" w:firstRow="1" w:lastColumn="0" w:lastRow="0" w:noHBand="0" w:noVBand="1" w:val="04A0"/>
      </w:tblPr>
      <w:tblGrid>
        <w:gridCol w:w="2835"/>
        <w:gridCol w:w="2835"/>
        <w:gridCol w:w="2835"/>
      </w:tblGrid>
      <w:tr>
        <w:tc>
          <w:tcPr>
            <w:tcW w:type="dxa" w:w="2835"/>
            <w:shd w:val="clear" w:color="auto" w:fill="1F4E79"/>
          </w:tcPr>
          <w:p>
            <w:r>
              <w:rPr>
                <w:b/>
                <w:color w:val="FFFFFF"/>
                <w:sz w:val="19"/>
              </w:rPr>
              <w:t>Tipo de SKUs</w:t>
            </w:r>
          </w:p>
        </w:tc>
        <w:tc>
          <w:tcPr>
            <w:tcW w:type="dxa" w:w="2835"/>
            <w:shd w:val="clear" w:color="auto" w:fill="1F4E79"/>
          </w:tcPr>
          <w:p>
            <w:r>
              <w:rPr>
                <w:b/>
                <w:color w:val="FFFFFF"/>
                <w:sz w:val="19"/>
              </w:rPr>
              <w:t>Frecuencia actual</w:t>
            </w:r>
          </w:p>
        </w:tc>
        <w:tc>
          <w:tcPr>
            <w:tcW w:type="dxa" w:w="2835"/>
            <w:shd w:val="clear" w:color="auto" w:fill="1F4E79"/>
          </w:tcPr>
          <w:p>
            <w:r>
              <w:rPr>
                <w:b/>
                <w:color w:val="FFFFFF"/>
                <w:sz w:val="19"/>
              </w:rPr>
              <w:t>Frecuencia EOQ optima</w:t>
            </w:r>
          </w:p>
        </w:tc>
      </w:tr>
      <w:tr>
        <w:tc>
          <w:tcPr>
            <w:tcW w:type="dxa" w:w="2835"/>
            <w:shd w:val="clear" w:color="auto" w:fill="EBF3FB"/>
          </w:tcPr>
          <w:p>
            <w:r>
              <w:rPr>
                <w:sz w:val="19"/>
              </w:rPr>
              <w:t>A-X / A-Y  (alta demanda)</w:t>
            </w:r>
          </w:p>
        </w:tc>
        <w:tc>
          <w:tcPr>
            <w:tcW w:type="dxa" w:w="2835"/>
            <w:shd w:val="clear" w:color="auto" w:fill="EBF3FB"/>
          </w:tcPr>
          <w:p>
            <w:r>
              <w:rPr>
                <w:sz w:val="19"/>
              </w:rPr>
              <w:t>12/año</w:t>
            </w:r>
          </w:p>
        </w:tc>
        <w:tc>
          <w:tcPr>
            <w:tcW w:type="dxa" w:w="2835"/>
            <w:shd w:val="clear" w:color="auto" w:fill="EBF3FB"/>
          </w:tcPr>
          <w:p>
            <w:r>
              <w:rPr>
                <w:sz w:val="19"/>
              </w:rPr>
              <w:t>Sin ahorro — alta demanda justifica alta frecuencia</w:t>
            </w:r>
          </w:p>
        </w:tc>
      </w:tr>
      <w:tr>
        <w:tc>
          <w:tcPr>
            <w:tcW w:type="dxa" w:w="2835"/>
          </w:tcPr>
          <w:p>
            <w:r>
              <w:rPr>
                <w:sz w:val="19"/>
              </w:rPr>
              <w:t>B-Y / B-Z  (demanda media)</w:t>
            </w:r>
          </w:p>
        </w:tc>
        <w:tc>
          <w:tcPr>
            <w:tcW w:type="dxa" w:w="2835"/>
          </w:tcPr>
          <w:p>
            <w:r>
              <w:rPr>
                <w:sz w:val="19"/>
              </w:rPr>
              <w:t>12/año</w:t>
            </w:r>
          </w:p>
        </w:tc>
        <w:tc>
          <w:tcPr>
            <w:tcW w:type="dxa" w:w="2835"/>
          </w:tcPr>
          <w:p>
            <w:r>
              <w:rPr>
                <w:sz w:val="19"/>
              </w:rPr>
              <w:t>4-6/año  (ahorro: 6-8 ordenes x costo_pedido)</w:t>
            </w:r>
          </w:p>
        </w:tc>
      </w:tr>
      <w:tr>
        <w:tc>
          <w:tcPr>
            <w:tcW w:type="dxa" w:w="2835"/>
            <w:shd w:val="clear" w:color="auto" w:fill="EBF3FB"/>
          </w:tcPr>
          <w:p>
            <w:r>
              <w:rPr>
                <w:sz w:val="19"/>
              </w:rPr>
              <w:t>C-Z / C-Y  (baja demanda)</w:t>
            </w:r>
          </w:p>
        </w:tc>
        <w:tc>
          <w:tcPr>
            <w:tcW w:type="dxa" w:w="2835"/>
            <w:shd w:val="clear" w:color="auto" w:fill="EBF3FB"/>
          </w:tcPr>
          <w:p>
            <w:r>
              <w:rPr>
                <w:sz w:val="19"/>
              </w:rPr>
              <w:t>12/año</w:t>
            </w:r>
          </w:p>
        </w:tc>
        <w:tc>
          <w:tcPr>
            <w:tcW w:type="dxa" w:w="2835"/>
            <w:shd w:val="clear" w:color="auto" w:fill="EBF3FB"/>
          </w:tcPr>
          <w:p>
            <w:r>
              <w:rPr>
                <w:sz w:val="19"/>
              </w:rPr>
              <w:t>1-2/año  (ahorro: 10-11 ordenes x costo_pedido)</w:t>
            </w:r>
          </w:p>
        </w:tc>
      </w:tr>
    </w:tbl>
    <w:p>
      <w:pPr>
        <w:spacing w:after="80"/>
      </w:pPr>
      <w:r>
        <w:rPr>
          <w:b w:val="0"/>
          <w:i w:val="0"/>
          <w:sz w:val="22"/>
        </w:rPr>
        <w:t>Accion recomendada: adoptar el lote EOQ como estandar de compra. Para items C: pasar a ciclos trimestrales o semestrales. El modelo calcula el EOQ automaticamente para cada uno de los 120 SKUs y lo entrega en el output politica_inventario.csv.</w:t>
      </w:r>
    </w:p>
    <w:p>
      <w:r>
        <w:rPr>
          <w:b/>
          <w:sz w:val="21"/>
        </w:rPr>
        <w:t xml:space="preserve">Impacto estimado: </w:t>
      </w:r>
      <w:r>
        <w:rPr>
          <w:b/>
          <w:color w:val="70AD47"/>
          <w:sz w:val="21"/>
        </w:rPr>
        <w:t>$3,5M/año en costos operativos de pedido</w:t>
      </w:r>
    </w:p>
    <w:p>
      <w:r>
        <w:rPr>
          <w:i/>
          <w:color w:val="646464"/>
          <w:sz w:val="18"/>
        </w:rPr>
        <w:t>(Supuesto: politica actual = 12 ordenes/año por SKU. Costo fijo de pedido segun CSV de productos. Ahorro solo en items donde EOQ &lt; 12 ordenes.)</w:t>
      </w:r>
    </w:p>
    <w:p/>
    <w:p>
      <w:pPr>
        <w:spacing w:before="160"/>
      </w:pPr>
      <w:r>
        <w:rPr>
          <w:b/>
          <w:color w:val="2E75B6"/>
          <w:sz w:val="24"/>
        </w:rPr>
        <w:t>Hallazgo 4 — $270k/año en tiempo recuperado: de 8 horas manuales a 30 segundos</w:t>
      </w:r>
    </w:p>
    <w:p>
      <w:pPr>
        <w:spacing w:after="80"/>
      </w:pPr>
      <w:r>
        <w:rPr>
          <w:b w:val="0"/>
          <w:i w:val="0"/>
          <w:sz w:val="22"/>
        </w:rPr>
        <w:t>Que encontre: el proceso de revision mensual de inventario — recolectar datos, calcular stocks, identificar excepciones, documentar — llevaba aproximadamente 8 horas de trabajo manual cada mes. Ademas, el proceso no era reproducible: dependia del criterio de quien lo ejecutaba y era propenso a errores de calculo.</w:t>
      </w:r>
    </w:p>
    <w:tbl>
      <w:tblPr>
        <w:tblStyle w:val="TableGrid"/>
        <w:tblW w:type="auto" w:w="0"/>
        <w:tblLook w:firstColumn="1" w:firstRow="1" w:lastColumn="0" w:lastRow="0" w:noHBand="0" w:noVBand="1" w:val="04A0"/>
      </w:tblPr>
      <w:tblGrid>
        <w:gridCol w:w="2835"/>
        <w:gridCol w:w="2835"/>
        <w:gridCol w:w="2835"/>
      </w:tblGrid>
      <w:tr>
        <w:tc>
          <w:tcPr>
            <w:tcW w:type="dxa" w:w="2835"/>
            <w:shd w:val="clear" w:color="auto" w:fill="1F4E79"/>
          </w:tcPr>
          <w:p>
            <w:r>
              <w:rPr>
                <w:b/>
                <w:color w:val="FFFFFF"/>
                <w:sz w:val="19"/>
              </w:rPr>
              <w:t>Actividad</w:t>
            </w:r>
          </w:p>
        </w:tc>
        <w:tc>
          <w:tcPr>
            <w:tcW w:type="dxa" w:w="2835"/>
            <w:shd w:val="clear" w:color="auto" w:fill="1F4E79"/>
          </w:tcPr>
          <w:p>
            <w:r>
              <w:rPr>
                <w:b/>
                <w:color w:val="FFFFFF"/>
                <w:sz w:val="19"/>
              </w:rPr>
              <w:t>Antes (manual)</w:t>
            </w:r>
          </w:p>
        </w:tc>
        <w:tc>
          <w:tcPr>
            <w:tcW w:type="dxa" w:w="2835"/>
            <w:shd w:val="clear" w:color="auto" w:fill="1F4E79"/>
          </w:tcPr>
          <w:p>
            <w:r>
              <w:rPr>
                <w:b/>
                <w:color w:val="FFFFFF"/>
                <w:sz w:val="19"/>
              </w:rPr>
              <w:t>Despues (automatico)</w:t>
            </w:r>
          </w:p>
        </w:tc>
      </w:tr>
      <w:tr>
        <w:tc>
          <w:tcPr>
            <w:tcW w:type="dxa" w:w="2835"/>
            <w:shd w:val="clear" w:color="auto" w:fill="EBF3FB"/>
          </w:tcPr>
          <w:p>
            <w:r>
              <w:rPr>
                <w:sz w:val="19"/>
              </w:rPr>
              <w:t>Calculo ABC-XYZ + politica de stock</w:t>
            </w:r>
          </w:p>
        </w:tc>
        <w:tc>
          <w:tcPr>
            <w:tcW w:type="dxa" w:w="2835"/>
            <w:shd w:val="clear" w:color="auto" w:fill="EBF3FB"/>
          </w:tcPr>
          <w:p>
            <w:r>
              <w:rPr>
                <w:sz w:val="19"/>
              </w:rPr>
              <w:t>~8 horas/mes</w:t>
            </w:r>
          </w:p>
        </w:tc>
        <w:tc>
          <w:tcPr>
            <w:tcW w:type="dxa" w:w="2835"/>
            <w:shd w:val="clear" w:color="auto" w:fill="EBF3FB"/>
          </w:tcPr>
          <w:p>
            <w:r>
              <w:rPr>
                <w:sz w:val="19"/>
              </w:rPr>
              <w:t>&lt; 30 segundos</w:t>
            </w:r>
          </w:p>
        </w:tc>
      </w:tr>
      <w:tr>
        <w:tc>
          <w:tcPr>
            <w:tcW w:type="dxa" w:w="2835"/>
          </w:tcPr>
          <w:p>
            <w:r>
              <w:rPr>
                <w:sz w:val="19"/>
              </w:rPr>
              <w:t>Riesgo de error en la clasificacion</w:t>
            </w:r>
          </w:p>
        </w:tc>
        <w:tc>
          <w:tcPr>
            <w:tcW w:type="dxa" w:w="2835"/>
          </w:tcPr>
          <w:p>
            <w:r>
              <w:rPr>
                <w:sz w:val="19"/>
              </w:rPr>
              <w:t>Alto (criterio subjetivo)</w:t>
            </w:r>
          </w:p>
        </w:tc>
        <w:tc>
          <w:tcPr>
            <w:tcW w:type="dxa" w:w="2835"/>
          </w:tcPr>
          <w:p>
            <w:r>
              <w:rPr>
                <w:sz w:val="19"/>
              </w:rPr>
              <w:t>Nulo (formula estadistica)</w:t>
            </w:r>
          </w:p>
        </w:tc>
      </w:tr>
    </w:tbl>
    <w:p>
      <w:pPr>
        <w:spacing w:after="80"/>
      </w:pPr>
      <w:r>
        <w:rPr>
          <w:b w:val="0"/>
          <w:i w:val="0"/>
          <w:sz w:val="22"/>
        </w:rPr>
        <w:t>Accion recomendada: integrar 'python src/analisis_abcxyz.py' al cierre mensual de inventario. El modelo entrega clasificacion actualizada, politica optima por SKU y lista de criticos para accion inmediata — en 30 segundos.</w:t>
      </w:r>
    </w:p>
    <w:p>
      <w:r>
        <w:rPr>
          <w:b/>
          <w:sz w:val="21"/>
        </w:rPr>
        <w:t xml:space="preserve">Impacto estimado: </w:t>
      </w:r>
      <w:r>
        <w:rPr>
          <w:b/>
          <w:color w:val="70AD47"/>
          <w:sz w:val="21"/>
        </w:rPr>
        <w:t>$270k/año en horas de analista liberadas</w:t>
      </w:r>
    </w:p>
    <w:p>
      <w:r>
        <w:rPr>
          <w:i/>
          <w:color w:val="646464"/>
          <w:sz w:val="18"/>
        </w:rPr>
        <w:t>(Supuesto: 7,5 h ahorradas/mes x 12 meses = 90 h/año x $3.000/h analista.)</w:t>
      </w:r>
    </w:p>
    <w:p>
      <w:r>
        <w:br w:type="page"/>
      </w:r>
    </w:p>
    <w:p>
      <w:pPr>
        <w:spacing w:before="280" w:after="80"/>
      </w:pPr>
      <w:r>
        <w:rPr>
          <w:b/>
          <w:color w:val="1F4E79"/>
          <w:sz w:val="26"/>
        </w:rPr>
        <w:t>4. CONCLUSIONES Y PROXIMOS PASOS</w:t>
      </w:r>
    </w:p>
    <w:p>
      <w:pPr>
        <w:pBdr>
          <w:bottom w:val="single" w:sz="6" w:color="1F4E79"/>
        </w:pBdr>
      </w:pPr>
    </w:p>
    <w:p>
      <w:pPr>
        <w:spacing w:after="80"/>
      </w:pPr>
      <w:r>
        <w:rPr>
          <w:b/>
          <w:i w:val="0"/>
          <w:sz w:val="21"/>
        </w:rPr>
        <w:t>Resumen visual del impacto economico por hallazgo:</w:t>
      </w:r>
    </w:p>
    <w:p>
      <w:r>
        <w:drawing>
          <wp:inline xmlns:a="http://schemas.openxmlformats.org/drawingml/2006/main" xmlns:pic="http://schemas.openxmlformats.org/drawingml/2006/picture">
            <wp:extent cx="5303520" cy="2210178"/>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210178"/>
                    </a:xfrm>
                    <a:prstGeom prst="rect"/>
                  </pic:spPr>
                </pic:pic>
              </a:graphicData>
            </a:graphic>
          </wp:inline>
        </w:drawing>
      </w:r>
    </w:p>
    <w:p>
      <w:pPr>
        <w:spacing w:before="40" w:after="160"/>
        <w:jc w:val="center"/>
      </w:pPr>
      <w:r>
        <w:rPr>
          <w:i/>
          <w:color w:val="646464"/>
          <w:sz w:val="17"/>
        </w:rPr>
        <w:t>Los 4 hallazgos ordenados por impacto economico.</w:t>
      </w:r>
    </w:p>
    <w:p/>
    <w:p>
      <w:pPr>
        <w:spacing w:after="80"/>
      </w:pPr>
      <w:r>
        <w:rPr>
          <w:b/>
          <w:i w:val="0"/>
          <w:sz w:val="21"/>
        </w:rPr>
        <w:t>Tabla resumen de impacto:</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shd w:val="clear" w:color="auto" w:fill="1F4E79"/>
          </w:tcPr>
          <w:p>
            <w:r>
              <w:rPr>
                <w:b/>
                <w:color w:val="FFFFFF"/>
                <w:sz w:val="18"/>
              </w:rPr>
              <w:t>Hallazgo</w:t>
            </w:r>
          </w:p>
        </w:tc>
        <w:tc>
          <w:tcPr>
            <w:tcW w:type="dxa" w:w="1701"/>
            <w:shd w:val="clear" w:color="auto" w:fill="1F4E79"/>
          </w:tcPr>
          <w:p>
            <w:r>
              <w:rPr>
                <w:b/>
                <w:color w:val="FFFFFF"/>
                <w:sz w:val="18"/>
              </w:rPr>
              <w:t>Accion</w:t>
            </w:r>
          </w:p>
        </w:tc>
        <w:tc>
          <w:tcPr>
            <w:tcW w:type="dxa" w:w="1701"/>
            <w:shd w:val="clear" w:color="auto" w:fill="1F4E79"/>
          </w:tcPr>
          <w:p>
            <w:r>
              <w:rPr>
                <w:b/>
                <w:color w:val="FFFFFF"/>
                <w:sz w:val="18"/>
              </w:rPr>
              <w:t>Impacto</w:t>
            </w:r>
          </w:p>
        </w:tc>
        <w:tc>
          <w:tcPr>
            <w:tcW w:type="dxa" w:w="1701"/>
            <w:shd w:val="clear" w:color="auto" w:fill="1F4E79"/>
          </w:tcPr>
          <w:p>
            <w:r>
              <w:rPr>
                <w:b/>
                <w:color w:val="FFFFFF"/>
                <w:sz w:val="18"/>
              </w:rPr>
              <w:t>Esfuerzo</w:t>
            </w:r>
          </w:p>
        </w:tc>
        <w:tc>
          <w:tcPr>
            <w:tcW w:type="dxa" w:w="1701"/>
            <w:shd w:val="clear" w:color="auto" w:fill="1F4E79"/>
          </w:tcPr>
          <w:p>
            <w:r>
              <w:rPr>
                <w:b/>
                <w:color w:val="FFFFFF"/>
                <w:sz w:val="18"/>
              </w:rPr>
              <w:t>Supuesto clave</w:t>
            </w:r>
          </w:p>
        </w:tc>
      </w:tr>
      <w:tr>
        <w:tc>
          <w:tcPr>
            <w:tcW w:type="dxa" w:w="1701"/>
            <w:shd w:val="clear" w:color="auto" w:fill="EBF3FB"/>
          </w:tcPr>
          <w:p>
            <w:r>
              <w:rPr>
                <w:sz w:val="19"/>
              </w:rPr>
              <w:t>Ahorro costos pedido (EOQ)</w:t>
            </w:r>
          </w:p>
        </w:tc>
        <w:tc>
          <w:tcPr>
            <w:tcW w:type="dxa" w:w="1701"/>
            <w:shd w:val="clear" w:color="auto" w:fill="EBF3FB"/>
          </w:tcPr>
          <w:p>
            <w:r>
              <w:rPr>
                <w:sz w:val="19"/>
              </w:rPr>
              <w:t>Adoptar lote EOQ en items C</w:t>
            </w:r>
          </w:p>
        </w:tc>
        <w:tc>
          <w:tcPr>
            <w:tcW w:type="dxa" w:w="1701"/>
            <w:shd w:val="clear" w:color="auto" w:fill="EBF3FB"/>
          </w:tcPr>
          <w:p>
            <w:r>
              <w:rPr>
                <w:sz w:val="19"/>
              </w:rPr>
              <w:t>$3,5M/año</w:t>
            </w:r>
          </w:p>
        </w:tc>
        <w:tc>
          <w:tcPr>
            <w:tcW w:type="dxa" w:w="1701"/>
            <w:shd w:val="clear" w:color="auto" w:fill="EBF3FB"/>
          </w:tcPr>
          <w:p>
            <w:r>
              <w:rPr>
                <w:sz w:val="19"/>
              </w:rPr>
              <w:t>Medio</w:t>
            </w:r>
          </w:p>
        </w:tc>
        <w:tc>
          <w:tcPr>
            <w:tcW w:type="dxa" w:w="1701"/>
            <w:shd w:val="clear" w:color="auto" w:fill="EBF3FB"/>
          </w:tcPr>
          <w:p>
            <w:r>
              <w:rPr>
                <w:sz w:val="19"/>
              </w:rPr>
              <w:t>12 ord./año actual vs EOQ</w:t>
            </w:r>
          </w:p>
        </w:tc>
      </w:tr>
      <w:tr>
        <w:tc>
          <w:tcPr>
            <w:tcW w:type="dxa" w:w="1701"/>
          </w:tcPr>
          <w:p>
            <w:r>
              <w:rPr>
                <w:sz w:val="19"/>
              </w:rPr>
              <w:t>Ventas en riesgo (quiebres)</w:t>
            </w:r>
          </w:p>
        </w:tc>
        <w:tc>
          <w:tcPr>
            <w:tcW w:type="dxa" w:w="1701"/>
          </w:tcPr>
          <w:p>
            <w:r>
              <w:rPr>
                <w:sz w:val="19"/>
              </w:rPr>
              <w:t>Reponer 8 SKUs urgente</w:t>
            </w:r>
          </w:p>
        </w:tc>
        <w:tc>
          <w:tcPr>
            <w:tcW w:type="dxa" w:w="1701"/>
          </w:tcPr>
          <w:p>
            <w:r>
              <w:rPr>
                <w:sz w:val="19"/>
              </w:rPr>
              <w:t>$2.2M</w:t>
            </w:r>
          </w:p>
        </w:tc>
        <w:tc>
          <w:tcPr>
            <w:tcW w:type="dxa" w:w="1701"/>
          </w:tcPr>
          <w:p>
            <w:r>
              <w:rPr>
                <w:sz w:val="19"/>
              </w:rPr>
              <w:t>Bajo</w:t>
            </w:r>
          </w:p>
        </w:tc>
        <w:tc>
          <w:tcPr>
            <w:tcW w:type="dxa" w:w="1701"/>
          </w:tcPr>
          <w:p>
            <w:r>
              <w:rPr>
                <w:sz w:val="19"/>
              </w:rPr>
              <w:t>deficit x precio</w:t>
            </w:r>
          </w:p>
        </w:tc>
      </w:tr>
      <w:tr>
        <w:tc>
          <w:tcPr>
            <w:tcW w:type="dxa" w:w="1701"/>
            <w:shd w:val="clear" w:color="auto" w:fill="EBF3FB"/>
          </w:tcPr>
          <w:p>
            <w:r>
              <w:rPr>
                <w:sz w:val="19"/>
              </w:rPr>
              <w:t>Capital inmovilizado</w:t>
            </w:r>
          </w:p>
        </w:tc>
        <w:tc>
          <w:tcPr>
            <w:tcW w:type="dxa" w:w="1701"/>
            <w:shd w:val="clear" w:color="auto" w:fill="EBF3FB"/>
          </w:tcPr>
          <w:p>
            <w:r>
              <w:rPr>
                <w:sz w:val="19"/>
              </w:rPr>
              <w:t>Reducir lotes en 30 SKUs</w:t>
            </w:r>
          </w:p>
        </w:tc>
        <w:tc>
          <w:tcPr>
            <w:tcW w:type="dxa" w:w="1701"/>
            <w:shd w:val="clear" w:color="auto" w:fill="EBF3FB"/>
          </w:tcPr>
          <w:p>
            <w:r>
              <w:rPr>
                <w:sz w:val="19"/>
              </w:rPr>
              <w:t>$1.1M</w:t>
            </w:r>
          </w:p>
        </w:tc>
        <w:tc>
          <w:tcPr>
            <w:tcW w:type="dxa" w:w="1701"/>
            <w:shd w:val="clear" w:color="auto" w:fill="EBF3FB"/>
          </w:tcPr>
          <w:p>
            <w:r>
              <w:rPr>
                <w:sz w:val="19"/>
              </w:rPr>
              <w:t>Bajo</w:t>
            </w:r>
          </w:p>
        </w:tc>
        <w:tc>
          <w:tcPr>
            <w:tcW w:type="dxa" w:w="1701"/>
            <w:shd w:val="clear" w:color="auto" w:fill="EBF3FB"/>
          </w:tcPr>
          <w:p>
            <w:r>
              <w:rPr>
                <w:sz w:val="19"/>
              </w:rPr>
              <w:t>exceso x costo</w:t>
            </w:r>
          </w:p>
        </w:tc>
      </w:tr>
      <w:tr>
        <w:tc>
          <w:tcPr>
            <w:tcW w:type="dxa" w:w="1701"/>
          </w:tcPr>
          <w:p>
            <w:r>
              <w:rPr>
                <w:sz w:val="19"/>
              </w:rPr>
              <w:t>Automatizacion mensual</w:t>
            </w:r>
          </w:p>
        </w:tc>
        <w:tc>
          <w:tcPr>
            <w:tcW w:type="dxa" w:w="1701"/>
          </w:tcPr>
          <w:p>
            <w:r>
              <w:rPr>
                <w:sz w:val="19"/>
              </w:rPr>
              <w:t>Pipeline automatico</w:t>
            </w:r>
          </w:p>
        </w:tc>
        <w:tc>
          <w:tcPr>
            <w:tcW w:type="dxa" w:w="1701"/>
          </w:tcPr>
          <w:p>
            <w:r>
              <w:rPr>
                <w:sz w:val="19"/>
              </w:rPr>
              <w:t>$270k/año</w:t>
            </w:r>
          </w:p>
        </w:tc>
        <w:tc>
          <w:tcPr>
            <w:tcW w:type="dxa" w:w="1701"/>
          </w:tcPr>
          <w:p>
            <w:r>
              <w:rPr>
                <w:sz w:val="19"/>
              </w:rPr>
              <w:t>Bajo</w:t>
            </w:r>
          </w:p>
        </w:tc>
        <w:tc>
          <w:tcPr>
            <w:tcW w:type="dxa" w:w="1701"/>
          </w:tcPr>
          <w:p>
            <w:r>
              <w:rPr>
                <w:sz w:val="19"/>
              </w:rPr>
              <w:t>90h/año x $3.000/h</w:t>
            </w:r>
          </w:p>
        </w:tc>
      </w:tr>
      <w:tr>
        <w:tc>
          <w:tcPr>
            <w:tcW w:type="dxa" w:w="1701"/>
            <w:shd w:val="clear" w:color="auto" w:fill="1F4E79"/>
          </w:tcPr>
          <w:p>
            <w:r>
              <w:rPr>
                <w:b/>
                <w:color w:val="FFFFFF"/>
                <w:sz w:val="20"/>
              </w:rPr>
              <w:t>TOTAL</w:t>
            </w:r>
          </w:p>
        </w:tc>
        <w:tc>
          <w:tcPr>
            <w:tcW w:type="dxa" w:w="1701"/>
            <w:shd w:val="clear" w:color="auto" w:fill="1F4E79"/>
          </w:tcPr>
          <w:p>
            <w:r>
              <w:rPr>
                <w:b/>
                <w:color w:val="FFFFFF"/>
                <w:sz w:val="20"/>
              </w:rPr>
            </w:r>
          </w:p>
        </w:tc>
        <w:tc>
          <w:tcPr>
            <w:tcW w:type="dxa" w:w="1701"/>
            <w:shd w:val="clear" w:color="auto" w:fill="1F4E79"/>
          </w:tcPr>
          <w:p>
            <w:r>
              <w:rPr>
                <w:b/>
                <w:color w:val="FFFFFF"/>
                <w:sz w:val="20"/>
              </w:rPr>
              <w:t>~$7.0M</w:t>
            </w:r>
          </w:p>
        </w:tc>
        <w:tc>
          <w:tcPr>
            <w:tcW w:type="dxa" w:w="1701"/>
            <w:shd w:val="clear" w:color="auto" w:fill="1F4E79"/>
          </w:tcPr>
          <w:p>
            <w:r>
              <w:rPr>
                <w:b/>
                <w:color w:val="FFFFFF"/>
                <w:sz w:val="20"/>
              </w:rPr>
            </w:r>
          </w:p>
        </w:tc>
        <w:tc>
          <w:tcPr>
            <w:tcW w:type="dxa" w:w="1701"/>
            <w:shd w:val="clear" w:color="auto" w:fill="1F4E79"/>
          </w:tcPr>
          <w:p>
            <w:r>
              <w:rPr>
                <w:b/>
                <w:color w:val="FFFFFF"/>
                <w:sz w:val="20"/>
              </w:rPr>
            </w:r>
          </w:p>
        </w:tc>
      </w:tr>
    </w:tbl>
    <w:p/>
    <w:p>
      <w:pPr>
        <w:jc w:val="center"/>
      </w:pPr>
      <w:r>
        <w:rPr>
          <w:b/>
          <w:color w:val="1F4E79"/>
          <w:sz w:val="28"/>
        </w:rPr>
        <w:t>Impacto total estimado del analisis: ~$7.0M</w:t>
      </w:r>
    </w:p>
    <w:p>
      <w:pPr>
        <w:jc w:val="center"/>
      </w:pPr>
      <w:r>
        <w:rPr>
          <w:i/>
          <w:color w:val="646464"/>
          <w:sz w:val="18"/>
        </w:rPr>
        <w:t>(capital liberado en sobrestock + ventas recuperadas por quiebres + ahorros recurrentes EOQ + automatizacion)</w:t>
      </w:r>
    </w:p>
    <w:p/>
    <w:p>
      <w:pPr>
        <w:pBdr>
          <w:bottom w:val="single" w:sz="6" w:color="1F4E79"/>
        </w:pBdr>
      </w:pPr>
    </w:p>
    <w:p>
      <w:pPr>
        <w:spacing w:after="80"/>
      </w:pPr>
      <w:r>
        <w:rPr>
          <w:b/>
          <w:i w:val="0"/>
          <w:sz w:val="22"/>
        </w:rPr>
        <w:t>Proximos pasos recomendados (por ROI):</w:t>
      </w:r>
    </w:p>
    <w:p>
      <w:pPr>
        <w:spacing w:before="120"/>
      </w:pPr>
      <w:r>
        <w:rPr>
          <w:b/>
          <w:color w:val="2E75B6"/>
          <w:sz w:val="21"/>
        </w:rPr>
        <w:t xml:space="preserve">1. Inmediato — semana 1: </w:t>
      </w:r>
      <w:r>
        <w:rPr>
          <w:sz w:val="21"/>
        </w:rPr>
        <w:t>Emitir ordenes de compra urgentes para los 8 SKUs bajo ROP. Prioridad: SKU-001 a SKU-005 (clase A-X). Sin accion, el quiebre de stock es inminente dado el lead time actual de los proveedores.</w:t>
      </w:r>
    </w:p>
    <w:p>
      <w:pPr>
        <w:spacing w:before="120"/>
      </w:pPr>
      <w:r>
        <w:rPr>
          <w:b/>
          <w:color w:val="2E75B6"/>
          <w:sz w:val="21"/>
        </w:rPr>
        <w:t xml:space="preserve">2. Corto plazo — mes 1 a 2: </w:t>
      </w:r>
      <w:r>
        <w:rPr>
          <w:sz w:val="21"/>
        </w:rPr>
        <w:t>Para los 30 SKUs con sobrestock, no emitir ordenes hasta que el stock baje al ROP. Adoptar el lote EOQ en las proximas compras en lugar del lote fijo habitual. Revisar con el area comercial si alguno de los items C-Z puede discontinuarse.</w:t>
      </w:r>
    </w:p>
    <w:p>
      <w:pPr>
        <w:spacing w:before="120"/>
      </w:pPr>
      <w:r>
        <w:rPr>
          <w:b/>
          <w:color w:val="2E75B6"/>
          <w:sz w:val="21"/>
        </w:rPr>
        <w:t xml:space="preserve">3. Proceso continuo: </w:t>
      </w:r>
      <w:r>
        <w:rPr>
          <w:sz w:val="21"/>
        </w:rPr>
        <w:t>Integrar 'python src/analisis_abcxyz.py' al cierre mensual de inventario. El modelo tarda 30 segundos y entrega la politica actualizada para los 120 SKUs, la lista de criticos y el dashboard ejecutivo. Revisar umbrales XYZ cada 6 meses.</w:t>
      </w:r>
    </w:p>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Luciano Villagran - Analista de Datos   |   Datos sinteticos con distribuciones realistas - Portfolio de Datos y Analitica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